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color w:val="auto"/>
          <w:sz w:val="24"/>
          <w:szCs w:val="22"/>
        </w:rPr>
        <w:id w:val="1297259142"/>
        <w:docPartObj>
          <w:docPartGallery w:val="Cover Pages"/>
          <w:docPartUnique/>
        </w:docPartObj>
      </w:sdtPr>
      <w:sdtEndPr/>
      <w:sdtContent>
        <w:p w:rsidR="00652DE2" w:rsidRPr="00AE49C8" w:rsidRDefault="00652DE2" w:rsidP="00810ADF">
          <w:pPr>
            <w:pStyle w:val="Reportsubtitle"/>
          </w:pPr>
          <w:r w:rsidRPr="00AE49C8">
            <w:rPr>
              <w:noProof/>
              <w:lang w:eastAsia="en-GB"/>
            </w:rPr>
            <mc:AlternateContent>
              <mc:Choice Requires="wps">
                <w:drawing>
                  <wp:anchor distT="0" distB="0" distL="114300" distR="114300" simplePos="0" relativeHeight="251660288" behindDoc="0" locked="0" layoutInCell="1" allowOverlap="1" wp14:anchorId="3A2054A7" wp14:editId="055C5227">
                    <wp:simplePos x="0" y="0"/>
                    <wp:positionH relativeFrom="column">
                      <wp:posOffset>676275</wp:posOffset>
                    </wp:positionH>
                    <wp:positionV relativeFrom="page">
                      <wp:posOffset>4514850</wp:posOffset>
                    </wp:positionV>
                    <wp:extent cx="6031230" cy="1047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031230" cy="1047750"/>
                            </a:xfrm>
                            <a:prstGeom prst="rect">
                              <a:avLst/>
                            </a:prstGeom>
                            <a:noFill/>
                            <a:ln w="6350">
                              <a:noFill/>
                            </a:ln>
                          </wps:spPr>
                          <wps:txbx>
                            <w:txbxContent>
                              <w:p w:rsidR="00DA4FEA" w:rsidRPr="00810ADF" w:rsidRDefault="00DA4FEA" w:rsidP="00810ADF">
                                <w:pPr>
                                  <w:pStyle w:val="Reportsubtitle"/>
                                </w:pPr>
                                <w:r>
                                  <w:t>Produced by the Equality Team, published January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3.25pt;margin-top:355.5pt;width:474.9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" filled="f" stroked="f" strokeweight=".5pt">
                    <v:textbox>
                      <w:txbxContent>
                        <w:p w:rsidR="00DA4FEA" w:rsidRPr="00810ADF" w:rsidRDefault="00DA4FEA" w:rsidP="00810ADF">
                          <w:pPr>
                            <w:pStyle w:val="Reportsubtitle"/>
                          </w:pPr>
                          <w:r>
                            <w:t>Produced by the Equality Team, published January 2022</w:t>
                          </w:r>
                        </w:p>
                      </w:txbxContent>
                    </v:textbox>
                    <w10:wrap anchory="page"/>
                  </v:shape>
                </w:pict>
              </mc:Fallback>
            </mc:AlternateContent>
          </w:r>
          <w:r w:rsidRPr="00AE49C8">
            <w:rPr>
              <w:noProof/>
              <w:lang w:eastAsia="en-GB"/>
            </w:rPr>
            <w:drawing>
              <wp:anchor distT="0" distB="0" distL="114300" distR="114300" simplePos="0" relativeHeight="251661312" behindDoc="0" locked="0" layoutInCell="1" allowOverlap="1" wp14:anchorId="41C86095" wp14:editId="3F2E19BB">
                <wp:simplePos x="0" y="1619250"/>
                <wp:positionH relativeFrom="page">
                  <wp:align>left</wp:align>
                </wp:positionH>
                <wp:positionV relativeFrom="page">
                  <wp:align>bottom</wp:align>
                </wp:positionV>
                <wp:extent cx="6642000" cy="198000"/>
                <wp:effectExtent l="0" t="0" r="0" b="0"/>
                <wp:wrapTopAndBottom/>
                <wp:docPr id="6" name="Picture 6"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patter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2000" cy="198000"/>
                        </a:xfrm>
                        <a:prstGeom prst="rect">
                          <a:avLst/>
                        </a:prstGeom>
                      </pic:spPr>
                    </pic:pic>
                  </a:graphicData>
                </a:graphic>
                <wp14:sizeRelH relativeFrom="margin">
                  <wp14:pctWidth>0</wp14:pctWidth>
                </wp14:sizeRelH>
                <wp14:sizeRelV relativeFrom="margin">
                  <wp14:pctHeight>0</wp14:pctHeight>
                </wp14:sizeRelV>
              </wp:anchor>
            </w:drawing>
          </w:r>
          <w:r w:rsidRPr="00AE49C8">
            <w:rPr>
              <w:noProof/>
              <w:lang w:eastAsia="en-GB"/>
            </w:rPr>
            <mc:AlternateContent>
              <mc:Choice Requires="wps">
                <w:drawing>
                  <wp:anchor distT="0" distB="0" distL="114300" distR="114300" simplePos="0" relativeHeight="251659264" behindDoc="0" locked="0" layoutInCell="1" allowOverlap="1" wp14:anchorId="669E0076" wp14:editId="56848D6D">
                    <wp:simplePos x="0" y="0"/>
                    <wp:positionH relativeFrom="column">
                      <wp:posOffset>676275</wp:posOffset>
                    </wp:positionH>
                    <wp:positionV relativeFrom="page">
                      <wp:posOffset>2828926</wp:posOffset>
                    </wp:positionV>
                    <wp:extent cx="5951220" cy="20383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951220" cy="2038350"/>
                            </a:xfrm>
                            <a:prstGeom prst="rect">
                              <a:avLst/>
                            </a:prstGeom>
                            <a:noFill/>
                            <a:ln w="6350">
                              <a:noFill/>
                            </a:ln>
                          </wps:spPr>
                          <wps:txbx>
                            <w:txbxContent>
                              <w:p w:rsidR="00DA4FEA" w:rsidRPr="009935BD" w:rsidRDefault="00DA4FEA" w:rsidP="009935BD">
                                <w:pPr>
                                  <w:pStyle w:val="Reporttitle"/>
                                </w:pPr>
                                <w:r>
                                  <w:t>Annual Equality Report 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53.25pt;margin-top:222.75pt;width:468.6pt;height: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" filled="f" stroked="f" strokeweight=".5pt">
                    <v:textbox>
                      <w:txbxContent>
                        <w:p w:rsidR="00DA4FEA" w:rsidRPr="009935BD" w:rsidRDefault="00DA4FEA" w:rsidP="009935BD">
                          <w:pPr>
                            <w:pStyle w:val="Reporttitle"/>
                          </w:pPr>
                          <w:r>
                            <w:t>Annual Equality Report 2020-2021</w:t>
                          </w:r>
                        </w:p>
                      </w:txbxContent>
                    </v:textbox>
                    <w10:wrap type="square" anchory="page"/>
                  </v:shape>
                </w:pict>
              </mc:Fallback>
            </mc:AlternateContent>
          </w:r>
        </w:p>
        <w:p w:rsidR="00652DE2" w:rsidRPr="00AE49C8" w:rsidRDefault="00652DE2" w:rsidP="00652DE2">
          <w:pPr>
            <w:rPr>
              <w:rFonts w:eastAsiaTheme="majorEastAsia"/>
              <w:b/>
              <w:bCs/>
              <w:sz w:val="40"/>
              <w:szCs w:val="28"/>
            </w:rPr>
          </w:pPr>
          <w:r w:rsidRPr="00AE49C8">
            <w:br w:type="page"/>
          </w:r>
        </w:p>
      </w:sdtContent>
    </w:sdt>
    <w:p w:rsidR="00652DE2" w:rsidRPr="00AE49C8" w:rsidRDefault="00652DE2" w:rsidP="00652DE2">
      <w:pPr>
        <w:pStyle w:val="Heading1"/>
        <w:rPr>
          <w:rFonts w:cs="Arial"/>
        </w:rPr>
        <w:sectPr w:rsidR="00652DE2" w:rsidRPr="00AE49C8" w:rsidSect="009935BD">
          <w:footerReference w:type="default" r:id="rId10"/>
          <w:headerReference w:type="first" r:id="rId11"/>
          <w:footerReference w:type="first" r:id="rId12"/>
          <w:pgSz w:w="11906" w:h="16838"/>
          <w:pgMar w:top="284" w:right="1440" w:bottom="1440" w:left="340" w:header="709" w:footer="709" w:gutter="0"/>
          <w:pgNumType w:start="0"/>
          <w:cols w:space="708"/>
          <w:titlePg/>
          <w:docGrid w:linePitch="360"/>
        </w:sectPr>
      </w:pPr>
    </w:p>
    <w:sdt>
      <w:sdtPr>
        <w:rPr>
          <w:rFonts w:ascii="Arial" w:eastAsiaTheme="minorHAnsi" w:hAnsi="Arial" w:cs="Arial"/>
          <w:b w:val="0"/>
          <w:bCs w:val="0"/>
          <w:color w:val="auto"/>
          <w:sz w:val="24"/>
          <w:szCs w:val="22"/>
          <w:lang w:val="en-GB" w:eastAsia="en-US"/>
        </w:rPr>
        <w:id w:val="-1594929733"/>
        <w:docPartObj>
          <w:docPartGallery w:val="Table of Contents"/>
          <w:docPartUnique/>
        </w:docPartObj>
      </w:sdtPr>
      <w:sdtEndPr>
        <w:rPr>
          <w:noProof/>
        </w:rPr>
      </w:sdtEndPr>
      <w:sdtContent>
        <w:p w:rsidR="00674167" w:rsidRPr="00AE49C8" w:rsidRDefault="00674167">
          <w:pPr>
            <w:pStyle w:val="TOCHeading"/>
            <w:rPr>
              <w:rStyle w:val="Heading1Char"/>
              <w:rFonts w:cs="Arial"/>
              <w:b/>
            </w:rPr>
          </w:pPr>
          <w:r w:rsidRPr="00AE49C8">
            <w:rPr>
              <w:rStyle w:val="Heading1Char"/>
              <w:rFonts w:cs="Arial"/>
              <w:b/>
            </w:rPr>
            <w:t>Contents</w:t>
          </w:r>
        </w:p>
        <w:p w:rsidR="00674167" w:rsidRPr="00AE49C8" w:rsidRDefault="00674167" w:rsidP="00674167">
          <w:pPr>
            <w:rPr>
              <w:lang w:val="en-US" w:eastAsia="ja-JP"/>
            </w:rPr>
          </w:pPr>
        </w:p>
        <w:p w:rsidR="00DA4FEA" w:rsidRDefault="00674167">
          <w:pPr>
            <w:pStyle w:val="TOC1"/>
            <w:tabs>
              <w:tab w:val="right" w:leader="dot" w:pos="9016"/>
            </w:tabs>
            <w:rPr>
              <w:rFonts w:asciiTheme="minorHAnsi" w:eastAsiaTheme="minorEastAsia" w:hAnsiTheme="minorHAnsi" w:cstheme="minorBidi"/>
              <w:noProof/>
              <w:sz w:val="22"/>
              <w:lang w:eastAsia="en-GB"/>
            </w:rPr>
          </w:pPr>
          <w:r w:rsidRPr="00AE49C8">
            <w:fldChar w:fldCharType="begin"/>
          </w:r>
          <w:r w:rsidRPr="00AE49C8">
            <w:instrText xml:space="preserve"> TOC \o "1-3" \h \z \u </w:instrText>
          </w:r>
          <w:r w:rsidRPr="00AE49C8">
            <w:fldChar w:fldCharType="separate"/>
          </w:r>
          <w:hyperlink w:anchor="_Toc88633947" w:history="1">
            <w:r w:rsidR="00DA4FEA" w:rsidRPr="00A95AC8">
              <w:rPr>
                <w:rStyle w:val="Hyperlink"/>
                <w:noProof/>
              </w:rPr>
              <w:t>Introduction</w:t>
            </w:r>
            <w:r w:rsidR="00DA4FEA">
              <w:rPr>
                <w:noProof/>
                <w:webHidden/>
              </w:rPr>
              <w:tab/>
            </w:r>
            <w:r w:rsidR="00DA4FEA">
              <w:rPr>
                <w:noProof/>
                <w:webHidden/>
              </w:rPr>
              <w:fldChar w:fldCharType="begin"/>
            </w:r>
            <w:r w:rsidR="00DA4FEA">
              <w:rPr>
                <w:noProof/>
                <w:webHidden/>
              </w:rPr>
              <w:instrText xml:space="preserve"> PAGEREF _Toc88633947 \h </w:instrText>
            </w:r>
            <w:r w:rsidR="00DA4FEA">
              <w:rPr>
                <w:noProof/>
                <w:webHidden/>
              </w:rPr>
            </w:r>
            <w:r w:rsidR="00DA4FEA">
              <w:rPr>
                <w:noProof/>
                <w:webHidden/>
              </w:rPr>
              <w:fldChar w:fldCharType="separate"/>
            </w:r>
            <w:r w:rsidR="00DA4FEA">
              <w:rPr>
                <w:noProof/>
                <w:webHidden/>
              </w:rPr>
              <w:t>4</w:t>
            </w:r>
            <w:r w:rsidR="00DA4FEA">
              <w:rPr>
                <w:noProof/>
                <w:webHidden/>
              </w:rPr>
              <w:fldChar w:fldCharType="end"/>
            </w:r>
          </w:hyperlink>
        </w:p>
        <w:p w:rsidR="00DA4FEA" w:rsidRDefault="008E6F14">
          <w:pPr>
            <w:pStyle w:val="TOC1"/>
            <w:tabs>
              <w:tab w:val="right" w:leader="dot" w:pos="9016"/>
            </w:tabs>
            <w:rPr>
              <w:rFonts w:asciiTheme="minorHAnsi" w:eastAsiaTheme="minorEastAsia" w:hAnsiTheme="minorHAnsi" w:cstheme="minorBidi"/>
              <w:noProof/>
              <w:sz w:val="22"/>
              <w:lang w:eastAsia="en-GB"/>
            </w:rPr>
          </w:pPr>
          <w:hyperlink w:anchor="_Toc88633948" w:history="1">
            <w:r w:rsidR="00DA4FEA" w:rsidRPr="00A95AC8">
              <w:rPr>
                <w:rStyle w:val="Hyperlink"/>
                <w:noProof/>
              </w:rPr>
              <w:t>Who benefits from this report?</w:t>
            </w:r>
            <w:r w:rsidR="00DA4FEA">
              <w:rPr>
                <w:noProof/>
                <w:webHidden/>
              </w:rPr>
              <w:tab/>
            </w:r>
            <w:r w:rsidR="00DA4FEA">
              <w:rPr>
                <w:noProof/>
                <w:webHidden/>
              </w:rPr>
              <w:fldChar w:fldCharType="begin"/>
            </w:r>
            <w:r w:rsidR="00DA4FEA">
              <w:rPr>
                <w:noProof/>
                <w:webHidden/>
              </w:rPr>
              <w:instrText xml:space="preserve"> PAGEREF _Toc88633948 \h </w:instrText>
            </w:r>
            <w:r w:rsidR="00DA4FEA">
              <w:rPr>
                <w:noProof/>
                <w:webHidden/>
              </w:rPr>
            </w:r>
            <w:r w:rsidR="00DA4FEA">
              <w:rPr>
                <w:noProof/>
                <w:webHidden/>
              </w:rPr>
              <w:fldChar w:fldCharType="separate"/>
            </w:r>
            <w:r w:rsidR="00DA4FEA">
              <w:rPr>
                <w:noProof/>
                <w:webHidden/>
              </w:rPr>
              <w:t>5</w:t>
            </w:r>
            <w:r w:rsidR="00DA4FEA">
              <w:rPr>
                <w:noProof/>
                <w:webHidden/>
              </w:rPr>
              <w:fldChar w:fldCharType="end"/>
            </w:r>
          </w:hyperlink>
        </w:p>
        <w:p w:rsidR="00DA4FEA" w:rsidRDefault="008E6F14">
          <w:pPr>
            <w:pStyle w:val="TOC1"/>
            <w:tabs>
              <w:tab w:val="right" w:leader="dot" w:pos="9016"/>
            </w:tabs>
            <w:rPr>
              <w:rFonts w:asciiTheme="minorHAnsi" w:eastAsiaTheme="minorEastAsia" w:hAnsiTheme="minorHAnsi" w:cstheme="minorBidi"/>
              <w:noProof/>
              <w:sz w:val="22"/>
              <w:lang w:eastAsia="en-GB"/>
            </w:rPr>
          </w:pPr>
          <w:hyperlink w:anchor="_Toc88633949" w:history="1">
            <w:r w:rsidR="00DA4FEA" w:rsidRPr="00A95AC8">
              <w:rPr>
                <w:rStyle w:val="Hyperlink"/>
                <w:noProof/>
              </w:rPr>
              <w:t>Response to  COVID-19/Coronavirus Pandemic</w:t>
            </w:r>
            <w:r w:rsidR="00DA4FEA">
              <w:rPr>
                <w:noProof/>
                <w:webHidden/>
              </w:rPr>
              <w:tab/>
            </w:r>
            <w:r w:rsidR="00DA4FEA">
              <w:rPr>
                <w:noProof/>
                <w:webHidden/>
              </w:rPr>
              <w:fldChar w:fldCharType="begin"/>
            </w:r>
            <w:r w:rsidR="00DA4FEA">
              <w:rPr>
                <w:noProof/>
                <w:webHidden/>
              </w:rPr>
              <w:instrText xml:space="preserve"> PAGEREF _Toc88633949 \h </w:instrText>
            </w:r>
            <w:r w:rsidR="00DA4FEA">
              <w:rPr>
                <w:noProof/>
                <w:webHidden/>
              </w:rPr>
            </w:r>
            <w:r w:rsidR="00DA4FEA">
              <w:rPr>
                <w:noProof/>
                <w:webHidden/>
              </w:rPr>
              <w:fldChar w:fldCharType="separate"/>
            </w:r>
            <w:r w:rsidR="00DA4FEA">
              <w:rPr>
                <w:noProof/>
                <w:webHidden/>
              </w:rPr>
              <w:t>6</w:t>
            </w:r>
            <w:r w:rsidR="00DA4FEA">
              <w:rPr>
                <w:noProof/>
                <w:webHidden/>
              </w:rPr>
              <w:fldChar w:fldCharType="end"/>
            </w:r>
          </w:hyperlink>
        </w:p>
        <w:p w:rsidR="00DA4FEA" w:rsidRDefault="008E6F14">
          <w:pPr>
            <w:pStyle w:val="TOC1"/>
            <w:tabs>
              <w:tab w:val="right" w:leader="dot" w:pos="9016"/>
            </w:tabs>
            <w:rPr>
              <w:rFonts w:asciiTheme="minorHAnsi" w:eastAsiaTheme="minorEastAsia" w:hAnsiTheme="minorHAnsi" w:cstheme="minorBidi"/>
              <w:noProof/>
              <w:sz w:val="22"/>
              <w:lang w:eastAsia="en-GB"/>
            </w:rPr>
          </w:pPr>
          <w:hyperlink w:anchor="_Toc88633950" w:history="1">
            <w:r w:rsidR="00DA4FEA" w:rsidRPr="00A95AC8">
              <w:rPr>
                <w:rStyle w:val="Hyperlink"/>
                <w:noProof/>
              </w:rPr>
              <w:t>Vision statement</w:t>
            </w:r>
            <w:r w:rsidR="00DA4FEA">
              <w:rPr>
                <w:noProof/>
                <w:webHidden/>
              </w:rPr>
              <w:tab/>
            </w:r>
            <w:r w:rsidR="00DA4FEA">
              <w:rPr>
                <w:noProof/>
                <w:webHidden/>
              </w:rPr>
              <w:fldChar w:fldCharType="begin"/>
            </w:r>
            <w:r w:rsidR="00DA4FEA">
              <w:rPr>
                <w:noProof/>
                <w:webHidden/>
              </w:rPr>
              <w:instrText xml:space="preserve"> PAGEREF _Toc88633950 \h </w:instrText>
            </w:r>
            <w:r w:rsidR="00DA4FEA">
              <w:rPr>
                <w:noProof/>
                <w:webHidden/>
              </w:rPr>
            </w:r>
            <w:r w:rsidR="00DA4FEA">
              <w:rPr>
                <w:noProof/>
                <w:webHidden/>
              </w:rPr>
              <w:fldChar w:fldCharType="separate"/>
            </w:r>
            <w:r w:rsidR="00DA4FEA">
              <w:rPr>
                <w:noProof/>
                <w:webHidden/>
              </w:rPr>
              <w:t>7</w:t>
            </w:r>
            <w:r w:rsidR="00DA4FEA">
              <w:rPr>
                <w:noProof/>
                <w:webHidden/>
              </w:rPr>
              <w:fldChar w:fldCharType="end"/>
            </w:r>
          </w:hyperlink>
        </w:p>
        <w:p w:rsidR="00DA4FEA" w:rsidRDefault="008E6F14">
          <w:pPr>
            <w:pStyle w:val="TOC1"/>
            <w:tabs>
              <w:tab w:val="right" w:leader="dot" w:pos="9016"/>
            </w:tabs>
            <w:rPr>
              <w:rFonts w:asciiTheme="minorHAnsi" w:eastAsiaTheme="minorEastAsia" w:hAnsiTheme="minorHAnsi" w:cstheme="minorBidi"/>
              <w:noProof/>
              <w:sz w:val="22"/>
              <w:lang w:eastAsia="en-GB"/>
            </w:rPr>
          </w:pPr>
          <w:hyperlink w:anchor="_Toc88633951" w:history="1">
            <w:r w:rsidR="00DA4FEA" w:rsidRPr="00A95AC8">
              <w:rPr>
                <w:rStyle w:val="Hyperlink"/>
                <w:noProof/>
              </w:rPr>
              <w:t>What are the Equality Objectives for the Trusts?</w:t>
            </w:r>
            <w:r w:rsidR="00DA4FEA">
              <w:rPr>
                <w:noProof/>
                <w:webHidden/>
              </w:rPr>
              <w:tab/>
            </w:r>
            <w:r w:rsidR="00DA4FEA">
              <w:rPr>
                <w:noProof/>
                <w:webHidden/>
              </w:rPr>
              <w:fldChar w:fldCharType="begin"/>
            </w:r>
            <w:r w:rsidR="00DA4FEA">
              <w:rPr>
                <w:noProof/>
                <w:webHidden/>
              </w:rPr>
              <w:instrText xml:space="preserve"> PAGEREF _Toc88633951 \h </w:instrText>
            </w:r>
            <w:r w:rsidR="00DA4FEA">
              <w:rPr>
                <w:noProof/>
                <w:webHidden/>
              </w:rPr>
            </w:r>
            <w:r w:rsidR="00DA4FEA">
              <w:rPr>
                <w:noProof/>
                <w:webHidden/>
              </w:rPr>
              <w:fldChar w:fldCharType="separate"/>
            </w:r>
            <w:r w:rsidR="00DA4FEA">
              <w:rPr>
                <w:noProof/>
                <w:webHidden/>
              </w:rPr>
              <w:t>8</w:t>
            </w:r>
            <w:r w:rsidR="00DA4FEA">
              <w:rPr>
                <w:noProof/>
                <w:webHidden/>
              </w:rPr>
              <w:fldChar w:fldCharType="end"/>
            </w:r>
          </w:hyperlink>
        </w:p>
        <w:p w:rsidR="00DA4FEA" w:rsidRDefault="008E6F14">
          <w:pPr>
            <w:pStyle w:val="TOC1"/>
            <w:tabs>
              <w:tab w:val="right" w:leader="dot" w:pos="9016"/>
            </w:tabs>
            <w:rPr>
              <w:rFonts w:asciiTheme="minorHAnsi" w:eastAsiaTheme="minorEastAsia" w:hAnsiTheme="minorHAnsi" w:cstheme="minorBidi"/>
              <w:noProof/>
              <w:sz w:val="22"/>
              <w:lang w:eastAsia="en-GB"/>
            </w:rPr>
          </w:pPr>
          <w:hyperlink w:anchor="_Toc88633952" w:history="1">
            <w:r w:rsidR="00DA4FEA" w:rsidRPr="00A95AC8">
              <w:rPr>
                <w:rStyle w:val="Hyperlink"/>
                <w:noProof/>
              </w:rPr>
              <w:t>What is the Trust doing to further the inclusion agenda?</w:t>
            </w:r>
            <w:r w:rsidR="00DA4FEA">
              <w:rPr>
                <w:noProof/>
                <w:webHidden/>
              </w:rPr>
              <w:tab/>
            </w:r>
            <w:r w:rsidR="00DA4FEA">
              <w:rPr>
                <w:noProof/>
                <w:webHidden/>
              </w:rPr>
              <w:fldChar w:fldCharType="begin"/>
            </w:r>
            <w:r w:rsidR="00DA4FEA">
              <w:rPr>
                <w:noProof/>
                <w:webHidden/>
              </w:rPr>
              <w:instrText xml:space="preserve"> PAGEREF _Toc88633952 \h </w:instrText>
            </w:r>
            <w:r w:rsidR="00DA4FEA">
              <w:rPr>
                <w:noProof/>
                <w:webHidden/>
              </w:rPr>
            </w:r>
            <w:r w:rsidR="00DA4FEA">
              <w:rPr>
                <w:noProof/>
                <w:webHidden/>
              </w:rPr>
              <w:fldChar w:fldCharType="separate"/>
            </w:r>
            <w:r w:rsidR="00DA4FEA">
              <w:rPr>
                <w:noProof/>
                <w:webHidden/>
              </w:rPr>
              <w:t>9</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53" w:history="1">
            <w:r w:rsidR="00DA4FEA" w:rsidRPr="00A95AC8">
              <w:rPr>
                <w:rStyle w:val="Hyperlink"/>
                <w:noProof/>
              </w:rPr>
              <w:t>Diversity Matters Steering Group (DMSG) and Diversity Matters Group (DMG)</w:t>
            </w:r>
            <w:r w:rsidR="00DA4FEA">
              <w:rPr>
                <w:noProof/>
                <w:webHidden/>
              </w:rPr>
              <w:tab/>
            </w:r>
            <w:r w:rsidR="00DA4FEA">
              <w:rPr>
                <w:noProof/>
                <w:webHidden/>
              </w:rPr>
              <w:fldChar w:fldCharType="begin"/>
            </w:r>
            <w:r w:rsidR="00DA4FEA">
              <w:rPr>
                <w:noProof/>
                <w:webHidden/>
              </w:rPr>
              <w:instrText xml:space="preserve"> PAGEREF _Toc88633953 \h </w:instrText>
            </w:r>
            <w:r w:rsidR="00DA4FEA">
              <w:rPr>
                <w:noProof/>
                <w:webHidden/>
              </w:rPr>
            </w:r>
            <w:r w:rsidR="00DA4FEA">
              <w:rPr>
                <w:noProof/>
                <w:webHidden/>
              </w:rPr>
              <w:fldChar w:fldCharType="separate"/>
            </w:r>
            <w:r w:rsidR="00DA4FEA">
              <w:rPr>
                <w:noProof/>
                <w:webHidden/>
              </w:rPr>
              <w:t>9</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54" w:history="1">
            <w:r w:rsidR="00DA4FEA" w:rsidRPr="00A95AC8">
              <w:rPr>
                <w:rStyle w:val="Hyperlink"/>
                <w:noProof/>
              </w:rPr>
              <w:t>Gender Pay Gap Reporting</w:t>
            </w:r>
            <w:r w:rsidR="00DA4FEA">
              <w:rPr>
                <w:noProof/>
                <w:webHidden/>
              </w:rPr>
              <w:tab/>
            </w:r>
            <w:r w:rsidR="00DA4FEA">
              <w:rPr>
                <w:noProof/>
                <w:webHidden/>
              </w:rPr>
              <w:fldChar w:fldCharType="begin"/>
            </w:r>
            <w:r w:rsidR="00DA4FEA">
              <w:rPr>
                <w:noProof/>
                <w:webHidden/>
              </w:rPr>
              <w:instrText xml:space="preserve"> PAGEREF _Toc88633954 \h </w:instrText>
            </w:r>
            <w:r w:rsidR="00DA4FEA">
              <w:rPr>
                <w:noProof/>
                <w:webHidden/>
              </w:rPr>
            </w:r>
            <w:r w:rsidR="00DA4FEA">
              <w:rPr>
                <w:noProof/>
                <w:webHidden/>
              </w:rPr>
              <w:fldChar w:fldCharType="separate"/>
            </w:r>
            <w:r w:rsidR="00DA4FEA">
              <w:rPr>
                <w:noProof/>
                <w:webHidden/>
              </w:rPr>
              <w:t>9</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55" w:history="1">
            <w:r w:rsidR="00DA4FEA" w:rsidRPr="00A95AC8">
              <w:rPr>
                <w:rStyle w:val="Hyperlink"/>
                <w:noProof/>
              </w:rPr>
              <w:t>NHS England Equality Standards</w:t>
            </w:r>
            <w:r w:rsidR="00DA4FEA">
              <w:rPr>
                <w:noProof/>
                <w:webHidden/>
              </w:rPr>
              <w:tab/>
            </w:r>
            <w:r w:rsidR="00DA4FEA">
              <w:rPr>
                <w:noProof/>
                <w:webHidden/>
              </w:rPr>
              <w:fldChar w:fldCharType="begin"/>
            </w:r>
            <w:r w:rsidR="00DA4FEA">
              <w:rPr>
                <w:noProof/>
                <w:webHidden/>
              </w:rPr>
              <w:instrText xml:space="preserve"> PAGEREF _Toc88633955 \h </w:instrText>
            </w:r>
            <w:r w:rsidR="00DA4FEA">
              <w:rPr>
                <w:noProof/>
                <w:webHidden/>
              </w:rPr>
            </w:r>
            <w:r w:rsidR="00DA4FEA">
              <w:rPr>
                <w:noProof/>
                <w:webHidden/>
              </w:rPr>
              <w:fldChar w:fldCharType="separate"/>
            </w:r>
            <w:r w:rsidR="00DA4FEA">
              <w:rPr>
                <w:noProof/>
                <w:webHidden/>
              </w:rPr>
              <w:t>10</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56" w:history="1">
            <w:r w:rsidR="00DA4FEA" w:rsidRPr="00A95AC8">
              <w:rPr>
                <w:rStyle w:val="Hyperlink"/>
                <w:noProof/>
              </w:rPr>
              <w:t>The Inclusion Team</w:t>
            </w:r>
            <w:r w:rsidR="00DA4FEA">
              <w:rPr>
                <w:noProof/>
                <w:webHidden/>
              </w:rPr>
              <w:tab/>
            </w:r>
            <w:r w:rsidR="00DA4FEA">
              <w:rPr>
                <w:noProof/>
                <w:webHidden/>
              </w:rPr>
              <w:fldChar w:fldCharType="begin"/>
            </w:r>
            <w:r w:rsidR="00DA4FEA">
              <w:rPr>
                <w:noProof/>
                <w:webHidden/>
              </w:rPr>
              <w:instrText xml:space="preserve"> PAGEREF _Toc88633956 \h </w:instrText>
            </w:r>
            <w:r w:rsidR="00DA4FEA">
              <w:rPr>
                <w:noProof/>
                <w:webHidden/>
              </w:rPr>
            </w:r>
            <w:r w:rsidR="00DA4FEA">
              <w:rPr>
                <w:noProof/>
                <w:webHidden/>
              </w:rPr>
              <w:fldChar w:fldCharType="separate"/>
            </w:r>
            <w:r w:rsidR="00DA4FEA">
              <w:rPr>
                <w:noProof/>
                <w:webHidden/>
              </w:rPr>
              <w:t>11</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57" w:history="1">
            <w:r w:rsidR="00DA4FEA" w:rsidRPr="00A95AC8">
              <w:rPr>
                <w:rStyle w:val="Hyperlink"/>
                <w:noProof/>
              </w:rPr>
              <w:t>Due Regard Assessments</w:t>
            </w:r>
            <w:r w:rsidR="00DA4FEA">
              <w:rPr>
                <w:noProof/>
                <w:webHidden/>
              </w:rPr>
              <w:tab/>
            </w:r>
            <w:r w:rsidR="00DA4FEA">
              <w:rPr>
                <w:noProof/>
                <w:webHidden/>
              </w:rPr>
              <w:fldChar w:fldCharType="begin"/>
            </w:r>
            <w:r w:rsidR="00DA4FEA">
              <w:rPr>
                <w:noProof/>
                <w:webHidden/>
              </w:rPr>
              <w:instrText xml:space="preserve"> PAGEREF _Toc88633957 \h </w:instrText>
            </w:r>
            <w:r w:rsidR="00DA4FEA">
              <w:rPr>
                <w:noProof/>
                <w:webHidden/>
              </w:rPr>
            </w:r>
            <w:r w:rsidR="00DA4FEA">
              <w:rPr>
                <w:noProof/>
                <w:webHidden/>
              </w:rPr>
              <w:fldChar w:fldCharType="separate"/>
            </w:r>
            <w:r w:rsidR="00DA4FEA">
              <w:rPr>
                <w:noProof/>
                <w:webHidden/>
              </w:rPr>
              <w:t>11</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58" w:history="1">
            <w:r w:rsidR="00DA4FEA" w:rsidRPr="00A95AC8">
              <w:rPr>
                <w:rStyle w:val="Hyperlink"/>
                <w:noProof/>
              </w:rPr>
              <w:t>Freedom of Information Request</w:t>
            </w:r>
            <w:r w:rsidR="00DA4FEA">
              <w:rPr>
                <w:noProof/>
                <w:webHidden/>
              </w:rPr>
              <w:tab/>
            </w:r>
            <w:r w:rsidR="00DA4FEA">
              <w:rPr>
                <w:noProof/>
                <w:webHidden/>
              </w:rPr>
              <w:fldChar w:fldCharType="begin"/>
            </w:r>
            <w:r w:rsidR="00DA4FEA">
              <w:rPr>
                <w:noProof/>
                <w:webHidden/>
              </w:rPr>
              <w:instrText xml:space="preserve"> PAGEREF _Toc88633958 \h </w:instrText>
            </w:r>
            <w:r w:rsidR="00DA4FEA">
              <w:rPr>
                <w:noProof/>
                <w:webHidden/>
              </w:rPr>
            </w:r>
            <w:r w:rsidR="00DA4FEA">
              <w:rPr>
                <w:noProof/>
                <w:webHidden/>
              </w:rPr>
              <w:fldChar w:fldCharType="separate"/>
            </w:r>
            <w:r w:rsidR="00DA4FEA">
              <w:rPr>
                <w:noProof/>
                <w:webHidden/>
              </w:rPr>
              <w:t>11</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59" w:history="1">
            <w:r w:rsidR="00DA4FEA" w:rsidRPr="00A95AC8">
              <w:rPr>
                <w:rStyle w:val="Hyperlink"/>
                <w:noProof/>
              </w:rPr>
              <w:t>Staff Conferences</w:t>
            </w:r>
            <w:r w:rsidR="00DA4FEA">
              <w:rPr>
                <w:noProof/>
                <w:webHidden/>
              </w:rPr>
              <w:tab/>
            </w:r>
            <w:r w:rsidR="00DA4FEA">
              <w:rPr>
                <w:noProof/>
                <w:webHidden/>
              </w:rPr>
              <w:fldChar w:fldCharType="begin"/>
            </w:r>
            <w:r w:rsidR="00DA4FEA">
              <w:rPr>
                <w:noProof/>
                <w:webHidden/>
              </w:rPr>
              <w:instrText xml:space="preserve"> PAGEREF _Toc88633959 \h </w:instrText>
            </w:r>
            <w:r w:rsidR="00DA4FEA">
              <w:rPr>
                <w:noProof/>
                <w:webHidden/>
              </w:rPr>
            </w:r>
            <w:r w:rsidR="00DA4FEA">
              <w:rPr>
                <w:noProof/>
                <w:webHidden/>
              </w:rPr>
              <w:fldChar w:fldCharType="separate"/>
            </w:r>
            <w:r w:rsidR="00DA4FEA">
              <w:rPr>
                <w:noProof/>
                <w:webHidden/>
              </w:rPr>
              <w:t>11</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60" w:history="1">
            <w:r w:rsidR="00DA4FEA" w:rsidRPr="00A95AC8">
              <w:rPr>
                <w:rStyle w:val="Hyperlink"/>
                <w:noProof/>
              </w:rPr>
              <w:t>Staff Networks and Groups  Disabled Staff Network (RSCH) and Disability Forum (WSHT)</w:t>
            </w:r>
            <w:r w:rsidR="00DA4FEA">
              <w:rPr>
                <w:noProof/>
                <w:webHidden/>
              </w:rPr>
              <w:tab/>
            </w:r>
            <w:r w:rsidR="00DA4FEA">
              <w:rPr>
                <w:noProof/>
                <w:webHidden/>
              </w:rPr>
              <w:fldChar w:fldCharType="begin"/>
            </w:r>
            <w:r w:rsidR="00DA4FEA">
              <w:rPr>
                <w:noProof/>
                <w:webHidden/>
              </w:rPr>
              <w:instrText xml:space="preserve"> PAGEREF _Toc88633960 \h </w:instrText>
            </w:r>
            <w:r w:rsidR="00DA4FEA">
              <w:rPr>
                <w:noProof/>
                <w:webHidden/>
              </w:rPr>
            </w:r>
            <w:r w:rsidR="00DA4FEA">
              <w:rPr>
                <w:noProof/>
                <w:webHidden/>
              </w:rPr>
              <w:fldChar w:fldCharType="separate"/>
            </w:r>
            <w:r w:rsidR="00DA4FEA">
              <w:rPr>
                <w:noProof/>
                <w:webHidden/>
              </w:rPr>
              <w:t>12</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61" w:history="1">
            <w:r w:rsidR="00DA4FEA" w:rsidRPr="00A95AC8">
              <w:rPr>
                <w:rStyle w:val="Hyperlink"/>
                <w:noProof/>
              </w:rPr>
              <w:t>Information to support the workforce and patients</w:t>
            </w:r>
            <w:r w:rsidR="00DA4FEA">
              <w:rPr>
                <w:noProof/>
                <w:webHidden/>
              </w:rPr>
              <w:tab/>
            </w:r>
            <w:r w:rsidR="00DA4FEA">
              <w:rPr>
                <w:noProof/>
                <w:webHidden/>
              </w:rPr>
              <w:fldChar w:fldCharType="begin"/>
            </w:r>
            <w:r w:rsidR="00DA4FEA">
              <w:rPr>
                <w:noProof/>
                <w:webHidden/>
              </w:rPr>
              <w:instrText xml:space="preserve"> PAGEREF _Toc88633961 \h </w:instrText>
            </w:r>
            <w:r w:rsidR="00DA4FEA">
              <w:rPr>
                <w:noProof/>
                <w:webHidden/>
              </w:rPr>
            </w:r>
            <w:r w:rsidR="00DA4FEA">
              <w:rPr>
                <w:noProof/>
                <w:webHidden/>
              </w:rPr>
              <w:fldChar w:fldCharType="separate"/>
            </w:r>
            <w:r w:rsidR="00DA4FEA">
              <w:rPr>
                <w:noProof/>
                <w:webHidden/>
              </w:rPr>
              <w:t>17</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62" w:history="1">
            <w:r w:rsidR="00DA4FEA" w:rsidRPr="00A95AC8">
              <w:rPr>
                <w:rStyle w:val="Hyperlink"/>
                <w:noProof/>
              </w:rPr>
              <w:t>Recruitment</w:t>
            </w:r>
            <w:r w:rsidR="00DA4FEA">
              <w:rPr>
                <w:noProof/>
                <w:webHidden/>
              </w:rPr>
              <w:tab/>
            </w:r>
            <w:r w:rsidR="00DA4FEA">
              <w:rPr>
                <w:noProof/>
                <w:webHidden/>
              </w:rPr>
              <w:fldChar w:fldCharType="begin"/>
            </w:r>
            <w:r w:rsidR="00DA4FEA">
              <w:rPr>
                <w:noProof/>
                <w:webHidden/>
              </w:rPr>
              <w:instrText xml:space="preserve"> PAGEREF _Toc88633962 \h </w:instrText>
            </w:r>
            <w:r w:rsidR="00DA4FEA">
              <w:rPr>
                <w:noProof/>
                <w:webHidden/>
              </w:rPr>
            </w:r>
            <w:r w:rsidR="00DA4FEA">
              <w:rPr>
                <w:noProof/>
                <w:webHidden/>
              </w:rPr>
              <w:fldChar w:fldCharType="separate"/>
            </w:r>
            <w:r w:rsidR="00DA4FEA">
              <w:rPr>
                <w:noProof/>
                <w:webHidden/>
              </w:rPr>
              <w:t>17</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63" w:history="1">
            <w:r w:rsidR="00DA4FEA" w:rsidRPr="00A95AC8">
              <w:rPr>
                <w:rStyle w:val="Hyperlink"/>
                <w:noProof/>
              </w:rPr>
              <w:t>Training</w:t>
            </w:r>
            <w:r w:rsidR="00DA4FEA">
              <w:rPr>
                <w:noProof/>
                <w:webHidden/>
              </w:rPr>
              <w:tab/>
            </w:r>
            <w:r w:rsidR="00DA4FEA">
              <w:rPr>
                <w:noProof/>
                <w:webHidden/>
              </w:rPr>
              <w:fldChar w:fldCharType="begin"/>
            </w:r>
            <w:r w:rsidR="00DA4FEA">
              <w:rPr>
                <w:noProof/>
                <w:webHidden/>
              </w:rPr>
              <w:instrText xml:space="preserve"> PAGEREF _Toc88633963 \h </w:instrText>
            </w:r>
            <w:r w:rsidR="00DA4FEA">
              <w:rPr>
                <w:noProof/>
                <w:webHidden/>
              </w:rPr>
            </w:r>
            <w:r w:rsidR="00DA4FEA">
              <w:rPr>
                <w:noProof/>
                <w:webHidden/>
              </w:rPr>
              <w:fldChar w:fldCharType="separate"/>
            </w:r>
            <w:r w:rsidR="00DA4FEA">
              <w:rPr>
                <w:noProof/>
                <w:webHidden/>
              </w:rPr>
              <w:t>17</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64" w:history="1">
            <w:r w:rsidR="00DA4FEA" w:rsidRPr="00A95AC8">
              <w:rPr>
                <w:rStyle w:val="Hyperlink"/>
                <w:noProof/>
              </w:rPr>
              <w:t>Service Improvements and other initiatives</w:t>
            </w:r>
            <w:r w:rsidR="00DA4FEA">
              <w:rPr>
                <w:noProof/>
                <w:webHidden/>
              </w:rPr>
              <w:tab/>
            </w:r>
            <w:r w:rsidR="00DA4FEA">
              <w:rPr>
                <w:noProof/>
                <w:webHidden/>
              </w:rPr>
              <w:fldChar w:fldCharType="begin"/>
            </w:r>
            <w:r w:rsidR="00DA4FEA">
              <w:rPr>
                <w:noProof/>
                <w:webHidden/>
              </w:rPr>
              <w:instrText xml:space="preserve"> PAGEREF _Toc88633964 \h </w:instrText>
            </w:r>
            <w:r w:rsidR="00DA4FEA">
              <w:rPr>
                <w:noProof/>
                <w:webHidden/>
              </w:rPr>
            </w:r>
            <w:r w:rsidR="00DA4FEA">
              <w:rPr>
                <w:noProof/>
                <w:webHidden/>
              </w:rPr>
              <w:fldChar w:fldCharType="separate"/>
            </w:r>
            <w:r w:rsidR="00DA4FEA">
              <w:rPr>
                <w:noProof/>
                <w:webHidden/>
              </w:rPr>
              <w:t>17</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65" w:history="1">
            <w:r w:rsidR="00DA4FEA" w:rsidRPr="00A95AC8">
              <w:rPr>
                <w:rStyle w:val="Hyperlink"/>
                <w:noProof/>
              </w:rPr>
              <w:t>Engagement with Patient Experience</w:t>
            </w:r>
            <w:r w:rsidR="00DA4FEA">
              <w:rPr>
                <w:noProof/>
                <w:webHidden/>
              </w:rPr>
              <w:tab/>
            </w:r>
            <w:r w:rsidR="00DA4FEA">
              <w:rPr>
                <w:noProof/>
                <w:webHidden/>
              </w:rPr>
              <w:fldChar w:fldCharType="begin"/>
            </w:r>
            <w:r w:rsidR="00DA4FEA">
              <w:rPr>
                <w:noProof/>
                <w:webHidden/>
              </w:rPr>
              <w:instrText xml:space="preserve"> PAGEREF _Toc88633965 \h </w:instrText>
            </w:r>
            <w:r w:rsidR="00DA4FEA">
              <w:rPr>
                <w:noProof/>
                <w:webHidden/>
              </w:rPr>
            </w:r>
            <w:r w:rsidR="00DA4FEA">
              <w:rPr>
                <w:noProof/>
                <w:webHidden/>
              </w:rPr>
              <w:fldChar w:fldCharType="separate"/>
            </w:r>
            <w:r w:rsidR="00DA4FEA">
              <w:rPr>
                <w:noProof/>
                <w:webHidden/>
              </w:rPr>
              <w:t>19</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66" w:history="1">
            <w:r w:rsidR="00DA4FEA" w:rsidRPr="00A95AC8">
              <w:rPr>
                <w:rStyle w:val="Hyperlink"/>
                <w:noProof/>
              </w:rPr>
              <w:t>The Learning Disability Liaison Team (LDLT)</w:t>
            </w:r>
            <w:r w:rsidR="00DA4FEA">
              <w:rPr>
                <w:noProof/>
                <w:webHidden/>
              </w:rPr>
              <w:tab/>
            </w:r>
            <w:r w:rsidR="00DA4FEA">
              <w:rPr>
                <w:noProof/>
                <w:webHidden/>
              </w:rPr>
              <w:fldChar w:fldCharType="begin"/>
            </w:r>
            <w:r w:rsidR="00DA4FEA">
              <w:rPr>
                <w:noProof/>
                <w:webHidden/>
              </w:rPr>
              <w:instrText xml:space="preserve"> PAGEREF _Toc88633966 \h </w:instrText>
            </w:r>
            <w:r w:rsidR="00DA4FEA">
              <w:rPr>
                <w:noProof/>
                <w:webHidden/>
              </w:rPr>
            </w:r>
            <w:r w:rsidR="00DA4FEA">
              <w:rPr>
                <w:noProof/>
                <w:webHidden/>
              </w:rPr>
              <w:fldChar w:fldCharType="separate"/>
            </w:r>
            <w:r w:rsidR="00DA4FEA">
              <w:rPr>
                <w:noProof/>
                <w:webHidden/>
              </w:rPr>
              <w:t>21</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67" w:history="1">
            <w:r w:rsidR="00DA4FEA" w:rsidRPr="00A95AC8">
              <w:rPr>
                <w:rStyle w:val="Hyperlink"/>
                <w:noProof/>
              </w:rPr>
              <w:t>Changing Places</w:t>
            </w:r>
            <w:r w:rsidR="00DA4FEA">
              <w:rPr>
                <w:noProof/>
                <w:webHidden/>
              </w:rPr>
              <w:tab/>
            </w:r>
            <w:r w:rsidR="00DA4FEA">
              <w:rPr>
                <w:noProof/>
                <w:webHidden/>
              </w:rPr>
              <w:fldChar w:fldCharType="begin"/>
            </w:r>
            <w:r w:rsidR="00DA4FEA">
              <w:rPr>
                <w:noProof/>
                <w:webHidden/>
              </w:rPr>
              <w:instrText xml:space="preserve"> PAGEREF _Toc88633967 \h </w:instrText>
            </w:r>
            <w:r w:rsidR="00DA4FEA">
              <w:rPr>
                <w:noProof/>
                <w:webHidden/>
              </w:rPr>
            </w:r>
            <w:r w:rsidR="00DA4FEA">
              <w:rPr>
                <w:noProof/>
                <w:webHidden/>
              </w:rPr>
              <w:fldChar w:fldCharType="separate"/>
            </w:r>
            <w:r w:rsidR="00DA4FEA">
              <w:rPr>
                <w:noProof/>
                <w:webHidden/>
              </w:rPr>
              <w:t>22</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68" w:history="1">
            <w:r w:rsidR="00DA4FEA" w:rsidRPr="00A95AC8">
              <w:rPr>
                <w:rStyle w:val="Hyperlink"/>
                <w:noProof/>
              </w:rPr>
              <w:t>Going home packs for vulnerable patients</w:t>
            </w:r>
            <w:r w:rsidR="00DA4FEA">
              <w:rPr>
                <w:noProof/>
                <w:webHidden/>
              </w:rPr>
              <w:tab/>
            </w:r>
            <w:r w:rsidR="00DA4FEA">
              <w:rPr>
                <w:noProof/>
                <w:webHidden/>
              </w:rPr>
              <w:fldChar w:fldCharType="begin"/>
            </w:r>
            <w:r w:rsidR="00DA4FEA">
              <w:rPr>
                <w:noProof/>
                <w:webHidden/>
              </w:rPr>
              <w:instrText xml:space="preserve"> PAGEREF _Toc88633968 \h </w:instrText>
            </w:r>
            <w:r w:rsidR="00DA4FEA">
              <w:rPr>
                <w:noProof/>
                <w:webHidden/>
              </w:rPr>
            </w:r>
            <w:r w:rsidR="00DA4FEA">
              <w:rPr>
                <w:noProof/>
                <w:webHidden/>
              </w:rPr>
              <w:fldChar w:fldCharType="separate"/>
            </w:r>
            <w:r w:rsidR="00DA4FEA">
              <w:rPr>
                <w:noProof/>
                <w:webHidden/>
              </w:rPr>
              <w:t>22</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69" w:history="1">
            <w:r w:rsidR="00DA4FEA" w:rsidRPr="00A95AC8">
              <w:rPr>
                <w:rStyle w:val="Hyperlink"/>
                <w:noProof/>
              </w:rPr>
              <w:t>Pin badges for baby loss awareness</w:t>
            </w:r>
            <w:r w:rsidR="00DA4FEA">
              <w:rPr>
                <w:noProof/>
                <w:webHidden/>
              </w:rPr>
              <w:tab/>
            </w:r>
            <w:r w:rsidR="00DA4FEA">
              <w:rPr>
                <w:noProof/>
                <w:webHidden/>
              </w:rPr>
              <w:fldChar w:fldCharType="begin"/>
            </w:r>
            <w:r w:rsidR="00DA4FEA">
              <w:rPr>
                <w:noProof/>
                <w:webHidden/>
              </w:rPr>
              <w:instrText xml:space="preserve"> PAGEREF _Toc88633969 \h </w:instrText>
            </w:r>
            <w:r w:rsidR="00DA4FEA">
              <w:rPr>
                <w:noProof/>
                <w:webHidden/>
              </w:rPr>
            </w:r>
            <w:r w:rsidR="00DA4FEA">
              <w:rPr>
                <w:noProof/>
                <w:webHidden/>
              </w:rPr>
              <w:fldChar w:fldCharType="separate"/>
            </w:r>
            <w:r w:rsidR="00DA4FEA">
              <w:rPr>
                <w:noProof/>
                <w:webHidden/>
              </w:rPr>
              <w:t>22</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70" w:history="1">
            <w:r w:rsidR="00DA4FEA" w:rsidRPr="00A95AC8">
              <w:rPr>
                <w:rStyle w:val="Hyperlink"/>
                <w:noProof/>
              </w:rPr>
              <w:t>Freedom to Speak Up Guardian</w:t>
            </w:r>
            <w:r w:rsidR="00DA4FEA">
              <w:rPr>
                <w:noProof/>
                <w:webHidden/>
              </w:rPr>
              <w:tab/>
            </w:r>
            <w:r w:rsidR="00DA4FEA">
              <w:rPr>
                <w:noProof/>
                <w:webHidden/>
              </w:rPr>
              <w:fldChar w:fldCharType="begin"/>
            </w:r>
            <w:r w:rsidR="00DA4FEA">
              <w:rPr>
                <w:noProof/>
                <w:webHidden/>
              </w:rPr>
              <w:instrText xml:space="preserve"> PAGEREF _Toc88633970 \h </w:instrText>
            </w:r>
            <w:r w:rsidR="00DA4FEA">
              <w:rPr>
                <w:noProof/>
                <w:webHidden/>
              </w:rPr>
            </w:r>
            <w:r w:rsidR="00DA4FEA">
              <w:rPr>
                <w:noProof/>
                <w:webHidden/>
              </w:rPr>
              <w:fldChar w:fldCharType="separate"/>
            </w:r>
            <w:r w:rsidR="00DA4FEA">
              <w:rPr>
                <w:noProof/>
                <w:webHidden/>
              </w:rPr>
              <w:t>22</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71" w:history="1">
            <w:r w:rsidR="00DA4FEA" w:rsidRPr="00A95AC8">
              <w:rPr>
                <w:rStyle w:val="Hyperlink"/>
                <w:noProof/>
              </w:rPr>
              <w:t>HELP Service – Health, Employee, Learning and Psychotherapy</w:t>
            </w:r>
            <w:r w:rsidR="00DA4FEA">
              <w:rPr>
                <w:noProof/>
                <w:webHidden/>
              </w:rPr>
              <w:tab/>
            </w:r>
            <w:r w:rsidR="00DA4FEA">
              <w:rPr>
                <w:noProof/>
                <w:webHidden/>
              </w:rPr>
              <w:fldChar w:fldCharType="begin"/>
            </w:r>
            <w:r w:rsidR="00DA4FEA">
              <w:rPr>
                <w:noProof/>
                <w:webHidden/>
              </w:rPr>
              <w:instrText xml:space="preserve"> PAGEREF _Toc88633971 \h </w:instrText>
            </w:r>
            <w:r w:rsidR="00DA4FEA">
              <w:rPr>
                <w:noProof/>
                <w:webHidden/>
              </w:rPr>
            </w:r>
            <w:r w:rsidR="00DA4FEA">
              <w:rPr>
                <w:noProof/>
                <w:webHidden/>
              </w:rPr>
              <w:fldChar w:fldCharType="separate"/>
            </w:r>
            <w:r w:rsidR="00DA4FEA">
              <w:rPr>
                <w:noProof/>
                <w:webHidden/>
              </w:rPr>
              <w:t>23</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72" w:history="1">
            <w:r w:rsidR="00DA4FEA" w:rsidRPr="00A95AC8">
              <w:rPr>
                <w:rStyle w:val="Hyperlink"/>
                <w:noProof/>
              </w:rPr>
              <w:t>Occupational Health Services</w:t>
            </w:r>
            <w:r w:rsidR="00DA4FEA">
              <w:rPr>
                <w:noProof/>
                <w:webHidden/>
              </w:rPr>
              <w:tab/>
            </w:r>
            <w:r w:rsidR="00DA4FEA">
              <w:rPr>
                <w:noProof/>
                <w:webHidden/>
              </w:rPr>
              <w:fldChar w:fldCharType="begin"/>
            </w:r>
            <w:r w:rsidR="00DA4FEA">
              <w:rPr>
                <w:noProof/>
                <w:webHidden/>
              </w:rPr>
              <w:instrText xml:space="preserve"> PAGEREF _Toc88633972 \h </w:instrText>
            </w:r>
            <w:r w:rsidR="00DA4FEA">
              <w:rPr>
                <w:noProof/>
                <w:webHidden/>
              </w:rPr>
            </w:r>
            <w:r w:rsidR="00DA4FEA">
              <w:rPr>
                <w:noProof/>
                <w:webHidden/>
              </w:rPr>
              <w:fldChar w:fldCharType="separate"/>
            </w:r>
            <w:r w:rsidR="00DA4FEA">
              <w:rPr>
                <w:noProof/>
                <w:webHidden/>
              </w:rPr>
              <w:t>24</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73" w:history="1">
            <w:r w:rsidR="00DA4FEA" w:rsidRPr="00A95AC8">
              <w:rPr>
                <w:rStyle w:val="Hyperlink"/>
                <w:noProof/>
              </w:rPr>
              <w:t>Improvements to staff health and wellbeing offer</w:t>
            </w:r>
            <w:r w:rsidR="00DA4FEA">
              <w:rPr>
                <w:noProof/>
                <w:webHidden/>
              </w:rPr>
              <w:tab/>
            </w:r>
            <w:r w:rsidR="00DA4FEA">
              <w:rPr>
                <w:noProof/>
                <w:webHidden/>
              </w:rPr>
              <w:fldChar w:fldCharType="begin"/>
            </w:r>
            <w:r w:rsidR="00DA4FEA">
              <w:rPr>
                <w:noProof/>
                <w:webHidden/>
              </w:rPr>
              <w:instrText xml:space="preserve"> PAGEREF _Toc88633973 \h </w:instrText>
            </w:r>
            <w:r w:rsidR="00DA4FEA">
              <w:rPr>
                <w:noProof/>
                <w:webHidden/>
              </w:rPr>
            </w:r>
            <w:r w:rsidR="00DA4FEA">
              <w:rPr>
                <w:noProof/>
                <w:webHidden/>
              </w:rPr>
              <w:fldChar w:fldCharType="separate"/>
            </w:r>
            <w:r w:rsidR="00DA4FEA">
              <w:rPr>
                <w:noProof/>
                <w:webHidden/>
              </w:rPr>
              <w:t>26</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74" w:history="1">
            <w:r w:rsidR="00DA4FEA" w:rsidRPr="00A95AC8">
              <w:rPr>
                <w:rStyle w:val="Hyperlink"/>
                <w:noProof/>
              </w:rPr>
              <w:t>Risk Assessment Advisory Panel</w:t>
            </w:r>
            <w:r w:rsidR="00DA4FEA">
              <w:rPr>
                <w:noProof/>
                <w:webHidden/>
              </w:rPr>
              <w:tab/>
            </w:r>
            <w:r w:rsidR="00DA4FEA">
              <w:rPr>
                <w:noProof/>
                <w:webHidden/>
              </w:rPr>
              <w:fldChar w:fldCharType="begin"/>
            </w:r>
            <w:r w:rsidR="00DA4FEA">
              <w:rPr>
                <w:noProof/>
                <w:webHidden/>
              </w:rPr>
              <w:instrText xml:space="preserve"> PAGEREF _Toc88633974 \h </w:instrText>
            </w:r>
            <w:r w:rsidR="00DA4FEA">
              <w:rPr>
                <w:noProof/>
                <w:webHidden/>
              </w:rPr>
            </w:r>
            <w:r w:rsidR="00DA4FEA">
              <w:rPr>
                <w:noProof/>
                <w:webHidden/>
              </w:rPr>
              <w:fldChar w:fldCharType="separate"/>
            </w:r>
            <w:r w:rsidR="00DA4FEA">
              <w:rPr>
                <w:noProof/>
                <w:webHidden/>
              </w:rPr>
              <w:t>26</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75" w:history="1">
            <w:r w:rsidR="00DA4FEA" w:rsidRPr="00A95AC8">
              <w:rPr>
                <w:rStyle w:val="Hyperlink"/>
                <w:noProof/>
              </w:rPr>
              <w:t>Interpretation and Translation Services</w:t>
            </w:r>
            <w:r w:rsidR="00DA4FEA">
              <w:rPr>
                <w:noProof/>
                <w:webHidden/>
              </w:rPr>
              <w:tab/>
            </w:r>
            <w:r w:rsidR="00DA4FEA">
              <w:rPr>
                <w:noProof/>
                <w:webHidden/>
              </w:rPr>
              <w:fldChar w:fldCharType="begin"/>
            </w:r>
            <w:r w:rsidR="00DA4FEA">
              <w:rPr>
                <w:noProof/>
                <w:webHidden/>
              </w:rPr>
              <w:instrText xml:space="preserve"> PAGEREF _Toc88633975 \h </w:instrText>
            </w:r>
            <w:r w:rsidR="00DA4FEA">
              <w:rPr>
                <w:noProof/>
                <w:webHidden/>
              </w:rPr>
            </w:r>
            <w:r w:rsidR="00DA4FEA">
              <w:rPr>
                <w:noProof/>
                <w:webHidden/>
              </w:rPr>
              <w:fldChar w:fldCharType="separate"/>
            </w:r>
            <w:r w:rsidR="00DA4FEA">
              <w:rPr>
                <w:noProof/>
                <w:webHidden/>
              </w:rPr>
              <w:t>28</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76" w:history="1">
            <w:r w:rsidR="00DA4FEA" w:rsidRPr="00A95AC8">
              <w:rPr>
                <w:rStyle w:val="Hyperlink"/>
                <w:noProof/>
              </w:rPr>
              <w:t>Recite Me Website Accessibility Toolbar</w:t>
            </w:r>
            <w:r w:rsidR="00DA4FEA">
              <w:rPr>
                <w:noProof/>
                <w:webHidden/>
              </w:rPr>
              <w:tab/>
            </w:r>
            <w:r w:rsidR="00DA4FEA">
              <w:rPr>
                <w:noProof/>
                <w:webHidden/>
              </w:rPr>
              <w:fldChar w:fldCharType="begin"/>
            </w:r>
            <w:r w:rsidR="00DA4FEA">
              <w:rPr>
                <w:noProof/>
                <w:webHidden/>
              </w:rPr>
              <w:instrText xml:space="preserve"> PAGEREF _Toc88633976 \h </w:instrText>
            </w:r>
            <w:r w:rsidR="00DA4FEA">
              <w:rPr>
                <w:noProof/>
                <w:webHidden/>
              </w:rPr>
            </w:r>
            <w:r w:rsidR="00DA4FEA">
              <w:rPr>
                <w:noProof/>
                <w:webHidden/>
              </w:rPr>
              <w:fldChar w:fldCharType="separate"/>
            </w:r>
            <w:r w:rsidR="00DA4FEA">
              <w:rPr>
                <w:noProof/>
                <w:webHidden/>
              </w:rPr>
              <w:t>29</w:t>
            </w:r>
            <w:r w:rsidR="00DA4FEA">
              <w:rPr>
                <w:noProof/>
                <w:webHidden/>
              </w:rPr>
              <w:fldChar w:fldCharType="end"/>
            </w:r>
          </w:hyperlink>
        </w:p>
        <w:p w:rsidR="00DA4FEA" w:rsidRDefault="008E6F14">
          <w:pPr>
            <w:pStyle w:val="TOC1"/>
            <w:tabs>
              <w:tab w:val="right" w:leader="dot" w:pos="9016"/>
            </w:tabs>
            <w:rPr>
              <w:rFonts w:asciiTheme="minorHAnsi" w:eastAsiaTheme="minorEastAsia" w:hAnsiTheme="minorHAnsi" w:cstheme="minorBidi"/>
              <w:noProof/>
              <w:sz w:val="22"/>
              <w:lang w:eastAsia="en-GB"/>
            </w:rPr>
          </w:pPr>
          <w:hyperlink w:anchor="_Toc88633977" w:history="1">
            <w:r w:rsidR="00DA4FEA" w:rsidRPr="00A95AC8">
              <w:rPr>
                <w:rStyle w:val="Hyperlink"/>
                <w:noProof/>
              </w:rPr>
              <w:t>The Trusts' Workforces</w:t>
            </w:r>
            <w:r w:rsidR="00DA4FEA">
              <w:rPr>
                <w:noProof/>
                <w:webHidden/>
              </w:rPr>
              <w:tab/>
            </w:r>
            <w:r w:rsidR="00DA4FEA">
              <w:rPr>
                <w:noProof/>
                <w:webHidden/>
              </w:rPr>
              <w:fldChar w:fldCharType="begin"/>
            </w:r>
            <w:r w:rsidR="00DA4FEA">
              <w:rPr>
                <w:noProof/>
                <w:webHidden/>
              </w:rPr>
              <w:instrText xml:space="preserve"> PAGEREF _Toc88633977 \h </w:instrText>
            </w:r>
            <w:r w:rsidR="00DA4FEA">
              <w:rPr>
                <w:noProof/>
                <w:webHidden/>
              </w:rPr>
            </w:r>
            <w:r w:rsidR="00DA4FEA">
              <w:rPr>
                <w:noProof/>
                <w:webHidden/>
              </w:rPr>
              <w:fldChar w:fldCharType="separate"/>
            </w:r>
            <w:r w:rsidR="00DA4FEA">
              <w:rPr>
                <w:noProof/>
                <w:webHidden/>
              </w:rPr>
              <w:t>30</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78" w:history="1">
            <w:r w:rsidR="00DA4FEA" w:rsidRPr="00A95AC8">
              <w:rPr>
                <w:rStyle w:val="Hyperlink"/>
                <w:noProof/>
              </w:rPr>
              <w:t>Age</w:t>
            </w:r>
            <w:r w:rsidR="00DA4FEA">
              <w:rPr>
                <w:noProof/>
                <w:webHidden/>
              </w:rPr>
              <w:tab/>
            </w:r>
            <w:r w:rsidR="00DA4FEA">
              <w:rPr>
                <w:noProof/>
                <w:webHidden/>
              </w:rPr>
              <w:fldChar w:fldCharType="begin"/>
            </w:r>
            <w:r w:rsidR="00DA4FEA">
              <w:rPr>
                <w:noProof/>
                <w:webHidden/>
              </w:rPr>
              <w:instrText xml:space="preserve"> PAGEREF _Toc88633978 \h </w:instrText>
            </w:r>
            <w:r w:rsidR="00DA4FEA">
              <w:rPr>
                <w:noProof/>
                <w:webHidden/>
              </w:rPr>
            </w:r>
            <w:r w:rsidR="00DA4FEA">
              <w:rPr>
                <w:noProof/>
                <w:webHidden/>
              </w:rPr>
              <w:fldChar w:fldCharType="separate"/>
            </w:r>
            <w:r w:rsidR="00DA4FEA">
              <w:rPr>
                <w:noProof/>
                <w:webHidden/>
              </w:rPr>
              <w:t>30</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79" w:history="1">
            <w:r w:rsidR="00DA4FEA" w:rsidRPr="00A95AC8">
              <w:rPr>
                <w:rStyle w:val="Hyperlink"/>
                <w:noProof/>
              </w:rPr>
              <w:t>Representation of staff within the workforce broken down by age</w:t>
            </w:r>
            <w:r w:rsidR="00DA4FEA">
              <w:rPr>
                <w:noProof/>
                <w:webHidden/>
              </w:rPr>
              <w:tab/>
            </w:r>
            <w:r w:rsidR="00DA4FEA">
              <w:rPr>
                <w:noProof/>
                <w:webHidden/>
              </w:rPr>
              <w:fldChar w:fldCharType="begin"/>
            </w:r>
            <w:r w:rsidR="00DA4FEA">
              <w:rPr>
                <w:noProof/>
                <w:webHidden/>
              </w:rPr>
              <w:instrText xml:space="preserve"> PAGEREF _Toc88633979 \h </w:instrText>
            </w:r>
            <w:r w:rsidR="00DA4FEA">
              <w:rPr>
                <w:noProof/>
                <w:webHidden/>
              </w:rPr>
            </w:r>
            <w:r w:rsidR="00DA4FEA">
              <w:rPr>
                <w:noProof/>
                <w:webHidden/>
              </w:rPr>
              <w:fldChar w:fldCharType="separate"/>
            </w:r>
            <w:r w:rsidR="00DA4FEA">
              <w:rPr>
                <w:noProof/>
                <w:webHidden/>
              </w:rPr>
              <w:t>30</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80" w:history="1">
            <w:r w:rsidR="00DA4FEA" w:rsidRPr="00A95AC8">
              <w:rPr>
                <w:rStyle w:val="Hyperlink"/>
                <w:noProof/>
              </w:rPr>
              <w:t>Breakdown of age by pay banding</w:t>
            </w:r>
            <w:r w:rsidR="00DA4FEA">
              <w:rPr>
                <w:noProof/>
                <w:webHidden/>
              </w:rPr>
              <w:tab/>
            </w:r>
            <w:r w:rsidR="00DA4FEA">
              <w:rPr>
                <w:noProof/>
                <w:webHidden/>
              </w:rPr>
              <w:fldChar w:fldCharType="begin"/>
            </w:r>
            <w:r w:rsidR="00DA4FEA">
              <w:rPr>
                <w:noProof/>
                <w:webHidden/>
              </w:rPr>
              <w:instrText xml:space="preserve"> PAGEREF _Toc88633980 \h </w:instrText>
            </w:r>
            <w:r w:rsidR="00DA4FEA">
              <w:rPr>
                <w:noProof/>
                <w:webHidden/>
              </w:rPr>
            </w:r>
            <w:r w:rsidR="00DA4FEA">
              <w:rPr>
                <w:noProof/>
                <w:webHidden/>
              </w:rPr>
              <w:fldChar w:fldCharType="separate"/>
            </w:r>
            <w:r w:rsidR="00DA4FEA">
              <w:rPr>
                <w:noProof/>
                <w:webHidden/>
              </w:rPr>
              <w:t>31</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81" w:history="1">
            <w:r w:rsidR="00DA4FEA" w:rsidRPr="00A95AC8">
              <w:rPr>
                <w:rStyle w:val="Hyperlink"/>
                <w:noProof/>
              </w:rPr>
              <w:t>Breakdown of age in recruitment processes</w:t>
            </w:r>
            <w:r w:rsidR="00DA4FEA">
              <w:rPr>
                <w:noProof/>
                <w:webHidden/>
              </w:rPr>
              <w:tab/>
            </w:r>
            <w:r w:rsidR="00DA4FEA">
              <w:rPr>
                <w:noProof/>
                <w:webHidden/>
              </w:rPr>
              <w:fldChar w:fldCharType="begin"/>
            </w:r>
            <w:r w:rsidR="00DA4FEA">
              <w:rPr>
                <w:noProof/>
                <w:webHidden/>
              </w:rPr>
              <w:instrText xml:space="preserve"> PAGEREF _Toc88633981 \h </w:instrText>
            </w:r>
            <w:r w:rsidR="00DA4FEA">
              <w:rPr>
                <w:noProof/>
                <w:webHidden/>
              </w:rPr>
            </w:r>
            <w:r w:rsidR="00DA4FEA">
              <w:rPr>
                <w:noProof/>
                <w:webHidden/>
              </w:rPr>
              <w:fldChar w:fldCharType="separate"/>
            </w:r>
            <w:r w:rsidR="00DA4FEA">
              <w:rPr>
                <w:noProof/>
                <w:webHidden/>
              </w:rPr>
              <w:t>33</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82" w:history="1">
            <w:r w:rsidR="00DA4FEA" w:rsidRPr="00A95AC8">
              <w:rPr>
                <w:rStyle w:val="Hyperlink"/>
                <w:noProof/>
              </w:rPr>
              <w:t>Uptake of non-mandatory training or continuing professional development</w:t>
            </w:r>
            <w:r w:rsidR="00DA4FEA">
              <w:rPr>
                <w:noProof/>
                <w:webHidden/>
              </w:rPr>
              <w:tab/>
            </w:r>
            <w:r w:rsidR="00DA4FEA">
              <w:rPr>
                <w:noProof/>
                <w:webHidden/>
              </w:rPr>
              <w:fldChar w:fldCharType="begin"/>
            </w:r>
            <w:r w:rsidR="00DA4FEA">
              <w:rPr>
                <w:noProof/>
                <w:webHidden/>
              </w:rPr>
              <w:instrText xml:space="preserve"> PAGEREF _Toc88633982 \h </w:instrText>
            </w:r>
            <w:r w:rsidR="00DA4FEA">
              <w:rPr>
                <w:noProof/>
                <w:webHidden/>
              </w:rPr>
            </w:r>
            <w:r w:rsidR="00DA4FEA">
              <w:rPr>
                <w:noProof/>
                <w:webHidden/>
              </w:rPr>
              <w:fldChar w:fldCharType="separate"/>
            </w:r>
            <w:r w:rsidR="00DA4FEA">
              <w:rPr>
                <w:noProof/>
                <w:webHidden/>
              </w:rPr>
              <w:t>35</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83" w:history="1">
            <w:r w:rsidR="00DA4FEA" w:rsidRPr="00A95AC8">
              <w:rPr>
                <w:rStyle w:val="Hyperlink"/>
                <w:noProof/>
              </w:rPr>
              <w:t>Employee relations processes broken down by age</w:t>
            </w:r>
            <w:r w:rsidR="00DA4FEA">
              <w:rPr>
                <w:noProof/>
                <w:webHidden/>
              </w:rPr>
              <w:tab/>
            </w:r>
            <w:r w:rsidR="00DA4FEA">
              <w:rPr>
                <w:noProof/>
                <w:webHidden/>
              </w:rPr>
              <w:fldChar w:fldCharType="begin"/>
            </w:r>
            <w:r w:rsidR="00DA4FEA">
              <w:rPr>
                <w:noProof/>
                <w:webHidden/>
              </w:rPr>
              <w:instrText xml:space="preserve"> PAGEREF _Toc88633983 \h </w:instrText>
            </w:r>
            <w:r w:rsidR="00DA4FEA">
              <w:rPr>
                <w:noProof/>
                <w:webHidden/>
              </w:rPr>
            </w:r>
            <w:r w:rsidR="00DA4FEA">
              <w:rPr>
                <w:noProof/>
                <w:webHidden/>
              </w:rPr>
              <w:fldChar w:fldCharType="separate"/>
            </w:r>
            <w:r w:rsidR="00DA4FEA">
              <w:rPr>
                <w:noProof/>
                <w:webHidden/>
              </w:rPr>
              <w:t>37</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84" w:history="1">
            <w:r w:rsidR="00DA4FEA" w:rsidRPr="00A95AC8">
              <w:rPr>
                <w:rStyle w:val="Hyperlink"/>
                <w:noProof/>
              </w:rPr>
              <w:t>Leavers broken down by age</w:t>
            </w:r>
            <w:r w:rsidR="00DA4FEA">
              <w:rPr>
                <w:noProof/>
                <w:webHidden/>
              </w:rPr>
              <w:tab/>
            </w:r>
            <w:r w:rsidR="00DA4FEA">
              <w:rPr>
                <w:noProof/>
                <w:webHidden/>
              </w:rPr>
              <w:fldChar w:fldCharType="begin"/>
            </w:r>
            <w:r w:rsidR="00DA4FEA">
              <w:rPr>
                <w:noProof/>
                <w:webHidden/>
              </w:rPr>
              <w:instrText xml:space="preserve"> PAGEREF _Toc88633984 \h </w:instrText>
            </w:r>
            <w:r w:rsidR="00DA4FEA">
              <w:rPr>
                <w:noProof/>
                <w:webHidden/>
              </w:rPr>
            </w:r>
            <w:r w:rsidR="00DA4FEA">
              <w:rPr>
                <w:noProof/>
                <w:webHidden/>
              </w:rPr>
              <w:fldChar w:fldCharType="separate"/>
            </w:r>
            <w:r w:rsidR="00DA4FEA">
              <w:rPr>
                <w:noProof/>
                <w:webHidden/>
              </w:rPr>
              <w:t>41</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85" w:history="1">
            <w:r w:rsidR="00DA4FEA" w:rsidRPr="00A95AC8">
              <w:rPr>
                <w:rStyle w:val="Hyperlink"/>
                <w:noProof/>
              </w:rPr>
              <w:t>Disability</w:t>
            </w:r>
            <w:r w:rsidR="00DA4FEA">
              <w:rPr>
                <w:noProof/>
                <w:webHidden/>
              </w:rPr>
              <w:tab/>
            </w:r>
            <w:r w:rsidR="00DA4FEA">
              <w:rPr>
                <w:noProof/>
                <w:webHidden/>
              </w:rPr>
              <w:fldChar w:fldCharType="begin"/>
            </w:r>
            <w:r w:rsidR="00DA4FEA">
              <w:rPr>
                <w:noProof/>
                <w:webHidden/>
              </w:rPr>
              <w:instrText xml:space="preserve"> PAGEREF _Toc88633985 \h </w:instrText>
            </w:r>
            <w:r w:rsidR="00DA4FEA">
              <w:rPr>
                <w:noProof/>
                <w:webHidden/>
              </w:rPr>
            </w:r>
            <w:r w:rsidR="00DA4FEA">
              <w:rPr>
                <w:noProof/>
                <w:webHidden/>
              </w:rPr>
              <w:fldChar w:fldCharType="separate"/>
            </w:r>
            <w:r w:rsidR="00DA4FEA">
              <w:rPr>
                <w:noProof/>
                <w:webHidden/>
              </w:rPr>
              <w:t>43</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86" w:history="1">
            <w:r w:rsidR="00DA4FEA" w:rsidRPr="00A95AC8">
              <w:rPr>
                <w:rStyle w:val="Hyperlink"/>
                <w:noProof/>
              </w:rPr>
              <w:t>Representation of staff within the workforce broken down by disability</w:t>
            </w:r>
            <w:r w:rsidR="00DA4FEA">
              <w:rPr>
                <w:noProof/>
                <w:webHidden/>
              </w:rPr>
              <w:tab/>
            </w:r>
            <w:r w:rsidR="00DA4FEA">
              <w:rPr>
                <w:noProof/>
                <w:webHidden/>
              </w:rPr>
              <w:fldChar w:fldCharType="begin"/>
            </w:r>
            <w:r w:rsidR="00DA4FEA">
              <w:rPr>
                <w:noProof/>
                <w:webHidden/>
              </w:rPr>
              <w:instrText xml:space="preserve"> PAGEREF _Toc88633986 \h </w:instrText>
            </w:r>
            <w:r w:rsidR="00DA4FEA">
              <w:rPr>
                <w:noProof/>
                <w:webHidden/>
              </w:rPr>
            </w:r>
            <w:r w:rsidR="00DA4FEA">
              <w:rPr>
                <w:noProof/>
                <w:webHidden/>
              </w:rPr>
              <w:fldChar w:fldCharType="separate"/>
            </w:r>
            <w:r w:rsidR="00DA4FEA">
              <w:rPr>
                <w:noProof/>
                <w:webHidden/>
              </w:rPr>
              <w:t>43</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87" w:history="1">
            <w:r w:rsidR="00DA4FEA" w:rsidRPr="00A95AC8">
              <w:rPr>
                <w:rStyle w:val="Hyperlink"/>
                <w:noProof/>
              </w:rPr>
              <w:t>Breakdown of disability by pay banding</w:t>
            </w:r>
            <w:r w:rsidR="00DA4FEA">
              <w:rPr>
                <w:noProof/>
                <w:webHidden/>
              </w:rPr>
              <w:tab/>
            </w:r>
            <w:r w:rsidR="00DA4FEA">
              <w:rPr>
                <w:noProof/>
                <w:webHidden/>
              </w:rPr>
              <w:fldChar w:fldCharType="begin"/>
            </w:r>
            <w:r w:rsidR="00DA4FEA">
              <w:rPr>
                <w:noProof/>
                <w:webHidden/>
              </w:rPr>
              <w:instrText xml:space="preserve"> PAGEREF _Toc88633987 \h </w:instrText>
            </w:r>
            <w:r w:rsidR="00DA4FEA">
              <w:rPr>
                <w:noProof/>
                <w:webHidden/>
              </w:rPr>
            </w:r>
            <w:r w:rsidR="00DA4FEA">
              <w:rPr>
                <w:noProof/>
                <w:webHidden/>
              </w:rPr>
              <w:fldChar w:fldCharType="separate"/>
            </w:r>
            <w:r w:rsidR="00DA4FEA">
              <w:rPr>
                <w:noProof/>
                <w:webHidden/>
              </w:rPr>
              <w:t>44</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88" w:history="1">
            <w:r w:rsidR="00DA4FEA" w:rsidRPr="00A95AC8">
              <w:rPr>
                <w:rStyle w:val="Hyperlink"/>
                <w:noProof/>
              </w:rPr>
              <w:t>Breakdown of disability in recruitment processes</w:t>
            </w:r>
            <w:r w:rsidR="00DA4FEA">
              <w:rPr>
                <w:noProof/>
                <w:webHidden/>
              </w:rPr>
              <w:tab/>
            </w:r>
            <w:r w:rsidR="00DA4FEA">
              <w:rPr>
                <w:noProof/>
                <w:webHidden/>
              </w:rPr>
              <w:fldChar w:fldCharType="begin"/>
            </w:r>
            <w:r w:rsidR="00DA4FEA">
              <w:rPr>
                <w:noProof/>
                <w:webHidden/>
              </w:rPr>
              <w:instrText xml:space="preserve"> PAGEREF _Toc88633988 \h </w:instrText>
            </w:r>
            <w:r w:rsidR="00DA4FEA">
              <w:rPr>
                <w:noProof/>
                <w:webHidden/>
              </w:rPr>
            </w:r>
            <w:r w:rsidR="00DA4FEA">
              <w:rPr>
                <w:noProof/>
                <w:webHidden/>
              </w:rPr>
              <w:fldChar w:fldCharType="separate"/>
            </w:r>
            <w:r w:rsidR="00DA4FEA">
              <w:rPr>
                <w:noProof/>
                <w:webHidden/>
              </w:rPr>
              <w:t>45</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89" w:history="1">
            <w:r w:rsidR="00DA4FEA" w:rsidRPr="00A95AC8">
              <w:rPr>
                <w:rStyle w:val="Hyperlink"/>
                <w:noProof/>
              </w:rPr>
              <w:t>Uptake of non-mandatory training or continuing professional development</w:t>
            </w:r>
            <w:r w:rsidR="00DA4FEA">
              <w:rPr>
                <w:noProof/>
                <w:webHidden/>
              </w:rPr>
              <w:tab/>
            </w:r>
            <w:r w:rsidR="00DA4FEA">
              <w:rPr>
                <w:noProof/>
                <w:webHidden/>
              </w:rPr>
              <w:fldChar w:fldCharType="begin"/>
            </w:r>
            <w:r w:rsidR="00DA4FEA">
              <w:rPr>
                <w:noProof/>
                <w:webHidden/>
              </w:rPr>
              <w:instrText xml:space="preserve"> PAGEREF _Toc88633989 \h </w:instrText>
            </w:r>
            <w:r w:rsidR="00DA4FEA">
              <w:rPr>
                <w:noProof/>
                <w:webHidden/>
              </w:rPr>
            </w:r>
            <w:r w:rsidR="00DA4FEA">
              <w:rPr>
                <w:noProof/>
                <w:webHidden/>
              </w:rPr>
              <w:fldChar w:fldCharType="separate"/>
            </w:r>
            <w:r w:rsidR="00DA4FEA">
              <w:rPr>
                <w:noProof/>
                <w:webHidden/>
              </w:rPr>
              <w:t>48</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90" w:history="1">
            <w:r w:rsidR="00DA4FEA" w:rsidRPr="00A95AC8">
              <w:rPr>
                <w:rStyle w:val="Hyperlink"/>
                <w:noProof/>
              </w:rPr>
              <w:t>Employee relations processes broken down by age</w:t>
            </w:r>
            <w:r w:rsidR="00DA4FEA">
              <w:rPr>
                <w:noProof/>
                <w:webHidden/>
              </w:rPr>
              <w:tab/>
            </w:r>
            <w:r w:rsidR="00DA4FEA">
              <w:rPr>
                <w:noProof/>
                <w:webHidden/>
              </w:rPr>
              <w:fldChar w:fldCharType="begin"/>
            </w:r>
            <w:r w:rsidR="00DA4FEA">
              <w:rPr>
                <w:noProof/>
                <w:webHidden/>
              </w:rPr>
              <w:instrText xml:space="preserve"> PAGEREF _Toc88633990 \h </w:instrText>
            </w:r>
            <w:r w:rsidR="00DA4FEA">
              <w:rPr>
                <w:noProof/>
                <w:webHidden/>
              </w:rPr>
            </w:r>
            <w:r w:rsidR="00DA4FEA">
              <w:rPr>
                <w:noProof/>
                <w:webHidden/>
              </w:rPr>
              <w:fldChar w:fldCharType="separate"/>
            </w:r>
            <w:r w:rsidR="00DA4FEA">
              <w:rPr>
                <w:noProof/>
                <w:webHidden/>
              </w:rPr>
              <w:t>49</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91" w:history="1">
            <w:r w:rsidR="00DA4FEA" w:rsidRPr="00A95AC8">
              <w:rPr>
                <w:rStyle w:val="Hyperlink"/>
                <w:noProof/>
              </w:rPr>
              <w:t>Leavers broken down by disability</w:t>
            </w:r>
            <w:r w:rsidR="00DA4FEA">
              <w:rPr>
                <w:noProof/>
                <w:webHidden/>
              </w:rPr>
              <w:tab/>
            </w:r>
            <w:r w:rsidR="00DA4FEA">
              <w:rPr>
                <w:noProof/>
                <w:webHidden/>
              </w:rPr>
              <w:fldChar w:fldCharType="begin"/>
            </w:r>
            <w:r w:rsidR="00DA4FEA">
              <w:rPr>
                <w:noProof/>
                <w:webHidden/>
              </w:rPr>
              <w:instrText xml:space="preserve"> PAGEREF _Toc88633991 \h </w:instrText>
            </w:r>
            <w:r w:rsidR="00DA4FEA">
              <w:rPr>
                <w:noProof/>
                <w:webHidden/>
              </w:rPr>
            </w:r>
            <w:r w:rsidR="00DA4FEA">
              <w:rPr>
                <w:noProof/>
                <w:webHidden/>
              </w:rPr>
              <w:fldChar w:fldCharType="separate"/>
            </w:r>
            <w:r w:rsidR="00DA4FEA">
              <w:rPr>
                <w:noProof/>
                <w:webHidden/>
              </w:rPr>
              <w:t>51</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92" w:history="1">
            <w:r w:rsidR="00DA4FEA" w:rsidRPr="00A95AC8">
              <w:rPr>
                <w:rStyle w:val="Hyperlink"/>
                <w:noProof/>
              </w:rPr>
              <w:t>Ethnicity</w:t>
            </w:r>
            <w:r w:rsidR="00DA4FEA">
              <w:rPr>
                <w:noProof/>
                <w:webHidden/>
              </w:rPr>
              <w:tab/>
            </w:r>
            <w:r w:rsidR="00DA4FEA">
              <w:rPr>
                <w:noProof/>
                <w:webHidden/>
              </w:rPr>
              <w:fldChar w:fldCharType="begin"/>
            </w:r>
            <w:r w:rsidR="00DA4FEA">
              <w:rPr>
                <w:noProof/>
                <w:webHidden/>
              </w:rPr>
              <w:instrText xml:space="preserve"> PAGEREF _Toc88633992 \h </w:instrText>
            </w:r>
            <w:r w:rsidR="00DA4FEA">
              <w:rPr>
                <w:noProof/>
                <w:webHidden/>
              </w:rPr>
            </w:r>
            <w:r w:rsidR="00DA4FEA">
              <w:rPr>
                <w:noProof/>
                <w:webHidden/>
              </w:rPr>
              <w:fldChar w:fldCharType="separate"/>
            </w:r>
            <w:r w:rsidR="00DA4FEA">
              <w:rPr>
                <w:noProof/>
                <w:webHidden/>
              </w:rPr>
              <w:t>53</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93" w:history="1">
            <w:r w:rsidR="00DA4FEA" w:rsidRPr="00A95AC8">
              <w:rPr>
                <w:rStyle w:val="Hyperlink"/>
                <w:noProof/>
              </w:rPr>
              <w:t>Representation of staff within the workforce broken down by ethnicity</w:t>
            </w:r>
            <w:r w:rsidR="00DA4FEA">
              <w:rPr>
                <w:noProof/>
                <w:webHidden/>
              </w:rPr>
              <w:tab/>
            </w:r>
            <w:r w:rsidR="00DA4FEA">
              <w:rPr>
                <w:noProof/>
                <w:webHidden/>
              </w:rPr>
              <w:fldChar w:fldCharType="begin"/>
            </w:r>
            <w:r w:rsidR="00DA4FEA">
              <w:rPr>
                <w:noProof/>
                <w:webHidden/>
              </w:rPr>
              <w:instrText xml:space="preserve"> PAGEREF _Toc88633993 \h </w:instrText>
            </w:r>
            <w:r w:rsidR="00DA4FEA">
              <w:rPr>
                <w:noProof/>
                <w:webHidden/>
              </w:rPr>
            </w:r>
            <w:r w:rsidR="00DA4FEA">
              <w:rPr>
                <w:noProof/>
                <w:webHidden/>
              </w:rPr>
              <w:fldChar w:fldCharType="separate"/>
            </w:r>
            <w:r w:rsidR="00DA4FEA">
              <w:rPr>
                <w:noProof/>
                <w:webHidden/>
              </w:rPr>
              <w:t>53</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94" w:history="1">
            <w:r w:rsidR="00DA4FEA" w:rsidRPr="00A95AC8">
              <w:rPr>
                <w:rStyle w:val="Hyperlink"/>
                <w:noProof/>
              </w:rPr>
              <w:t>Breakdown of ethnicity by pay banding</w:t>
            </w:r>
            <w:r w:rsidR="00DA4FEA">
              <w:rPr>
                <w:noProof/>
                <w:webHidden/>
              </w:rPr>
              <w:tab/>
            </w:r>
            <w:r w:rsidR="00DA4FEA">
              <w:rPr>
                <w:noProof/>
                <w:webHidden/>
              </w:rPr>
              <w:fldChar w:fldCharType="begin"/>
            </w:r>
            <w:r w:rsidR="00DA4FEA">
              <w:rPr>
                <w:noProof/>
                <w:webHidden/>
              </w:rPr>
              <w:instrText xml:space="preserve"> PAGEREF _Toc88633994 \h </w:instrText>
            </w:r>
            <w:r w:rsidR="00DA4FEA">
              <w:rPr>
                <w:noProof/>
                <w:webHidden/>
              </w:rPr>
            </w:r>
            <w:r w:rsidR="00DA4FEA">
              <w:rPr>
                <w:noProof/>
                <w:webHidden/>
              </w:rPr>
              <w:fldChar w:fldCharType="separate"/>
            </w:r>
            <w:r w:rsidR="00DA4FEA">
              <w:rPr>
                <w:noProof/>
                <w:webHidden/>
              </w:rPr>
              <w:t>54</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95" w:history="1">
            <w:r w:rsidR="00DA4FEA" w:rsidRPr="00A95AC8">
              <w:rPr>
                <w:rStyle w:val="Hyperlink"/>
                <w:noProof/>
              </w:rPr>
              <w:t>Breakdown of ethnicity in recruitment processes</w:t>
            </w:r>
            <w:r w:rsidR="00DA4FEA">
              <w:rPr>
                <w:noProof/>
                <w:webHidden/>
              </w:rPr>
              <w:tab/>
            </w:r>
            <w:r w:rsidR="00DA4FEA">
              <w:rPr>
                <w:noProof/>
                <w:webHidden/>
              </w:rPr>
              <w:fldChar w:fldCharType="begin"/>
            </w:r>
            <w:r w:rsidR="00DA4FEA">
              <w:rPr>
                <w:noProof/>
                <w:webHidden/>
              </w:rPr>
              <w:instrText xml:space="preserve"> PAGEREF _Toc88633995 \h </w:instrText>
            </w:r>
            <w:r w:rsidR="00DA4FEA">
              <w:rPr>
                <w:noProof/>
                <w:webHidden/>
              </w:rPr>
            </w:r>
            <w:r w:rsidR="00DA4FEA">
              <w:rPr>
                <w:noProof/>
                <w:webHidden/>
              </w:rPr>
              <w:fldChar w:fldCharType="separate"/>
            </w:r>
            <w:r w:rsidR="00DA4FEA">
              <w:rPr>
                <w:noProof/>
                <w:webHidden/>
              </w:rPr>
              <w:t>56</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96" w:history="1">
            <w:r w:rsidR="00DA4FEA" w:rsidRPr="00A95AC8">
              <w:rPr>
                <w:rStyle w:val="Hyperlink"/>
                <w:noProof/>
              </w:rPr>
              <w:t>Uptake of non-mandatory training or continuing professional development</w:t>
            </w:r>
            <w:r w:rsidR="00DA4FEA">
              <w:rPr>
                <w:noProof/>
                <w:webHidden/>
              </w:rPr>
              <w:tab/>
            </w:r>
            <w:r w:rsidR="00DA4FEA">
              <w:rPr>
                <w:noProof/>
                <w:webHidden/>
              </w:rPr>
              <w:fldChar w:fldCharType="begin"/>
            </w:r>
            <w:r w:rsidR="00DA4FEA">
              <w:rPr>
                <w:noProof/>
                <w:webHidden/>
              </w:rPr>
              <w:instrText xml:space="preserve"> PAGEREF _Toc88633996 \h </w:instrText>
            </w:r>
            <w:r w:rsidR="00DA4FEA">
              <w:rPr>
                <w:noProof/>
                <w:webHidden/>
              </w:rPr>
            </w:r>
            <w:r w:rsidR="00DA4FEA">
              <w:rPr>
                <w:noProof/>
                <w:webHidden/>
              </w:rPr>
              <w:fldChar w:fldCharType="separate"/>
            </w:r>
            <w:r w:rsidR="00DA4FEA">
              <w:rPr>
                <w:noProof/>
                <w:webHidden/>
              </w:rPr>
              <w:t>59</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97" w:history="1">
            <w:r w:rsidR="00DA4FEA" w:rsidRPr="00A95AC8">
              <w:rPr>
                <w:rStyle w:val="Hyperlink"/>
                <w:noProof/>
              </w:rPr>
              <w:t>Employee relations processes broken down by ethnicity</w:t>
            </w:r>
            <w:r w:rsidR="00DA4FEA">
              <w:rPr>
                <w:noProof/>
                <w:webHidden/>
              </w:rPr>
              <w:tab/>
            </w:r>
            <w:r w:rsidR="00DA4FEA">
              <w:rPr>
                <w:noProof/>
                <w:webHidden/>
              </w:rPr>
              <w:fldChar w:fldCharType="begin"/>
            </w:r>
            <w:r w:rsidR="00DA4FEA">
              <w:rPr>
                <w:noProof/>
                <w:webHidden/>
              </w:rPr>
              <w:instrText xml:space="preserve"> PAGEREF _Toc88633997 \h </w:instrText>
            </w:r>
            <w:r w:rsidR="00DA4FEA">
              <w:rPr>
                <w:noProof/>
                <w:webHidden/>
              </w:rPr>
            </w:r>
            <w:r w:rsidR="00DA4FEA">
              <w:rPr>
                <w:noProof/>
                <w:webHidden/>
              </w:rPr>
              <w:fldChar w:fldCharType="separate"/>
            </w:r>
            <w:r w:rsidR="00DA4FEA">
              <w:rPr>
                <w:noProof/>
                <w:webHidden/>
              </w:rPr>
              <w:t>60</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3998" w:history="1">
            <w:r w:rsidR="00DA4FEA" w:rsidRPr="00A95AC8">
              <w:rPr>
                <w:rStyle w:val="Hyperlink"/>
                <w:noProof/>
              </w:rPr>
              <w:t>Leavers broken down by ethnicity</w:t>
            </w:r>
            <w:r w:rsidR="00DA4FEA">
              <w:rPr>
                <w:noProof/>
                <w:webHidden/>
              </w:rPr>
              <w:tab/>
            </w:r>
            <w:r w:rsidR="00DA4FEA">
              <w:rPr>
                <w:noProof/>
                <w:webHidden/>
              </w:rPr>
              <w:fldChar w:fldCharType="begin"/>
            </w:r>
            <w:r w:rsidR="00DA4FEA">
              <w:rPr>
                <w:noProof/>
                <w:webHidden/>
              </w:rPr>
              <w:instrText xml:space="preserve"> PAGEREF _Toc88633998 \h </w:instrText>
            </w:r>
            <w:r w:rsidR="00DA4FEA">
              <w:rPr>
                <w:noProof/>
                <w:webHidden/>
              </w:rPr>
            </w:r>
            <w:r w:rsidR="00DA4FEA">
              <w:rPr>
                <w:noProof/>
                <w:webHidden/>
              </w:rPr>
              <w:fldChar w:fldCharType="separate"/>
            </w:r>
            <w:r w:rsidR="00DA4FEA">
              <w:rPr>
                <w:noProof/>
                <w:webHidden/>
              </w:rPr>
              <w:t>63</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3999" w:history="1">
            <w:r w:rsidR="00DA4FEA" w:rsidRPr="00A95AC8">
              <w:rPr>
                <w:rStyle w:val="Hyperlink"/>
                <w:noProof/>
              </w:rPr>
              <w:t>Gender</w:t>
            </w:r>
            <w:r w:rsidR="00DA4FEA">
              <w:rPr>
                <w:noProof/>
                <w:webHidden/>
              </w:rPr>
              <w:tab/>
            </w:r>
            <w:r w:rsidR="00DA4FEA">
              <w:rPr>
                <w:noProof/>
                <w:webHidden/>
              </w:rPr>
              <w:fldChar w:fldCharType="begin"/>
            </w:r>
            <w:r w:rsidR="00DA4FEA">
              <w:rPr>
                <w:noProof/>
                <w:webHidden/>
              </w:rPr>
              <w:instrText xml:space="preserve"> PAGEREF _Toc88633999 \h </w:instrText>
            </w:r>
            <w:r w:rsidR="00DA4FEA">
              <w:rPr>
                <w:noProof/>
                <w:webHidden/>
              </w:rPr>
            </w:r>
            <w:r w:rsidR="00DA4FEA">
              <w:rPr>
                <w:noProof/>
                <w:webHidden/>
              </w:rPr>
              <w:fldChar w:fldCharType="separate"/>
            </w:r>
            <w:r w:rsidR="00DA4FEA">
              <w:rPr>
                <w:noProof/>
                <w:webHidden/>
              </w:rPr>
              <w:t>65</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00" w:history="1">
            <w:r w:rsidR="00DA4FEA" w:rsidRPr="00A95AC8">
              <w:rPr>
                <w:rStyle w:val="Hyperlink"/>
                <w:noProof/>
              </w:rPr>
              <w:t>Representation of staff within the workforce broken down by gender</w:t>
            </w:r>
            <w:r w:rsidR="00DA4FEA">
              <w:rPr>
                <w:noProof/>
                <w:webHidden/>
              </w:rPr>
              <w:tab/>
            </w:r>
            <w:r w:rsidR="00DA4FEA">
              <w:rPr>
                <w:noProof/>
                <w:webHidden/>
              </w:rPr>
              <w:fldChar w:fldCharType="begin"/>
            </w:r>
            <w:r w:rsidR="00DA4FEA">
              <w:rPr>
                <w:noProof/>
                <w:webHidden/>
              </w:rPr>
              <w:instrText xml:space="preserve"> PAGEREF _Toc88634000 \h </w:instrText>
            </w:r>
            <w:r w:rsidR="00DA4FEA">
              <w:rPr>
                <w:noProof/>
                <w:webHidden/>
              </w:rPr>
            </w:r>
            <w:r w:rsidR="00DA4FEA">
              <w:rPr>
                <w:noProof/>
                <w:webHidden/>
              </w:rPr>
              <w:fldChar w:fldCharType="separate"/>
            </w:r>
            <w:r w:rsidR="00DA4FEA">
              <w:rPr>
                <w:noProof/>
                <w:webHidden/>
              </w:rPr>
              <w:t>65</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01" w:history="1">
            <w:r w:rsidR="00DA4FEA" w:rsidRPr="00A95AC8">
              <w:rPr>
                <w:rStyle w:val="Hyperlink"/>
                <w:noProof/>
              </w:rPr>
              <w:t>Breakdown of gender by pay banding</w:t>
            </w:r>
            <w:r w:rsidR="00DA4FEA">
              <w:rPr>
                <w:noProof/>
                <w:webHidden/>
              </w:rPr>
              <w:tab/>
            </w:r>
            <w:r w:rsidR="00DA4FEA">
              <w:rPr>
                <w:noProof/>
                <w:webHidden/>
              </w:rPr>
              <w:fldChar w:fldCharType="begin"/>
            </w:r>
            <w:r w:rsidR="00DA4FEA">
              <w:rPr>
                <w:noProof/>
                <w:webHidden/>
              </w:rPr>
              <w:instrText xml:space="preserve"> PAGEREF _Toc88634001 \h </w:instrText>
            </w:r>
            <w:r w:rsidR="00DA4FEA">
              <w:rPr>
                <w:noProof/>
                <w:webHidden/>
              </w:rPr>
            </w:r>
            <w:r w:rsidR="00DA4FEA">
              <w:rPr>
                <w:noProof/>
                <w:webHidden/>
              </w:rPr>
              <w:fldChar w:fldCharType="separate"/>
            </w:r>
            <w:r w:rsidR="00DA4FEA">
              <w:rPr>
                <w:noProof/>
                <w:webHidden/>
              </w:rPr>
              <w:t>66</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02" w:history="1">
            <w:r w:rsidR="00DA4FEA" w:rsidRPr="00A95AC8">
              <w:rPr>
                <w:rStyle w:val="Hyperlink"/>
                <w:noProof/>
              </w:rPr>
              <w:t>Breakdown of gender in recruitment processes</w:t>
            </w:r>
            <w:r w:rsidR="00DA4FEA">
              <w:rPr>
                <w:noProof/>
                <w:webHidden/>
              </w:rPr>
              <w:tab/>
            </w:r>
            <w:r w:rsidR="00DA4FEA">
              <w:rPr>
                <w:noProof/>
                <w:webHidden/>
              </w:rPr>
              <w:fldChar w:fldCharType="begin"/>
            </w:r>
            <w:r w:rsidR="00DA4FEA">
              <w:rPr>
                <w:noProof/>
                <w:webHidden/>
              </w:rPr>
              <w:instrText xml:space="preserve"> PAGEREF _Toc88634002 \h </w:instrText>
            </w:r>
            <w:r w:rsidR="00DA4FEA">
              <w:rPr>
                <w:noProof/>
                <w:webHidden/>
              </w:rPr>
            </w:r>
            <w:r w:rsidR="00DA4FEA">
              <w:rPr>
                <w:noProof/>
                <w:webHidden/>
              </w:rPr>
              <w:fldChar w:fldCharType="separate"/>
            </w:r>
            <w:r w:rsidR="00DA4FEA">
              <w:rPr>
                <w:noProof/>
                <w:webHidden/>
              </w:rPr>
              <w:t>67</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03" w:history="1">
            <w:r w:rsidR="00DA4FEA" w:rsidRPr="00A95AC8">
              <w:rPr>
                <w:rStyle w:val="Hyperlink"/>
                <w:noProof/>
              </w:rPr>
              <w:t>Uptake of non-mandatory training or continuing professional development</w:t>
            </w:r>
            <w:r w:rsidR="00DA4FEA">
              <w:rPr>
                <w:noProof/>
                <w:webHidden/>
              </w:rPr>
              <w:tab/>
            </w:r>
            <w:r w:rsidR="00DA4FEA">
              <w:rPr>
                <w:noProof/>
                <w:webHidden/>
              </w:rPr>
              <w:fldChar w:fldCharType="begin"/>
            </w:r>
            <w:r w:rsidR="00DA4FEA">
              <w:rPr>
                <w:noProof/>
                <w:webHidden/>
              </w:rPr>
              <w:instrText xml:space="preserve"> PAGEREF _Toc88634003 \h </w:instrText>
            </w:r>
            <w:r w:rsidR="00DA4FEA">
              <w:rPr>
                <w:noProof/>
                <w:webHidden/>
              </w:rPr>
            </w:r>
            <w:r w:rsidR="00DA4FEA">
              <w:rPr>
                <w:noProof/>
                <w:webHidden/>
              </w:rPr>
              <w:fldChar w:fldCharType="separate"/>
            </w:r>
            <w:r w:rsidR="00DA4FEA">
              <w:rPr>
                <w:noProof/>
                <w:webHidden/>
              </w:rPr>
              <w:t>70</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04" w:history="1">
            <w:r w:rsidR="00DA4FEA" w:rsidRPr="00A95AC8">
              <w:rPr>
                <w:rStyle w:val="Hyperlink"/>
                <w:noProof/>
              </w:rPr>
              <w:t>Employee relations processes broken down by gender</w:t>
            </w:r>
            <w:r w:rsidR="00DA4FEA">
              <w:rPr>
                <w:noProof/>
                <w:webHidden/>
              </w:rPr>
              <w:tab/>
            </w:r>
            <w:r w:rsidR="00DA4FEA">
              <w:rPr>
                <w:noProof/>
                <w:webHidden/>
              </w:rPr>
              <w:fldChar w:fldCharType="begin"/>
            </w:r>
            <w:r w:rsidR="00DA4FEA">
              <w:rPr>
                <w:noProof/>
                <w:webHidden/>
              </w:rPr>
              <w:instrText xml:space="preserve"> PAGEREF _Toc88634004 \h </w:instrText>
            </w:r>
            <w:r w:rsidR="00DA4FEA">
              <w:rPr>
                <w:noProof/>
                <w:webHidden/>
              </w:rPr>
            </w:r>
            <w:r w:rsidR="00DA4FEA">
              <w:rPr>
                <w:noProof/>
                <w:webHidden/>
              </w:rPr>
              <w:fldChar w:fldCharType="separate"/>
            </w:r>
            <w:r w:rsidR="00DA4FEA">
              <w:rPr>
                <w:noProof/>
                <w:webHidden/>
              </w:rPr>
              <w:t>71</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05" w:history="1">
            <w:r w:rsidR="00DA4FEA" w:rsidRPr="00A95AC8">
              <w:rPr>
                <w:rStyle w:val="Hyperlink"/>
                <w:noProof/>
              </w:rPr>
              <w:t>Leavers broken down by gender</w:t>
            </w:r>
            <w:r w:rsidR="00DA4FEA">
              <w:rPr>
                <w:noProof/>
                <w:webHidden/>
              </w:rPr>
              <w:tab/>
            </w:r>
            <w:r w:rsidR="00DA4FEA">
              <w:rPr>
                <w:noProof/>
                <w:webHidden/>
              </w:rPr>
              <w:fldChar w:fldCharType="begin"/>
            </w:r>
            <w:r w:rsidR="00DA4FEA">
              <w:rPr>
                <w:noProof/>
                <w:webHidden/>
              </w:rPr>
              <w:instrText xml:space="preserve"> PAGEREF _Toc88634005 \h </w:instrText>
            </w:r>
            <w:r w:rsidR="00DA4FEA">
              <w:rPr>
                <w:noProof/>
                <w:webHidden/>
              </w:rPr>
            </w:r>
            <w:r w:rsidR="00DA4FEA">
              <w:rPr>
                <w:noProof/>
                <w:webHidden/>
              </w:rPr>
              <w:fldChar w:fldCharType="separate"/>
            </w:r>
            <w:r w:rsidR="00DA4FEA">
              <w:rPr>
                <w:noProof/>
                <w:webHidden/>
              </w:rPr>
              <w:t>74</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4006" w:history="1">
            <w:r w:rsidR="00DA4FEA" w:rsidRPr="00A95AC8">
              <w:rPr>
                <w:rStyle w:val="Hyperlink"/>
                <w:noProof/>
              </w:rPr>
              <w:t>Marital Status (Marriage and Civil Partnership)</w:t>
            </w:r>
            <w:r w:rsidR="00DA4FEA">
              <w:rPr>
                <w:noProof/>
                <w:webHidden/>
              </w:rPr>
              <w:tab/>
            </w:r>
            <w:r w:rsidR="00DA4FEA">
              <w:rPr>
                <w:noProof/>
                <w:webHidden/>
              </w:rPr>
              <w:fldChar w:fldCharType="begin"/>
            </w:r>
            <w:r w:rsidR="00DA4FEA">
              <w:rPr>
                <w:noProof/>
                <w:webHidden/>
              </w:rPr>
              <w:instrText xml:space="preserve"> PAGEREF _Toc88634006 \h </w:instrText>
            </w:r>
            <w:r w:rsidR="00DA4FEA">
              <w:rPr>
                <w:noProof/>
                <w:webHidden/>
              </w:rPr>
            </w:r>
            <w:r w:rsidR="00DA4FEA">
              <w:rPr>
                <w:noProof/>
                <w:webHidden/>
              </w:rPr>
              <w:fldChar w:fldCharType="separate"/>
            </w:r>
            <w:r w:rsidR="00DA4FEA">
              <w:rPr>
                <w:noProof/>
                <w:webHidden/>
              </w:rPr>
              <w:t>75</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07" w:history="1">
            <w:r w:rsidR="00DA4FEA" w:rsidRPr="00A95AC8">
              <w:rPr>
                <w:rStyle w:val="Hyperlink"/>
                <w:noProof/>
              </w:rPr>
              <w:t>Representation of staff within the workforce broken down by marital status</w:t>
            </w:r>
            <w:r w:rsidR="00DA4FEA">
              <w:rPr>
                <w:noProof/>
                <w:webHidden/>
              </w:rPr>
              <w:tab/>
            </w:r>
            <w:r w:rsidR="00DA4FEA">
              <w:rPr>
                <w:noProof/>
                <w:webHidden/>
              </w:rPr>
              <w:fldChar w:fldCharType="begin"/>
            </w:r>
            <w:r w:rsidR="00DA4FEA">
              <w:rPr>
                <w:noProof/>
                <w:webHidden/>
              </w:rPr>
              <w:instrText xml:space="preserve"> PAGEREF _Toc88634007 \h </w:instrText>
            </w:r>
            <w:r w:rsidR="00DA4FEA">
              <w:rPr>
                <w:noProof/>
                <w:webHidden/>
              </w:rPr>
            </w:r>
            <w:r w:rsidR="00DA4FEA">
              <w:rPr>
                <w:noProof/>
                <w:webHidden/>
              </w:rPr>
              <w:fldChar w:fldCharType="separate"/>
            </w:r>
            <w:r w:rsidR="00DA4FEA">
              <w:rPr>
                <w:noProof/>
                <w:webHidden/>
              </w:rPr>
              <w:t>75</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08" w:history="1">
            <w:r w:rsidR="00DA4FEA" w:rsidRPr="00A95AC8">
              <w:rPr>
                <w:rStyle w:val="Hyperlink"/>
                <w:noProof/>
              </w:rPr>
              <w:t>Breakdown of marital status by pay banding</w:t>
            </w:r>
            <w:r w:rsidR="00DA4FEA">
              <w:rPr>
                <w:noProof/>
                <w:webHidden/>
              </w:rPr>
              <w:tab/>
            </w:r>
            <w:r w:rsidR="00DA4FEA">
              <w:rPr>
                <w:noProof/>
                <w:webHidden/>
              </w:rPr>
              <w:fldChar w:fldCharType="begin"/>
            </w:r>
            <w:r w:rsidR="00DA4FEA">
              <w:rPr>
                <w:noProof/>
                <w:webHidden/>
              </w:rPr>
              <w:instrText xml:space="preserve"> PAGEREF _Toc88634008 \h </w:instrText>
            </w:r>
            <w:r w:rsidR="00DA4FEA">
              <w:rPr>
                <w:noProof/>
                <w:webHidden/>
              </w:rPr>
            </w:r>
            <w:r w:rsidR="00DA4FEA">
              <w:rPr>
                <w:noProof/>
                <w:webHidden/>
              </w:rPr>
              <w:fldChar w:fldCharType="separate"/>
            </w:r>
            <w:r w:rsidR="00DA4FEA">
              <w:rPr>
                <w:noProof/>
                <w:webHidden/>
              </w:rPr>
              <w:t>76</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09" w:history="1">
            <w:r w:rsidR="00DA4FEA" w:rsidRPr="00A95AC8">
              <w:rPr>
                <w:rStyle w:val="Hyperlink"/>
                <w:noProof/>
              </w:rPr>
              <w:t>Breakdown of marital status in recruitment processes</w:t>
            </w:r>
            <w:r w:rsidR="00DA4FEA">
              <w:rPr>
                <w:noProof/>
                <w:webHidden/>
              </w:rPr>
              <w:tab/>
            </w:r>
            <w:r w:rsidR="00DA4FEA">
              <w:rPr>
                <w:noProof/>
                <w:webHidden/>
              </w:rPr>
              <w:fldChar w:fldCharType="begin"/>
            </w:r>
            <w:r w:rsidR="00DA4FEA">
              <w:rPr>
                <w:noProof/>
                <w:webHidden/>
              </w:rPr>
              <w:instrText xml:space="preserve"> PAGEREF _Toc88634009 \h </w:instrText>
            </w:r>
            <w:r w:rsidR="00DA4FEA">
              <w:rPr>
                <w:noProof/>
                <w:webHidden/>
              </w:rPr>
            </w:r>
            <w:r w:rsidR="00DA4FEA">
              <w:rPr>
                <w:noProof/>
                <w:webHidden/>
              </w:rPr>
              <w:fldChar w:fldCharType="separate"/>
            </w:r>
            <w:r w:rsidR="00DA4FEA">
              <w:rPr>
                <w:noProof/>
                <w:webHidden/>
              </w:rPr>
              <w:t>78</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10" w:history="1">
            <w:r w:rsidR="00DA4FEA" w:rsidRPr="00A95AC8">
              <w:rPr>
                <w:rStyle w:val="Hyperlink"/>
                <w:noProof/>
              </w:rPr>
              <w:t>Uptake of non-mandatory training or continuing professional development</w:t>
            </w:r>
            <w:r w:rsidR="00DA4FEA">
              <w:rPr>
                <w:noProof/>
                <w:webHidden/>
              </w:rPr>
              <w:tab/>
            </w:r>
            <w:r w:rsidR="00DA4FEA">
              <w:rPr>
                <w:noProof/>
                <w:webHidden/>
              </w:rPr>
              <w:fldChar w:fldCharType="begin"/>
            </w:r>
            <w:r w:rsidR="00DA4FEA">
              <w:rPr>
                <w:noProof/>
                <w:webHidden/>
              </w:rPr>
              <w:instrText xml:space="preserve"> PAGEREF _Toc88634010 \h </w:instrText>
            </w:r>
            <w:r w:rsidR="00DA4FEA">
              <w:rPr>
                <w:noProof/>
                <w:webHidden/>
              </w:rPr>
            </w:r>
            <w:r w:rsidR="00DA4FEA">
              <w:rPr>
                <w:noProof/>
                <w:webHidden/>
              </w:rPr>
              <w:fldChar w:fldCharType="separate"/>
            </w:r>
            <w:r w:rsidR="00DA4FEA">
              <w:rPr>
                <w:noProof/>
                <w:webHidden/>
              </w:rPr>
              <w:t>80</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11" w:history="1">
            <w:r w:rsidR="00DA4FEA" w:rsidRPr="00A95AC8">
              <w:rPr>
                <w:rStyle w:val="Hyperlink"/>
                <w:noProof/>
              </w:rPr>
              <w:t>Employee relations processes broken down by marital status</w:t>
            </w:r>
            <w:r w:rsidR="00DA4FEA">
              <w:rPr>
                <w:noProof/>
                <w:webHidden/>
              </w:rPr>
              <w:tab/>
            </w:r>
            <w:r w:rsidR="00DA4FEA">
              <w:rPr>
                <w:noProof/>
                <w:webHidden/>
              </w:rPr>
              <w:fldChar w:fldCharType="begin"/>
            </w:r>
            <w:r w:rsidR="00DA4FEA">
              <w:rPr>
                <w:noProof/>
                <w:webHidden/>
              </w:rPr>
              <w:instrText xml:space="preserve"> PAGEREF _Toc88634011 \h </w:instrText>
            </w:r>
            <w:r w:rsidR="00DA4FEA">
              <w:rPr>
                <w:noProof/>
                <w:webHidden/>
              </w:rPr>
            </w:r>
            <w:r w:rsidR="00DA4FEA">
              <w:rPr>
                <w:noProof/>
                <w:webHidden/>
              </w:rPr>
              <w:fldChar w:fldCharType="separate"/>
            </w:r>
            <w:r w:rsidR="00DA4FEA">
              <w:rPr>
                <w:noProof/>
                <w:webHidden/>
              </w:rPr>
              <w:t>82</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12" w:history="1">
            <w:r w:rsidR="00DA4FEA" w:rsidRPr="00A95AC8">
              <w:rPr>
                <w:rStyle w:val="Hyperlink"/>
                <w:noProof/>
              </w:rPr>
              <w:t>Leavers broken down by marital status</w:t>
            </w:r>
            <w:r w:rsidR="00DA4FEA">
              <w:rPr>
                <w:noProof/>
                <w:webHidden/>
              </w:rPr>
              <w:tab/>
            </w:r>
            <w:r w:rsidR="00DA4FEA">
              <w:rPr>
                <w:noProof/>
                <w:webHidden/>
              </w:rPr>
              <w:fldChar w:fldCharType="begin"/>
            </w:r>
            <w:r w:rsidR="00DA4FEA">
              <w:rPr>
                <w:noProof/>
                <w:webHidden/>
              </w:rPr>
              <w:instrText xml:space="preserve"> PAGEREF _Toc88634012 \h </w:instrText>
            </w:r>
            <w:r w:rsidR="00DA4FEA">
              <w:rPr>
                <w:noProof/>
                <w:webHidden/>
              </w:rPr>
            </w:r>
            <w:r w:rsidR="00DA4FEA">
              <w:rPr>
                <w:noProof/>
                <w:webHidden/>
              </w:rPr>
              <w:fldChar w:fldCharType="separate"/>
            </w:r>
            <w:r w:rsidR="00DA4FEA">
              <w:rPr>
                <w:noProof/>
                <w:webHidden/>
              </w:rPr>
              <w:t>85</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4013" w:history="1">
            <w:r w:rsidR="00DA4FEA" w:rsidRPr="00A95AC8">
              <w:rPr>
                <w:rStyle w:val="Hyperlink"/>
                <w:noProof/>
              </w:rPr>
              <w:t>Religion or Belief</w:t>
            </w:r>
            <w:r w:rsidR="00DA4FEA">
              <w:rPr>
                <w:noProof/>
                <w:webHidden/>
              </w:rPr>
              <w:tab/>
            </w:r>
            <w:r w:rsidR="00DA4FEA">
              <w:rPr>
                <w:noProof/>
                <w:webHidden/>
              </w:rPr>
              <w:fldChar w:fldCharType="begin"/>
            </w:r>
            <w:r w:rsidR="00DA4FEA">
              <w:rPr>
                <w:noProof/>
                <w:webHidden/>
              </w:rPr>
              <w:instrText xml:space="preserve"> PAGEREF _Toc88634013 \h </w:instrText>
            </w:r>
            <w:r w:rsidR="00DA4FEA">
              <w:rPr>
                <w:noProof/>
                <w:webHidden/>
              </w:rPr>
            </w:r>
            <w:r w:rsidR="00DA4FEA">
              <w:rPr>
                <w:noProof/>
                <w:webHidden/>
              </w:rPr>
              <w:fldChar w:fldCharType="separate"/>
            </w:r>
            <w:r w:rsidR="00DA4FEA">
              <w:rPr>
                <w:noProof/>
                <w:webHidden/>
              </w:rPr>
              <w:t>86</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14" w:history="1">
            <w:r w:rsidR="00DA4FEA" w:rsidRPr="00A95AC8">
              <w:rPr>
                <w:rStyle w:val="Hyperlink"/>
                <w:noProof/>
              </w:rPr>
              <w:t>Representation of staff within the workforce broken down by religion or belief</w:t>
            </w:r>
            <w:r w:rsidR="00DA4FEA">
              <w:rPr>
                <w:noProof/>
                <w:webHidden/>
              </w:rPr>
              <w:tab/>
            </w:r>
            <w:r w:rsidR="00DA4FEA">
              <w:rPr>
                <w:noProof/>
                <w:webHidden/>
              </w:rPr>
              <w:fldChar w:fldCharType="begin"/>
            </w:r>
            <w:r w:rsidR="00DA4FEA">
              <w:rPr>
                <w:noProof/>
                <w:webHidden/>
              </w:rPr>
              <w:instrText xml:space="preserve"> PAGEREF _Toc88634014 \h </w:instrText>
            </w:r>
            <w:r w:rsidR="00DA4FEA">
              <w:rPr>
                <w:noProof/>
                <w:webHidden/>
              </w:rPr>
            </w:r>
            <w:r w:rsidR="00DA4FEA">
              <w:rPr>
                <w:noProof/>
                <w:webHidden/>
              </w:rPr>
              <w:fldChar w:fldCharType="separate"/>
            </w:r>
            <w:r w:rsidR="00DA4FEA">
              <w:rPr>
                <w:noProof/>
                <w:webHidden/>
              </w:rPr>
              <w:t>86</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15" w:history="1">
            <w:r w:rsidR="00DA4FEA" w:rsidRPr="00A95AC8">
              <w:rPr>
                <w:rStyle w:val="Hyperlink"/>
                <w:noProof/>
              </w:rPr>
              <w:t>Breakdown of religion or belief by pay banding</w:t>
            </w:r>
            <w:r w:rsidR="00DA4FEA">
              <w:rPr>
                <w:noProof/>
                <w:webHidden/>
              </w:rPr>
              <w:tab/>
            </w:r>
            <w:r w:rsidR="00DA4FEA">
              <w:rPr>
                <w:noProof/>
                <w:webHidden/>
              </w:rPr>
              <w:fldChar w:fldCharType="begin"/>
            </w:r>
            <w:r w:rsidR="00DA4FEA">
              <w:rPr>
                <w:noProof/>
                <w:webHidden/>
              </w:rPr>
              <w:instrText xml:space="preserve"> PAGEREF _Toc88634015 \h </w:instrText>
            </w:r>
            <w:r w:rsidR="00DA4FEA">
              <w:rPr>
                <w:noProof/>
                <w:webHidden/>
              </w:rPr>
            </w:r>
            <w:r w:rsidR="00DA4FEA">
              <w:rPr>
                <w:noProof/>
                <w:webHidden/>
              </w:rPr>
              <w:fldChar w:fldCharType="separate"/>
            </w:r>
            <w:r w:rsidR="00DA4FEA">
              <w:rPr>
                <w:noProof/>
                <w:webHidden/>
              </w:rPr>
              <w:t>88</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16" w:history="1">
            <w:r w:rsidR="00DA4FEA" w:rsidRPr="00A95AC8">
              <w:rPr>
                <w:rStyle w:val="Hyperlink"/>
                <w:noProof/>
              </w:rPr>
              <w:t>Breakdown of religion or belief in recruitment processes</w:t>
            </w:r>
            <w:r w:rsidR="00DA4FEA">
              <w:rPr>
                <w:noProof/>
                <w:webHidden/>
              </w:rPr>
              <w:tab/>
            </w:r>
            <w:r w:rsidR="00DA4FEA">
              <w:rPr>
                <w:noProof/>
                <w:webHidden/>
              </w:rPr>
              <w:fldChar w:fldCharType="begin"/>
            </w:r>
            <w:r w:rsidR="00DA4FEA">
              <w:rPr>
                <w:noProof/>
                <w:webHidden/>
              </w:rPr>
              <w:instrText xml:space="preserve"> PAGEREF _Toc88634016 \h </w:instrText>
            </w:r>
            <w:r w:rsidR="00DA4FEA">
              <w:rPr>
                <w:noProof/>
                <w:webHidden/>
              </w:rPr>
            </w:r>
            <w:r w:rsidR="00DA4FEA">
              <w:rPr>
                <w:noProof/>
                <w:webHidden/>
              </w:rPr>
              <w:fldChar w:fldCharType="separate"/>
            </w:r>
            <w:r w:rsidR="00DA4FEA">
              <w:rPr>
                <w:noProof/>
                <w:webHidden/>
              </w:rPr>
              <w:t>92</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17" w:history="1">
            <w:r w:rsidR="00DA4FEA" w:rsidRPr="00A95AC8">
              <w:rPr>
                <w:rStyle w:val="Hyperlink"/>
                <w:noProof/>
              </w:rPr>
              <w:t>Uptake of non-mandatory training or continuing professional development</w:t>
            </w:r>
            <w:r w:rsidR="00DA4FEA">
              <w:rPr>
                <w:noProof/>
                <w:webHidden/>
              </w:rPr>
              <w:tab/>
            </w:r>
            <w:r w:rsidR="00DA4FEA">
              <w:rPr>
                <w:noProof/>
                <w:webHidden/>
              </w:rPr>
              <w:fldChar w:fldCharType="begin"/>
            </w:r>
            <w:r w:rsidR="00DA4FEA">
              <w:rPr>
                <w:noProof/>
                <w:webHidden/>
              </w:rPr>
              <w:instrText xml:space="preserve"> PAGEREF _Toc88634017 \h </w:instrText>
            </w:r>
            <w:r w:rsidR="00DA4FEA">
              <w:rPr>
                <w:noProof/>
                <w:webHidden/>
              </w:rPr>
            </w:r>
            <w:r w:rsidR="00DA4FEA">
              <w:rPr>
                <w:noProof/>
                <w:webHidden/>
              </w:rPr>
              <w:fldChar w:fldCharType="separate"/>
            </w:r>
            <w:r w:rsidR="00DA4FEA">
              <w:rPr>
                <w:noProof/>
                <w:webHidden/>
              </w:rPr>
              <w:t>95</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18" w:history="1">
            <w:r w:rsidR="00DA4FEA" w:rsidRPr="00A95AC8">
              <w:rPr>
                <w:rStyle w:val="Hyperlink"/>
                <w:noProof/>
              </w:rPr>
              <w:t>Employee relations processes broken down by religion or belief</w:t>
            </w:r>
            <w:r w:rsidR="00DA4FEA">
              <w:rPr>
                <w:noProof/>
                <w:webHidden/>
              </w:rPr>
              <w:tab/>
            </w:r>
            <w:r w:rsidR="00DA4FEA">
              <w:rPr>
                <w:noProof/>
                <w:webHidden/>
              </w:rPr>
              <w:fldChar w:fldCharType="begin"/>
            </w:r>
            <w:r w:rsidR="00DA4FEA">
              <w:rPr>
                <w:noProof/>
                <w:webHidden/>
              </w:rPr>
              <w:instrText xml:space="preserve"> PAGEREF _Toc88634018 \h </w:instrText>
            </w:r>
            <w:r w:rsidR="00DA4FEA">
              <w:rPr>
                <w:noProof/>
                <w:webHidden/>
              </w:rPr>
            </w:r>
            <w:r w:rsidR="00DA4FEA">
              <w:rPr>
                <w:noProof/>
                <w:webHidden/>
              </w:rPr>
              <w:fldChar w:fldCharType="separate"/>
            </w:r>
            <w:r w:rsidR="00DA4FEA">
              <w:rPr>
                <w:noProof/>
                <w:webHidden/>
              </w:rPr>
              <w:t>97</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19" w:history="1">
            <w:r w:rsidR="00DA4FEA" w:rsidRPr="00A95AC8">
              <w:rPr>
                <w:rStyle w:val="Hyperlink"/>
                <w:noProof/>
              </w:rPr>
              <w:t>Leavers broken down by religion or belief</w:t>
            </w:r>
            <w:r w:rsidR="00DA4FEA">
              <w:rPr>
                <w:noProof/>
                <w:webHidden/>
              </w:rPr>
              <w:tab/>
            </w:r>
            <w:r w:rsidR="00DA4FEA">
              <w:rPr>
                <w:noProof/>
                <w:webHidden/>
              </w:rPr>
              <w:fldChar w:fldCharType="begin"/>
            </w:r>
            <w:r w:rsidR="00DA4FEA">
              <w:rPr>
                <w:noProof/>
                <w:webHidden/>
              </w:rPr>
              <w:instrText xml:space="preserve"> PAGEREF _Toc88634019 \h </w:instrText>
            </w:r>
            <w:r w:rsidR="00DA4FEA">
              <w:rPr>
                <w:noProof/>
                <w:webHidden/>
              </w:rPr>
            </w:r>
            <w:r w:rsidR="00DA4FEA">
              <w:rPr>
                <w:noProof/>
                <w:webHidden/>
              </w:rPr>
              <w:fldChar w:fldCharType="separate"/>
            </w:r>
            <w:r w:rsidR="00DA4FEA">
              <w:rPr>
                <w:noProof/>
                <w:webHidden/>
              </w:rPr>
              <w:t>100</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4020" w:history="1">
            <w:r w:rsidR="00DA4FEA" w:rsidRPr="00A95AC8">
              <w:rPr>
                <w:rStyle w:val="Hyperlink"/>
                <w:noProof/>
              </w:rPr>
              <w:t>Sexual Orientation</w:t>
            </w:r>
            <w:r w:rsidR="00DA4FEA">
              <w:rPr>
                <w:noProof/>
                <w:webHidden/>
              </w:rPr>
              <w:tab/>
            </w:r>
            <w:r w:rsidR="00DA4FEA">
              <w:rPr>
                <w:noProof/>
                <w:webHidden/>
              </w:rPr>
              <w:fldChar w:fldCharType="begin"/>
            </w:r>
            <w:r w:rsidR="00DA4FEA">
              <w:rPr>
                <w:noProof/>
                <w:webHidden/>
              </w:rPr>
              <w:instrText xml:space="preserve"> PAGEREF _Toc88634020 \h </w:instrText>
            </w:r>
            <w:r w:rsidR="00DA4FEA">
              <w:rPr>
                <w:noProof/>
                <w:webHidden/>
              </w:rPr>
            </w:r>
            <w:r w:rsidR="00DA4FEA">
              <w:rPr>
                <w:noProof/>
                <w:webHidden/>
              </w:rPr>
              <w:fldChar w:fldCharType="separate"/>
            </w:r>
            <w:r w:rsidR="00DA4FEA">
              <w:rPr>
                <w:noProof/>
                <w:webHidden/>
              </w:rPr>
              <w:t>102</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21" w:history="1">
            <w:r w:rsidR="00DA4FEA" w:rsidRPr="00A95AC8">
              <w:rPr>
                <w:rStyle w:val="Hyperlink"/>
                <w:noProof/>
              </w:rPr>
              <w:t>Representation of staff within the workforce broken down by sexual orientation</w:t>
            </w:r>
            <w:r w:rsidR="00DA4FEA">
              <w:rPr>
                <w:noProof/>
                <w:webHidden/>
              </w:rPr>
              <w:tab/>
            </w:r>
            <w:r w:rsidR="00DA4FEA">
              <w:rPr>
                <w:noProof/>
                <w:webHidden/>
              </w:rPr>
              <w:fldChar w:fldCharType="begin"/>
            </w:r>
            <w:r w:rsidR="00DA4FEA">
              <w:rPr>
                <w:noProof/>
                <w:webHidden/>
              </w:rPr>
              <w:instrText xml:space="preserve"> PAGEREF _Toc88634021 \h </w:instrText>
            </w:r>
            <w:r w:rsidR="00DA4FEA">
              <w:rPr>
                <w:noProof/>
                <w:webHidden/>
              </w:rPr>
            </w:r>
            <w:r w:rsidR="00DA4FEA">
              <w:rPr>
                <w:noProof/>
                <w:webHidden/>
              </w:rPr>
              <w:fldChar w:fldCharType="separate"/>
            </w:r>
            <w:r w:rsidR="00DA4FEA">
              <w:rPr>
                <w:noProof/>
                <w:webHidden/>
              </w:rPr>
              <w:t>102</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22" w:history="1">
            <w:r w:rsidR="00DA4FEA" w:rsidRPr="00A95AC8">
              <w:rPr>
                <w:rStyle w:val="Hyperlink"/>
                <w:noProof/>
              </w:rPr>
              <w:t>Breakdown of sexual orientation belief by pay banding</w:t>
            </w:r>
            <w:r w:rsidR="00DA4FEA">
              <w:rPr>
                <w:noProof/>
                <w:webHidden/>
              </w:rPr>
              <w:tab/>
            </w:r>
            <w:r w:rsidR="00DA4FEA">
              <w:rPr>
                <w:noProof/>
                <w:webHidden/>
              </w:rPr>
              <w:fldChar w:fldCharType="begin"/>
            </w:r>
            <w:r w:rsidR="00DA4FEA">
              <w:rPr>
                <w:noProof/>
                <w:webHidden/>
              </w:rPr>
              <w:instrText xml:space="preserve"> PAGEREF _Toc88634022 \h </w:instrText>
            </w:r>
            <w:r w:rsidR="00DA4FEA">
              <w:rPr>
                <w:noProof/>
                <w:webHidden/>
              </w:rPr>
            </w:r>
            <w:r w:rsidR="00DA4FEA">
              <w:rPr>
                <w:noProof/>
                <w:webHidden/>
              </w:rPr>
              <w:fldChar w:fldCharType="separate"/>
            </w:r>
            <w:r w:rsidR="00DA4FEA">
              <w:rPr>
                <w:noProof/>
                <w:webHidden/>
              </w:rPr>
              <w:t>103</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23" w:history="1">
            <w:r w:rsidR="00DA4FEA" w:rsidRPr="00A95AC8">
              <w:rPr>
                <w:rStyle w:val="Hyperlink"/>
                <w:noProof/>
              </w:rPr>
              <w:t>Breakdown of sexual orientation in recruitment processes</w:t>
            </w:r>
            <w:r w:rsidR="00DA4FEA">
              <w:rPr>
                <w:noProof/>
                <w:webHidden/>
              </w:rPr>
              <w:tab/>
            </w:r>
            <w:r w:rsidR="00DA4FEA">
              <w:rPr>
                <w:noProof/>
                <w:webHidden/>
              </w:rPr>
              <w:fldChar w:fldCharType="begin"/>
            </w:r>
            <w:r w:rsidR="00DA4FEA">
              <w:rPr>
                <w:noProof/>
                <w:webHidden/>
              </w:rPr>
              <w:instrText xml:space="preserve"> PAGEREF _Toc88634023 \h </w:instrText>
            </w:r>
            <w:r w:rsidR="00DA4FEA">
              <w:rPr>
                <w:noProof/>
                <w:webHidden/>
              </w:rPr>
            </w:r>
            <w:r w:rsidR="00DA4FEA">
              <w:rPr>
                <w:noProof/>
                <w:webHidden/>
              </w:rPr>
              <w:fldChar w:fldCharType="separate"/>
            </w:r>
            <w:r w:rsidR="00DA4FEA">
              <w:rPr>
                <w:noProof/>
                <w:webHidden/>
              </w:rPr>
              <w:t>106</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24" w:history="1">
            <w:r w:rsidR="00DA4FEA" w:rsidRPr="00A95AC8">
              <w:rPr>
                <w:rStyle w:val="Hyperlink"/>
                <w:noProof/>
              </w:rPr>
              <w:t>Uptake of non-mandatory training or continuing professional development</w:t>
            </w:r>
            <w:r w:rsidR="00DA4FEA">
              <w:rPr>
                <w:noProof/>
                <w:webHidden/>
              </w:rPr>
              <w:tab/>
            </w:r>
            <w:r w:rsidR="00DA4FEA">
              <w:rPr>
                <w:noProof/>
                <w:webHidden/>
              </w:rPr>
              <w:fldChar w:fldCharType="begin"/>
            </w:r>
            <w:r w:rsidR="00DA4FEA">
              <w:rPr>
                <w:noProof/>
                <w:webHidden/>
              </w:rPr>
              <w:instrText xml:space="preserve"> PAGEREF _Toc88634024 \h </w:instrText>
            </w:r>
            <w:r w:rsidR="00DA4FEA">
              <w:rPr>
                <w:noProof/>
                <w:webHidden/>
              </w:rPr>
            </w:r>
            <w:r w:rsidR="00DA4FEA">
              <w:rPr>
                <w:noProof/>
                <w:webHidden/>
              </w:rPr>
              <w:fldChar w:fldCharType="separate"/>
            </w:r>
            <w:r w:rsidR="00DA4FEA">
              <w:rPr>
                <w:noProof/>
                <w:webHidden/>
              </w:rPr>
              <w:t>108</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25" w:history="1">
            <w:r w:rsidR="00DA4FEA" w:rsidRPr="00A95AC8">
              <w:rPr>
                <w:rStyle w:val="Hyperlink"/>
                <w:noProof/>
              </w:rPr>
              <w:t>Employee relations processes broken down by sexual orientation</w:t>
            </w:r>
            <w:r w:rsidR="00DA4FEA">
              <w:rPr>
                <w:noProof/>
                <w:webHidden/>
              </w:rPr>
              <w:tab/>
            </w:r>
            <w:r w:rsidR="00DA4FEA">
              <w:rPr>
                <w:noProof/>
                <w:webHidden/>
              </w:rPr>
              <w:fldChar w:fldCharType="begin"/>
            </w:r>
            <w:r w:rsidR="00DA4FEA">
              <w:rPr>
                <w:noProof/>
                <w:webHidden/>
              </w:rPr>
              <w:instrText xml:space="preserve"> PAGEREF _Toc88634025 \h </w:instrText>
            </w:r>
            <w:r w:rsidR="00DA4FEA">
              <w:rPr>
                <w:noProof/>
                <w:webHidden/>
              </w:rPr>
            </w:r>
            <w:r w:rsidR="00DA4FEA">
              <w:rPr>
                <w:noProof/>
                <w:webHidden/>
              </w:rPr>
              <w:fldChar w:fldCharType="separate"/>
            </w:r>
            <w:r w:rsidR="00DA4FEA">
              <w:rPr>
                <w:noProof/>
                <w:webHidden/>
              </w:rPr>
              <w:t>110</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26" w:history="1">
            <w:r w:rsidR="00DA4FEA" w:rsidRPr="00A95AC8">
              <w:rPr>
                <w:rStyle w:val="Hyperlink"/>
                <w:noProof/>
              </w:rPr>
              <w:t>Leavers broken down by religion or belief</w:t>
            </w:r>
            <w:r w:rsidR="00DA4FEA">
              <w:rPr>
                <w:noProof/>
                <w:webHidden/>
              </w:rPr>
              <w:tab/>
            </w:r>
            <w:r w:rsidR="00DA4FEA">
              <w:rPr>
                <w:noProof/>
                <w:webHidden/>
              </w:rPr>
              <w:fldChar w:fldCharType="begin"/>
            </w:r>
            <w:r w:rsidR="00DA4FEA">
              <w:rPr>
                <w:noProof/>
                <w:webHidden/>
              </w:rPr>
              <w:instrText xml:space="preserve"> PAGEREF _Toc88634026 \h </w:instrText>
            </w:r>
            <w:r w:rsidR="00DA4FEA">
              <w:rPr>
                <w:noProof/>
                <w:webHidden/>
              </w:rPr>
            </w:r>
            <w:r w:rsidR="00DA4FEA">
              <w:rPr>
                <w:noProof/>
                <w:webHidden/>
              </w:rPr>
              <w:fldChar w:fldCharType="separate"/>
            </w:r>
            <w:r w:rsidR="00DA4FEA">
              <w:rPr>
                <w:noProof/>
                <w:webHidden/>
              </w:rPr>
              <w:t>113</w:t>
            </w:r>
            <w:r w:rsidR="00DA4FEA">
              <w:rPr>
                <w:noProof/>
                <w:webHidden/>
              </w:rPr>
              <w:fldChar w:fldCharType="end"/>
            </w:r>
          </w:hyperlink>
        </w:p>
        <w:p w:rsidR="00DA4FEA" w:rsidRDefault="008E6F14">
          <w:pPr>
            <w:pStyle w:val="TOC1"/>
            <w:tabs>
              <w:tab w:val="right" w:leader="dot" w:pos="9016"/>
            </w:tabs>
            <w:rPr>
              <w:rFonts w:asciiTheme="minorHAnsi" w:eastAsiaTheme="minorEastAsia" w:hAnsiTheme="minorHAnsi" w:cstheme="minorBidi"/>
              <w:noProof/>
              <w:sz w:val="22"/>
              <w:lang w:eastAsia="en-GB"/>
            </w:rPr>
          </w:pPr>
          <w:hyperlink w:anchor="_Toc88634027" w:history="1">
            <w:r w:rsidR="00DA4FEA" w:rsidRPr="00A95AC8">
              <w:rPr>
                <w:rStyle w:val="Hyperlink"/>
                <w:noProof/>
              </w:rPr>
              <w:t>The Trust’s Patients</w:t>
            </w:r>
            <w:r w:rsidR="00DA4FEA">
              <w:rPr>
                <w:noProof/>
                <w:webHidden/>
              </w:rPr>
              <w:tab/>
            </w:r>
            <w:r w:rsidR="00DA4FEA">
              <w:rPr>
                <w:noProof/>
                <w:webHidden/>
              </w:rPr>
              <w:fldChar w:fldCharType="begin"/>
            </w:r>
            <w:r w:rsidR="00DA4FEA">
              <w:rPr>
                <w:noProof/>
                <w:webHidden/>
              </w:rPr>
              <w:instrText xml:space="preserve"> PAGEREF _Toc88634027 \h </w:instrText>
            </w:r>
            <w:r w:rsidR="00DA4FEA">
              <w:rPr>
                <w:noProof/>
                <w:webHidden/>
              </w:rPr>
            </w:r>
            <w:r w:rsidR="00DA4FEA">
              <w:rPr>
                <w:noProof/>
                <w:webHidden/>
              </w:rPr>
              <w:fldChar w:fldCharType="separate"/>
            </w:r>
            <w:r w:rsidR="00DA4FEA">
              <w:rPr>
                <w:noProof/>
                <w:webHidden/>
              </w:rPr>
              <w:t>116</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4028" w:history="1">
            <w:r w:rsidR="00DA4FEA" w:rsidRPr="00A95AC8">
              <w:rPr>
                <w:rStyle w:val="Hyperlink"/>
                <w:noProof/>
              </w:rPr>
              <w:t>Patient Demographics</w:t>
            </w:r>
            <w:r w:rsidR="00DA4FEA">
              <w:rPr>
                <w:noProof/>
                <w:webHidden/>
              </w:rPr>
              <w:tab/>
            </w:r>
            <w:r w:rsidR="00DA4FEA">
              <w:rPr>
                <w:noProof/>
                <w:webHidden/>
              </w:rPr>
              <w:fldChar w:fldCharType="begin"/>
            </w:r>
            <w:r w:rsidR="00DA4FEA">
              <w:rPr>
                <w:noProof/>
                <w:webHidden/>
              </w:rPr>
              <w:instrText xml:space="preserve"> PAGEREF _Toc88634028 \h </w:instrText>
            </w:r>
            <w:r w:rsidR="00DA4FEA">
              <w:rPr>
                <w:noProof/>
                <w:webHidden/>
              </w:rPr>
            </w:r>
            <w:r w:rsidR="00DA4FEA">
              <w:rPr>
                <w:noProof/>
                <w:webHidden/>
              </w:rPr>
              <w:fldChar w:fldCharType="separate"/>
            </w:r>
            <w:r w:rsidR="00DA4FEA">
              <w:rPr>
                <w:noProof/>
                <w:webHidden/>
              </w:rPr>
              <w:t>116</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29" w:history="1">
            <w:r w:rsidR="00DA4FEA" w:rsidRPr="00A95AC8">
              <w:rPr>
                <w:rStyle w:val="Hyperlink"/>
                <w:noProof/>
              </w:rPr>
              <w:t>Age</w:t>
            </w:r>
            <w:r w:rsidR="00DA4FEA">
              <w:rPr>
                <w:noProof/>
                <w:webHidden/>
              </w:rPr>
              <w:tab/>
            </w:r>
            <w:r w:rsidR="00DA4FEA">
              <w:rPr>
                <w:noProof/>
                <w:webHidden/>
              </w:rPr>
              <w:fldChar w:fldCharType="begin"/>
            </w:r>
            <w:r w:rsidR="00DA4FEA">
              <w:rPr>
                <w:noProof/>
                <w:webHidden/>
              </w:rPr>
              <w:instrText xml:space="preserve"> PAGEREF _Toc88634029 \h </w:instrText>
            </w:r>
            <w:r w:rsidR="00DA4FEA">
              <w:rPr>
                <w:noProof/>
                <w:webHidden/>
              </w:rPr>
            </w:r>
            <w:r w:rsidR="00DA4FEA">
              <w:rPr>
                <w:noProof/>
                <w:webHidden/>
              </w:rPr>
              <w:fldChar w:fldCharType="separate"/>
            </w:r>
            <w:r w:rsidR="00DA4FEA">
              <w:rPr>
                <w:noProof/>
                <w:webHidden/>
              </w:rPr>
              <w:t>116</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30" w:history="1">
            <w:r w:rsidR="00DA4FEA" w:rsidRPr="00A95AC8">
              <w:rPr>
                <w:rStyle w:val="Hyperlink"/>
                <w:noProof/>
              </w:rPr>
              <w:t>Ethnicity</w:t>
            </w:r>
            <w:r w:rsidR="00DA4FEA">
              <w:rPr>
                <w:noProof/>
                <w:webHidden/>
              </w:rPr>
              <w:tab/>
            </w:r>
            <w:r w:rsidR="00DA4FEA">
              <w:rPr>
                <w:noProof/>
                <w:webHidden/>
              </w:rPr>
              <w:fldChar w:fldCharType="begin"/>
            </w:r>
            <w:r w:rsidR="00DA4FEA">
              <w:rPr>
                <w:noProof/>
                <w:webHidden/>
              </w:rPr>
              <w:instrText xml:space="preserve"> PAGEREF _Toc88634030 \h </w:instrText>
            </w:r>
            <w:r w:rsidR="00DA4FEA">
              <w:rPr>
                <w:noProof/>
                <w:webHidden/>
              </w:rPr>
            </w:r>
            <w:r w:rsidR="00DA4FEA">
              <w:rPr>
                <w:noProof/>
                <w:webHidden/>
              </w:rPr>
              <w:fldChar w:fldCharType="separate"/>
            </w:r>
            <w:r w:rsidR="00DA4FEA">
              <w:rPr>
                <w:noProof/>
                <w:webHidden/>
              </w:rPr>
              <w:t>117</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31" w:history="1">
            <w:r w:rsidR="00DA4FEA" w:rsidRPr="00A95AC8">
              <w:rPr>
                <w:rStyle w:val="Hyperlink"/>
                <w:noProof/>
              </w:rPr>
              <w:t>Gender</w:t>
            </w:r>
            <w:r w:rsidR="00DA4FEA">
              <w:rPr>
                <w:noProof/>
                <w:webHidden/>
              </w:rPr>
              <w:tab/>
            </w:r>
            <w:r w:rsidR="00DA4FEA">
              <w:rPr>
                <w:noProof/>
                <w:webHidden/>
              </w:rPr>
              <w:fldChar w:fldCharType="begin"/>
            </w:r>
            <w:r w:rsidR="00DA4FEA">
              <w:rPr>
                <w:noProof/>
                <w:webHidden/>
              </w:rPr>
              <w:instrText xml:space="preserve"> PAGEREF _Toc88634031 \h </w:instrText>
            </w:r>
            <w:r w:rsidR="00DA4FEA">
              <w:rPr>
                <w:noProof/>
                <w:webHidden/>
              </w:rPr>
            </w:r>
            <w:r w:rsidR="00DA4FEA">
              <w:rPr>
                <w:noProof/>
                <w:webHidden/>
              </w:rPr>
              <w:fldChar w:fldCharType="separate"/>
            </w:r>
            <w:r w:rsidR="00DA4FEA">
              <w:rPr>
                <w:noProof/>
                <w:webHidden/>
              </w:rPr>
              <w:t>118</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32" w:history="1">
            <w:r w:rsidR="00DA4FEA" w:rsidRPr="00A95AC8">
              <w:rPr>
                <w:rStyle w:val="Hyperlink"/>
                <w:noProof/>
              </w:rPr>
              <w:t>Marital Status (Marriage and Civil Partnership)</w:t>
            </w:r>
            <w:r w:rsidR="00DA4FEA">
              <w:rPr>
                <w:noProof/>
                <w:webHidden/>
              </w:rPr>
              <w:tab/>
            </w:r>
            <w:r w:rsidR="00DA4FEA">
              <w:rPr>
                <w:noProof/>
                <w:webHidden/>
              </w:rPr>
              <w:fldChar w:fldCharType="begin"/>
            </w:r>
            <w:r w:rsidR="00DA4FEA">
              <w:rPr>
                <w:noProof/>
                <w:webHidden/>
              </w:rPr>
              <w:instrText xml:space="preserve"> PAGEREF _Toc88634032 \h </w:instrText>
            </w:r>
            <w:r w:rsidR="00DA4FEA">
              <w:rPr>
                <w:noProof/>
                <w:webHidden/>
              </w:rPr>
            </w:r>
            <w:r w:rsidR="00DA4FEA">
              <w:rPr>
                <w:noProof/>
                <w:webHidden/>
              </w:rPr>
              <w:fldChar w:fldCharType="separate"/>
            </w:r>
            <w:r w:rsidR="00DA4FEA">
              <w:rPr>
                <w:noProof/>
                <w:webHidden/>
              </w:rPr>
              <w:t>119</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33" w:history="1">
            <w:r w:rsidR="00DA4FEA" w:rsidRPr="00A95AC8">
              <w:rPr>
                <w:rStyle w:val="Hyperlink"/>
                <w:noProof/>
              </w:rPr>
              <w:t>Religion or Belief</w:t>
            </w:r>
            <w:r w:rsidR="00DA4FEA">
              <w:rPr>
                <w:noProof/>
                <w:webHidden/>
              </w:rPr>
              <w:tab/>
            </w:r>
            <w:r w:rsidR="00DA4FEA">
              <w:rPr>
                <w:noProof/>
                <w:webHidden/>
              </w:rPr>
              <w:fldChar w:fldCharType="begin"/>
            </w:r>
            <w:r w:rsidR="00DA4FEA">
              <w:rPr>
                <w:noProof/>
                <w:webHidden/>
              </w:rPr>
              <w:instrText xml:space="preserve"> PAGEREF _Toc88634033 \h </w:instrText>
            </w:r>
            <w:r w:rsidR="00DA4FEA">
              <w:rPr>
                <w:noProof/>
                <w:webHidden/>
              </w:rPr>
            </w:r>
            <w:r w:rsidR="00DA4FEA">
              <w:rPr>
                <w:noProof/>
                <w:webHidden/>
              </w:rPr>
              <w:fldChar w:fldCharType="separate"/>
            </w:r>
            <w:r w:rsidR="00DA4FEA">
              <w:rPr>
                <w:noProof/>
                <w:webHidden/>
              </w:rPr>
              <w:t>119</w:t>
            </w:r>
            <w:r w:rsidR="00DA4FEA">
              <w:rPr>
                <w:noProof/>
                <w:webHidden/>
              </w:rPr>
              <w:fldChar w:fldCharType="end"/>
            </w:r>
          </w:hyperlink>
        </w:p>
        <w:p w:rsidR="00DA4FEA" w:rsidRDefault="008E6F14">
          <w:pPr>
            <w:pStyle w:val="TOC2"/>
            <w:tabs>
              <w:tab w:val="right" w:leader="dot" w:pos="9016"/>
            </w:tabs>
            <w:rPr>
              <w:rFonts w:asciiTheme="minorHAnsi" w:eastAsiaTheme="minorEastAsia" w:hAnsiTheme="minorHAnsi" w:cstheme="minorBidi"/>
              <w:noProof/>
              <w:sz w:val="22"/>
              <w:lang w:eastAsia="en-GB"/>
            </w:rPr>
          </w:pPr>
          <w:hyperlink w:anchor="_Toc88634034" w:history="1">
            <w:r w:rsidR="00DA4FEA" w:rsidRPr="00A95AC8">
              <w:rPr>
                <w:rStyle w:val="Hyperlink"/>
                <w:noProof/>
              </w:rPr>
              <w:t>Friends and Family Test</w:t>
            </w:r>
            <w:r w:rsidR="00DA4FEA">
              <w:rPr>
                <w:noProof/>
                <w:webHidden/>
              </w:rPr>
              <w:tab/>
            </w:r>
            <w:r w:rsidR="00DA4FEA">
              <w:rPr>
                <w:noProof/>
                <w:webHidden/>
              </w:rPr>
              <w:fldChar w:fldCharType="begin"/>
            </w:r>
            <w:r w:rsidR="00DA4FEA">
              <w:rPr>
                <w:noProof/>
                <w:webHidden/>
              </w:rPr>
              <w:instrText xml:space="preserve"> PAGEREF _Toc88634034 \h </w:instrText>
            </w:r>
            <w:r w:rsidR="00DA4FEA">
              <w:rPr>
                <w:noProof/>
                <w:webHidden/>
              </w:rPr>
            </w:r>
            <w:r w:rsidR="00DA4FEA">
              <w:rPr>
                <w:noProof/>
                <w:webHidden/>
              </w:rPr>
              <w:fldChar w:fldCharType="separate"/>
            </w:r>
            <w:r w:rsidR="00DA4FEA">
              <w:rPr>
                <w:noProof/>
                <w:webHidden/>
              </w:rPr>
              <w:t>121</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35" w:history="1">
            <w:r w:rsidR="00DA4FEA" w:rsidRPr="00A95AC8">
              <w:rPr>
                <w:rStyle w:val="Hyperlink"/>
                <w:noProof/>
              </w:rPr>
              <w:t>Age</w:t>
            </w:r>
            <w:r w:rsidR="00DA4FEA">
              <w:rPr>
                <w:noProof/>
                <w:webHidden/>
              </w:rPr>
              <w:tab/>
            </w:r>
            <w:r w:rsidR="00DA4FEA">
              <w:rPr>
                <w:noProof/>
                <w:webHidden/>
              </w:rPr>
              <w:fldChar w:fldCharType="begin"/>
            </w:r>
            <w:r w:rsidR="00DA4FEA">
              <w:rPr>
                <w:noProof/>
                <w:webHidden/>
              </w:rPr>
              <w:instrText xml:space="preserve"> PAGEREF _Toc88634035 \h </w:instrText>
            </w:r>
            <w:r w:rsidR="00DA4FEA">
              <w:rPr>
                <w:noProof/>
                <w:webHidden/>
              </w:rPr>
            </w:r>
            <w:r w:rsidR="00DA4FEA">
              <w:rPr>
                <w:noProof/>
                <w:webHidden/>
              </w:rPr>
              <w:fldChar w:fldCharType="separate"/>
            </w:r>
            <w:r w:rsidR="00DA4FEA">
              <w:rPr>
                <w:noProof/>
                <w:webHidden/>
              </w:rPr>
              <w:t>121</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36" w:history="1">
            <w:r w:rsidR="00DA4FEA" w:rsidRPr="00A95AC8">
              <w:rPr>
                <w:rStyle w:val="Hyperlink"/>
                <w:noProof/>
              </w:rPr>
              <w:t>Disability</w:t>
            </w:r>
            <w:r w:rsidR="00DA4FEA">
              <w:rPr>
                <w:noProof/>
                <w:webHidden/>
              </w:rPr>
              <w:tab/>
            </w:r>
            <w:r w:rsidR="00DA4FEA">
              <w:rPr>
                <w:noProof/>
                <w:webHidden/>
              </w:rPr>
              <w:fldChar w:fldCharType="begin"/>
            </w:r>
            <w:r w:rsidR="00DA4FEA">
              <w:rPr>
                <w:noProof/>
                <w:webHidden/>
              </w:rPr>
              <w:instrText xml:space="preserve"> PAGEREF _Toc88634036 \h </w:instrText>
            </w:r>
            <w:r w:rsidR="00DA4FEA">
              <w:rPr>
                <w:noProof/>
                <w:webHidden/>
              </w:rPr>
            </w:r>
            <w:r w:rsidR="00DA4FEA">
              <w:rPr>
                <w:noProof/>
                <w:webHidden/>
              </w:rPr>
              <w:fldChar w:fldCharType="separate"/>
            </w:r>
            <w:r w:rsidR="00DA4FEA">
              <w:rPr>
                <w:noProof/>
                <w:webHidden/>
              </w:rPr>
              <w:t>122</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37" w:history="1">
            <w:r w:rsidR="00DA4FEA" w:rsidRPr="00A95AC8">
              <w:rPr>
                <w:rStyle w:val="Hyperlink"/>
                <w:noProof/>
              </w:rPr>
              <w:t>Ethnicity</w:t>
            </w:r>
            <w:r w:rsidR="00DA4FEA">
              <w:rPr>
                <w:noProof/>
                <w:webHidden/>
              </w:rPr>
              <w:tab/>
            </w:r>
            <w:r w:rsidR="00DA4FEA">
              <w:rPr>
                <w:noProof/>
                <w:webHidden/>
              </w:rPr>
              <w:fldChar w:fldCharType="begin"/>
            </w:r>
            <w:r w:rsidR="00DA4FEA">
              <w:rPr>
                <w:noProof/>
                <w:webHidden/>
              </w:rPr>
              <w:instrText xml:space="preserve"> PAGEREF _Toc88634037 \h </w:instrText>
            </w:r>
            <w:r w:rsidR="00DA4FEA">
              <w:rPr>
                <w:noProof/>
                <w:webHidden/>
              </w:rPr>
            </w:r>
            <w:r w:rsidR="00DA4FEA">
              <w:rPr>
                <w:noProof/>
                <w:webHidden/>
              </w:rPr>
              <w:fldChar w:fldCharType="separate"/>
            </w:r>
            <w:r w:rsidR="00DA4FEA">
              <w:rPr>
                <w:noProof/>
                <w:webHidden/>
              </w:rPr>
              <w:t>123</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38" w:history="1">
            <w:r w:rsidR="00DA4FEA" w:rsidRPr="00A95AC8">
              <w:rPr>
                <w:rStyle w:val="Hyperlink"/>
                <w:noProof/>
              </w:rPr>
              <w:t>Gender</w:t>
            </w:r>
            <w:r w:rsidR="00DA4FEA">
              <w:rPr>
                <w:noProof/>
                <w:webHidden/>
              </w:rPr>
              <w:tab/>
            </w:r>
            <w:r w:rsidR="00DA4FEA">
              <w:rPr>
                <w:noProof/>
                <w:webHidden/>
              </w:rPr>
              <w:fldChar w:fldCharType="begin"/>
            </w:r>
            <w:r w:rsidR="00DA4FEA">
              <w:rPr>
                <w:noProof/>
                <w:webHidden/>
              </w:rPr>
              <w:instrText xml:space="preserve"> PAGEREF _Toc88634038 \h </w:instrText>
            </w:r>
            <w:r w:rsidR="00DA4FEA">
              <w:rPr>
                <w:noProof/>
                <w:webHidden/>
              </w:rPr>
            </w:r>
            <w:r w:rsidR="00DA4FEA">
              <w:rPr>
                <w:noProof/>
                <w:webHidden/>
              </w:rPr>
              <w:fldChar w:fldCharType="separate"/>
            </w:r>
            <w:r w:rsidR="00DA4FEA">
              <w:rPr>
                <w:noProof/>
                <w:webHidden/>
              </w:rPr>
              <w:t>124</w:t>
            </w:r>
            <w:r w:rsidR="00DA4FEA">
              <w:rPr>
                <w:noProof/>
                <w:webHidden/>
              </w:rPr>
              <w:fldChar w:fldCharType="end"/>
            </w:r>
          </w:hyperlink>
        </w:p>
        <w:p w:rsidR="00DA4FEA" w:rsidRDefault="008E6F14">
          <w:pPr>
            <w:pStyle w:val="TOC3"/>
            <w:tabs>
              <w:tab w:val="right" w:leader="dot" w:pos="9016"/>
            </w:tabs>
            <w:rPr>
              <w:rFonts w:asciiTheme="minorHAnsi" w:eastAsiaTheme="minorEastAsia" w:hAnsiTheme="minorHAnsi" w:cstheme="minorBidi"/>
              <w:noProof/>
              <w:sz w:val="22"/>
              <w:lang w:eastAsia="en-GB"/>
            </w:rPr>
          </w:pPr>
          <w:hyperlink w:anchor="_Toc88634039" w:history="1">
            <w:r w:rsidR="00DA4FEA" w:rsidRPr="00A95AC8">
              <w:rPr>
                <w:rStyle w:val="Hyperlink"/>
                <w:noProof/>
              </w:rPr>
              <w:t>Religion or Belief</w:t>
            </w:r>
            <w:r w:rsidR="00DA4FEA">
              <w:rPr>
                <w:noProof/>
                <w:webHidden/>
              </w:rPr>
              <w:tab/>
            </w:r>
            <w:r w:rsidR="00DA4FEA">
              <w:rPr>
                <w:noProof/>
                <w:webHidden/>
              </w:rPr>
              <w:fldChar w:fldCharType="begin"/>
            </w:r>
            <w:r w:rsidR="00DA4FEA">
              <w:rPr>
                <w:noProof/>
                <w:webHidden/>
              </w:rPr>
              <w:instrText xml:space="preserve"> PAGEREF _Toc88634039 \h </w:instrText>
            </w:r>
            <w:r w:rsidR="00DA4FEA">
              <w:rPr>
                <w:noProof/>
                <w:webHidden/>
              </w:rPr>
            </w:r>
            <w:r w:rsidR="00DA4FEA">
              <w:rPr>
                <w:noProof/>
                <w:webHidden/>
              </w:rPr>
              <w:fldChar w:fldCharType="separate"/>
            </w:r>
            <w:r w:rsidR="00DA4FEA">
              <w:rPr>
                <w:noProof/>
                <w:webHidden/>
              </w:rPr>
              <w:t>125</w:t>
            </w:r>
            <w:r w:rsidR="00DA4FEA">
              <w:rPr>
                <w:noProof/>
                <w:webHidden/>
              </w:rPr>
              <w:fldChar w:fldCharType="end"/>
            </w:r>
          </w:hyperlink>
        </w:p>
        <w:p w:rsidR="00674167" w:rsidRPr="00AE49C8" w:rsidRDefault="00674167">
          <w:r w:rsidRPr="00AE49C8">
            <w:rPr>
              <w:b/>
              <w:bCs/>
              <w:noProof/>
            </w:rPr>
            <w:fldChar w:fldCharType="end"/>
          </w:r>
        </w:p>
      </w:sdtContent>
    </w:sdt>
    <w:p w:rsidR="00CC6538" w:rsidRPr="00AE49C8" w:rsidRDefault="00674167" w:rsidP="0008729E">
      <w:pPr>
        <w:pStyle w:val="Heading1"/>
      </w:pPr>
      <w:r w:rsidRPr="00AE49C8">
        <w:br w:type="page"/>
      </w:r>
      <w:bookmarkStart w:id="0" w:name="_Toc88633947"/>
      <w:r w:rsidR="00CC6538" w:rsidRPr="00AE49C8">
        <w:lastRenderedPageBreak/>
        <w:t>Introduction</w:t>
      </w:r>
      <w:bookmarkEnd w:id="0"/>
    </w:p>
    <w:p w:rsidR="00CC6538" w:rsidRPr="00AE49C8" w:rsidRDefault="0008729E" w:rsidP="00CC6538">
      <w:pPr>
        <w:rPr>
          <w:lang w:eastAsia="en-GB"/>
        </w:rPr>
      </w:pPr>
      <w:r>
        <w:rPr>
          <w:lang w:eastAsia="en-GB"/>
        </w:rPr>
        <w:br/>
      </w:r>
      <w:r w:rsidR="00CC6538" w:rsidRPr="00AE49C8">
        <w:rPr>
          <w:lang w:eastAsia="en-GB"/>
        </w:rPr>
        <w:t>University Hospitals Sussex NHS Foundation Trust recognises that its workforce and patients are core to achieving its business and social responsibilities.  This report aims to help demonstrate progress in delivering the best possible inclusive healthcare</w:t>
      </w:r>
      <w:r w:rsidR="00D938E7" w:rsidRPr="00AE49C8">
        <w:rPr>
          <w:lang w:eastAsia="en-GB"/>
        </w:rPr>
        <w:t xml:space="preserve"> services.  The report will </w:t>
      </w:r>
      <w:r w:rsidR="00CC6538" w:rsidRPr="00AE49C8">
        <w:rPr>
          <w:lang w:eastAsia="en-GB"/>
        </w:rPr>
        <w:t>help</w:t>
      </w:r>
      <w:r w:rsidR="00D938E7" w:rsidRPr="00AE49C8">
        <w:rPr>
          <w:lang w:eastAsia="en-GB"/>
        </w:rPr>
        <w:t xml:space="preserve"> show</w:t>
      </w:r>
      <w:r w:rsidR="00BD29B7" w:rsidRPr="00AE49C8">
        <w:rPr>
          <w:lang w:eastAsia="en-GB"/>
        </w:rPr>
        <w:t xml:space="preserve"> that the Trust has a </w:t>
      </w:r>
      <w:r w:rsidR="009914D4" w:rsidRPr="00AE49C8">
        <w:rPr>
          <w:lang w:eastAsia="en-GB"/>
        </w:rPr>
        <w:t>valued, reflective workforce that is</w:t>
      </w:r>
      <w:r w:rsidR="00206294" w:rsidRPr="00AE49C8">
        <w:rPr>
          <w:lang w:eastAsia="en-GB"/>
        </w:rPr>
        <w:t xml:space="preserve"> meeting the communities' need</w:t>
      </w:r>
      <w:r w:rsidR="00CC6538" w:rsidRPr="00AE49C8">
        <w:rPr>
          <w:lang w:eastAsia="en-GB"/>
        </w:rPr>
        <w:t>s.</w:t>
      </w:r>
    </w:p>
    <w:p w:rsidR="00CC6538" w:rsidRPr="00AE49C8" w:rsidRDefault="00CC6538" w:rsidP="00CC6538">
      <w:pPr>
        <w:rPr>
          <w:lang w:eastAsia="en-GB"/>
        </w:rPr>
      </w:pPr>
      <w:r w:rsidRPr="00AE49C8">
        <w:rPr>
          <w:lang w:eastAsia="en-GB"/>
        </w:rPr>
        <w:t xml:space="preserve">As one of the largest employers in the local health economy and a </w:t>
      </w:r>
      <w:r w:rsidR="00BD29B7" w:rsidRPr="00AE49C8">
        <w:rPr>
          <w:lang w:eastAsia="en-GB"/>
        </w:rPr>
        <w:t>significant</w:t>
      </w:r>
      <w:r w:rsidRPr="00AE49C8">
        <w:rPr>
          <w:lang w:eastAsia="en-GB"/>
        </w:rPr>
        <w:t xml:space="preserve"> public sector service provider, the Trust is duty bound by legislation to ensure everyone receives a fair and equitable service, </w:t>
      </w:r>
      <w:r w:rsidR="00BD29B7" w:rsidRPr="00AE49C8">
        <w:rPr>
          <w:lang w:eastAsia="en-GB"/>
        </w:rPr>
        <w:t>promoting</w:t>
      </w:r>
      <w:r w:rsidRPr="00AE49C8">
        <w:rPr>
          <w:lang w:eastAsia="en-GB"/>
        </w:rPr>
        <w:t xml:space="preserve"> a culture of active inclusion.  The Equality Act 2010 specifically states that people should not be treated unfavourably because of:</w:t>
      </w:r>
    </w:p>
    <w:p w:rsidR="00CC6538" w:rsidRPr="00EA62F6" w:rsidRDefault="00CC6538" w:rsidP="00CC6538">
      <w:pPr>
        <w:pStyle w:val="ListParagraph"/>
        <w:rPr>
          <w:lang w:eastAsia="en-GB"/>
        </w:rPr>
      </w:pPr>
      <w:r w:rsidRPr="00EA62F6">
        <w:rPr>
          <w:lang w:eastAsia="en-GB"/>
        </w:rPr>
        <w:t>their age</w:t>
      </w:r>
    </w:p>
    <w:p w:rsidR="00CC6538" w:rsidRPr="00EA62F6" w:rsidRDefault="00CC6538" w:rsidP="00CC6538">
      <w:pPr>
        <w:pStyle w:val="ListParagraph"/>
        <w:rPr>
          <w:lang w:eastAsia="en-GB"/>
        </w:rPr>
      </w:pPr>
      <w:r w:rsidRPr="00EA62F6">
        <w:rPr>
          <w:lang w:eastAsia="en-GB"/>
        </w:rPr>
        <w:t>any disabilities they may have</w:t>
      </w:r>
    </w:p>
    <w:p w:rsidR="00CC6538" w:rsidRPr="00EA62F6" w:rsidRDefault="00CC6538" w:rsidP="00CC6538">
      <w:pPr>
        <w:pStyle w:val="ListParagraph"/>
        <w:rPr>
          <w:lang w:eastAsia="en-GB"/>
        </w:rPr>
      </w:pPr>
      <w:r w:rsidRPr="00EA62F6">
        <w:rPr>
          <w:lang w:eastAsia="en-GB"/>
        </w:rPr>
        <w:t>their ethnic background or race</w:t>
      </w:r>
    </w:p>
    <w:p w:rsidR="00CC6538" w:rsidRPr="00EA62F6" w:rsidRDefault="00CC6538" w:rsidP="00CC6538">
      <w:pPr>
        <w:pStyle w:val="ListParagraph"/>
        <w:rPr>
          <w:lang w:eastAsia="en-GB"/>
        </w:rPr>
      </w:pPr>
      <w:r w:rsidRPr="00EA62F6">
        <w:rPr>
          <w:lang w:eastAsia="en-GB"/>
        </w:rPr>
        <w:t>their gender (sex is the characteristic listed in the act)</w:t>
      </w:r>
    </w:p>
    <w:p w:rsidR="00CC6538" w:rsidRPr="00EA62F6" w:rsidRDefault="00CC6538" w:rsidP="00CC6538">
      <w:pPr>
        <w:pStyle w:val="ListParagraph"/>
        <w:rPr>
          <w:lang w:eastAsia="en-GB"/>
        </w:rPr>
      </w:pPr>
      <w:r w:rsidRPr="00EA62F6">
        <w:rPr>
          <w:lang w:eastAsia="en-GB"/>
        </w:rPr>
        <w:t>their gender identity (gender reassignment is the characteristic listed in the act)</w:t>
      </w:r>
    </w:p>
    <w:p w:rsidR="00CC6538" w:rsidRPr="00EA62F6" w:rsidRDefault="00CC6538" w:rsidP="00CC6538">
      <w:pPr>
        <w:pStyle w:val="ListParagraph"/>
        <w:rPr>
          <w:lang w:eastAsia="en-GB"/>
        </w:rPr>
      </w:pPr>
      <w:r w:rsidRPr="00EA62F6">
        <w:rPr>
          <w:lang w:eastAsia="en-GB"/>
        </w:rPr>
        <w:t>their marital status</w:t>
      </w:r>
    </w:p>
    <w:p w:rsidR="00CC6538" w:rsidRPr="00EA62F6" w:rsidRDefault="00CC6538" w:rsidP="00CC6538">
      <w:pPr>
        <w:pStyle w:val="ListParagraph"/>
        <w:rPr>
          <w:lang w:eastAsia="en-GB"/>
        </w:rPr>
      </w:pPr>
      <w:r w:rsidRPr="00EA62F6">
        <w:rPr>
          <w:lang w:eastAsia="en-GB"/>
        </w:rPr>
        <w:t>if they are pregnant or recently had a baby</w:t>
      </w:r>
    </w:p>
    <w:p w:rsidR="00CC6538" w:rsidRPr="00EA62F6" w:rsidRDefault="00CC6538" w:rsidP="00CC6538">
      <w:pPr>
        <w:pStyle w:val="ListParagraph"/>
        <w:rPr>
          <w:lang w:eastAsia="en-GB"/>
        </w:rPr>
      </w:pPr>
      <w:r w:rsidRPr="00EA62F6">
        <w:rPr>
          <w:lang w:eastAsia="en-GB"/>
        </w:rPr>
        <w:t>any religion or beliefs they may have</w:t>
      </w:r>
    </w:p>
    <w:p w:rsidR="00CC6538" w:rsidRPr="00EA62F6" w:rsidRDefault="00CC6538" w:rsidP="00CC6538">
      <w:pPr>
        <w:pStyle w:val="ListParagraph"/>
        <w:rPr>
          <w:lang w:eastAsia="en-GB"/>
        </w:rPr>
      </w:pPr>
      <w:r w:rsidRPr="00EA62F6">
        <w:rPr>
          <w:lang w:eastAsia="en-GB"/>
        </w:rPr>
        <w:t>their sexual orientation</w:t>
      </w:r>
    </w:p>
    <w:p w:rsidR="00CC6538" w:rsidRPr="00AE49C8" w:rsidRDefault="00CC6538" w:rsidP="00CC6538">
      <w:pPr>
        <w:rPr>
          <w:lang w:eastAsia="en-GB"/>
        </w:rPr>
      </w:pPr>
      <w:r w:rsidRPr="00AE49C8">
        <w:rPr>
          <w:lang w:eastAsia="en-GB"/>
        </w:rPr>
        <w:t>These nine attributes are known as protected characteristics.</w:t>
      </w:r>
    </w:p>
    <w:p w:rsidR="00CC6538" w:rsidRPr="00AE49C8" w:rsidRDefault="00CC6538" w:rsidP="00CC6538">
      <w:pPr>
        <w:rPr>
          <w:lang w:eastAsia="en-GB"/>
        </w:rPr>
      </w:pPr>
      <w:r w:rsidRPr="00AE49C8">
        <w:rPr>
          <w:lang w:eastAsia="en-GB"/>
        </w:rPr>
        <w:t>The contents of this report will help to demonstrate how compliant the Trust is with several national, legislative, NHS specific and regulatory drivers that include:</w:t>
      </w:r>
    </w:p>
    <w:p w:rsidR="00CC6538" w:rsidRPr="00AE49C8" w:rsidRDefault="00CC6538" w:rsidP="00CC6538">
      <w:pPr>
        <w:pStyle w:val="ListParagraph"/>
        <w:rPr>
          <w:lang w:eastAsia="en-GB"/>
        </w:rPr>
      </w:pPr>
      <w:r w:rsidRPr="00AE49C8">
        <w:rPr>
          <w:lang w:eastAsia="en-GB"/>
        </w:rPr>
        <w:t>Equality Objectives – a requirement set by the Equality Act 2010, Public Sector Equality Duty</w:t>
      </w:r>
    </w:p>
    <w:p w:rsidR="00CC6538" w:rsidRPr="00AE49C8" w:rsidRDefault="00CC6538" w:rsidP="00CC6538">
      <w:pPr>
        <w:pStyle w:val="ListParagraph"/>
        <w:rPr>
          <w:lang w:eastAsia="en-GB"/>
        </w:rPr>
      </w:pPr>
      <w:r w:rsidRPr="00AE49C8">
        <w:rPr>
          <w:lang w:eastAsia="en-GB"/>
        </w:rPr>
        <w:t>Care Quality Commission – The Fundamental Standards (Health and Social Care Act 2008 (Regulated Activities) Regulations 2014)</w:t>
      </w:r>
    </w:p>
    <w:p w:rsidR="00CC6538" w:rsidRPr="00AE49C8" w:rsidRDefault="00CC6538" w:rsidP="00CC6538">
      <w:pPr>
        <w:pStyle w:val="ListParagraph"/>
        <w:rPr>
          <w:lang w:eastAsia="en-GB"/>
        </w:rPr>
      </w:pPr>
      <w:r w:rsidRPr="00AE49C8">
        <w:rPr>
          <w:lang w:eastAsia="en-GB"/>
        </w:rPr>
        <w:t>Equality Act 2010 – including the Public Sector Equality Duties</w:t>
      </w:r>
    </w:p>
    <w:p w:rsidR="00CC6538" w:rsidRPr="00AE49C8" w:rsidRDefault="00CC6538" w:rsidP="00CC6538">
      <w:pPr>
        <w:pStyle w:val="ListParagraph"/>
        <w:rPr>
          <w:lang w:eastAsia="en-GB"/>
        </w:rPr>
      </w:pPr>
      <w:r w:rsidRPr="00AE49C8">
        <w:rPr>
          <w:lang w:eastAsia="en-GB"/>
        </w:rPr>
        <w:t>Equality and Human Rights Commission – Codes of Practice</w:t>
      </w:r>
    </w:p>
    <w:p w:rsidR="00CC6538" w:rsidRPr="00AE49C8" w:rsidRDefault="00CC6538" w:rsidP="00CC6538">
      <w:pPr>
        <w:pStyle w:val="ListParagraph"/>
        <w:rPr>
          <w:lang w:eastAsia="en-GB"/>
        </w:rPr>
      </w:pPr>
      <w:r w:rsidRPr="00AE49C8">
        <w:rPr>
          <w:lang w:eastAsia="en-GB"/>
        </w:rPr>
        <w:t>Human Rights Act 1998</w:t>
      </w:r>
    </w:p>
    <w:p w:rsidR="00CC6538" w:rsidRPr="00AE49C8" w:rsidRDefault="00CC6538" w:rsidP="00CC6538">
      <w:pPr>
        <w:pStyle w:val="ListParagraph"/>
        <w:rPr>
          <w:lang w:eastAsia="en-GB"/>
        </w:rPr>
      </w:pPr>
      <w:r w:rsidRPr="00AE49C8">
        <w:rPr>
          <w:lang w:eastAsia="en-GB"/>
        </w:rPr>
        <w:t>NHS Constitution</w:t>
      </w:r>
    </w:p>
    <w:p w:rsidR="00CC6538" w:rsidRPr="00AE49C8" w:rsidRDefault="00CC6538" w:rsidP="00CC6538">
      <w:pPr>
        <w:pStyle w:val="ListParagraph"/>
        <w:rPr>
          <w:lang w:eastAsia="en-GB"/>
        </w:rPr>
      </w:pPr>
      <w:r w:rsidRPr="00AE49C8">
        <w:rPr>
          <w:lang w:eastAsia="en-GB"/>
        </w:rPr>
        <w:t>The Trust</w:t>
      </w:r>
      <w:r w:rsidR="00BD29B7" w:rsidRPr="00AE49C8">
        <w:rPr>
          <w:lang w:eastAsia="en-GB"/>
        </w:rPr>
        <w:t>'</w:t>
      </w:r>
      <w:r w:rsidRPr="00AE49C8">
        <w:rPr>
          <w:lang w:eastAsia="en-GB"/>
        </w:rPr>
        <w:t>s Patient First Programme – This is a programme to deliver improvements for both patients and staff</w:t>
      </w:r>
    </w:p>
    <w:p w:rsidR="00BD29B7" w:rsidRPr="00AE49C8" w:rsidRDefault="00BD29B7" w:rsidP="00BD29B7">
      <w:r w:rsidRPr="00AE49C8">
        <w:t xml:space="preserve">The NHS Interim People Plan and the NHS People Plan also sets out the commitment to Equality, Diversity and Inclusion, stating that: "It is not enough for the </w:t>
      </w:r>
      <w:r w:rsidRPr="00AE49C8">
        <w:lastRenderedPageBreak/>
        <w:t xml:space="preserve">NHS merely to continue to champion the idea of inclusion and diversity. We must recognise our shortcomings in this area and listen to the experience of those who face exclusion and marginalisation to understand how to advance equality and diversity better. We need to develop leaders who have the knowledge, skills and behaviours to create and sustain cultures of compassion and inclusion…." </w:t>
      </w:r>
    </w:p>
    <w:p w:rsidR="00476125" w:rsidRPr="00AE49C8" w:rsidRDefault="00476125" w:rsidP="00CC6538">
      <w:pPr>
        <w:rPr>
          <w:lang w:eastAsia="en-GB"/>
        </w:rPr>
      </w:pPr>
      <w:r w:rsidRPr="00AE49C8">
        <w:rPr>
          <w:lang w:eastAsia="en-GB"/>
        </w:rPr>
        <w:t>The reporting period for this document is 1</w:t>
      </w:r>
      <w:r w:rsidRPr="00AE49C8">
        <w:rPr>
          <w:vertAlign w:val="superscript"/>
          <w:lang w:eastAsia="en-GB"/>
        </w:rPr>
        <w:t>st</w:t>
      </w:r>
      <w:r w:rsidRPr="00AE49C8">
        <w:rPr>
          <w:lang w:eastAsia="en-GB"/>
        </w:rPr>
        <w:t xml:space="preserve"> April 2020 to 31</w:t>
      </w:r>
      <w:r w:rsidRPr="00AE49C8">
        <w:rPr>
          <w:vertAlign w:val="superscript"/>
          <w:lang w:eastAsia="en-GB"/>
        </w:rPr>
        <w:t>st</w:t>
      </w:r>
      <w:r w:rsidRPr="00AE49C8">
        <w:rPr>
          <w:lang w:eastAsia="en-GB"/>
        </w:rPr>
        <w:t xml:space="preserve"> March 2021</w:t>
      </w:r>
      <w:r w:rsidR="00BD29B7" w:rsidRPr="00AE49C8">
        <w:rPr>
          <w:lang w:eastAsia="en-GB"/>
        </w:rPr>
        <w:t>;</w:t>
      </w:r>
      <w:r w:rsidRPr="00AE49C8">
        <w:rPr>
          <w:lang w:eastAsia="en-GB"/>
        </w:rPr>
        <w:t xml:space="preserve"> during this time</w:t>
      </w:r>
      <w:r w:rsidR="00BD29B7" w:rsidRPr="00AE49C8">
        <w:rPr>
          <w:lang w:eastAsia="en-GB"/>
        </w:rPr>
        <w:t>,</w:t>
      </w:r>
      <w:r w:rsidRPr="00AE49C8">
        <w:rPr>
          <w:lang w:eastAsia="en-GB"/>
        </w:rPr>
        <w:t xml:space="preserve"> Brighton and Sussex University Hospitals NHS Trust</w:t>
      </w:r>
      <w:r w:rsidR="00BD29B7" w:rsidRPr="00AE49C8">
        <w:rPr>
          <w:lang w:eastAsia="en-GB"/>
        </w:rPr>
        <w:t xml:space="preserve"> (BSUH)</w:t>
      </w:r>
      <w:r w:rsidRPr="00AE49C8">
        <w:rPr>
          <w:lang w:eastAsia="en-GB"/>
        </w:rPr>
        <w:t xml:space="preserve"> was </w:t>
      </w:r>
      <w:r w:rsidR="00BD29B7" w:rsidRPr="00AE49C8">
        <w:rPr>
          <w:lang w:eastAsia="en-GB"/>
        </w:rPr>
        <w:t>under a shared management contract with Western Sussex Hospitals NHS Foundation Trust (WSHT).  Subsequently, on the 1</w:t>
      </w:r>
      <w:r w:rsidR="00BD29B7" w:rsidRPr="00AE49C8">
        <w:rPr>
          <w:vertAlign w:val="superscript"/>
          <w:lang w:eastAsia="en-GB"/>
        </w:rPr>
        <w:t>st</w:t>
      </w:r>
      <w:r w:rsidR="00BD29B7" w:rsidRPr="00AE49C8">
        <w:rPr>
          <w:lang w:eastAsia="en-GB"/>
        </w:rPr>
        <w:t xml:space="preserve"> April 2021, both Trusts merged to form University Hospitals Sussex NHS Foundation Trust.  This report is the last that will look at BSUH and WSHT as separate entities.</w:t>
      </w:r>
    </w:p>
    <w:p w:rsidR="00CC6538" w:rsidRPr="00AE49C8" w:rsidRDefault="00BD29B7" w:rsidP="00CC6538">
      <w:pPr>
        <w:rPr>
          <w:lang w:eastAsia="en-GB"/>
        </w:rPr>
      </w:pPr>
      <w:r w:rsidRPr="00AE49C8">
        <w:rPr>
          <w:lang w:eastAsia="en-GB"/>
        </w:rPr>
        <w:t>BSUH</w:t>
      </w:r>
      <w:r w:rsidR="00CC6538" w:rsidRPr="00AE49C8">
        <w:rPr>
          <w:lang w:eastAsia="en-GB"/>
        </w:rPr>
        <w:t xml:space="preserve"> is an acute hospital-based across two main sites: the Royal Sussex County Hospital in Brighton and the Princess Royal Hospital in Haywards Heath.  The Brighton campus includes the Royal Alexandra Children</w:t>
      </w:r>
      <w:r w:rsidRPr="00AE49C8">
        <w:rPr>
          <w:lang w:eastAsia="en-GB"/>
        </w:rPr>
        <w:t>'</w:t>
      </w:r>
      <w:r w:rsidR="00CC6538" w:rsidRPr="00AE49C8">
        <w:rPr>
          <w:lang w:eastAsia="en-GB"/>
        </w:rPr>
        <w:t xml:space="preserve">s Hospital and the Sussex Eye Hospital.  The Haywards Heath campus includes Hurstwood Park Regional Centre for Neurosciences and the Sussex Orthopaedic Centre.  The Trust also provides services in Brighton General Hospital, Lewes Victoria Hospital, Bexhill Renal Satellite Unit, Hove Polyclinic, Park Centre Breast Care, </w:t>
      </w:r>
      <w:r w:rsidR="008408E0" w:rsidRPr="00B0459B">
        <w:rPr>
          <w:lang w:eastAsia="en-GB"/>
        </w:rPr>
        <w:t>Goodwood Court</w:t>
      </w:r>
      <w:r w:rsidR="008408E0">
        <w:rPr>
          <w:lang w:eastAsia="en-GB"/>
        </w:rPr>
        <w:t xml:space="preserve"> </w:t>
      </w:r>
      <w:r w:rsidR="00CC6538" w:rsidRPr="00AE49C8">
        <w:rPr>
          <w:lang w:eastAsia="en-GB"/>
        </w:rPr>
        <w:t>Medical Centre and Worthing Hospital.</w:t>
      </w:r>
    </w:p>
    <w:p w:rsidR="00BD29B7" w:rsidRPr="00AE49C8" w:rsidRDefault="00BD29B7" w:rsidP="00BD29B7">
      <w:pPr>
        <w:rPr>
          <w:lang w:eastAsia="en-GB"/>
        </w:rPr>
      </w:pPr>
      <w:r w:rsidRPr="00AE49C8">
        <w:rPr>
          <w:lang w:eastAsia="en-GB"/>
        </w:rPr>
        <w:t>WSHT has three main sites. 24-hour emergency care, acute medical care, maternity and children services operate from St. Richard's Hospital in Chichester and Worthing Hospital in the centre of Worthing.  Southlands Hospital in Shoreham-by-Sea specialises in day-case procedures and diagnostics, outpatient appointments. It is home to our purpose-built ophthalmology centre for eye patients.  The Trust also provides a wide range of satellite services across West Sussex in community settings.</w:t>
      </w:r>
    </w:p>
    <w:p w:rsidR="00CC6538" w:rsidRPr="00AE49C8" w:rsidRDefault="00BD29B7" w:rsidP="00CC6538">
      <w:pPr>
        <w:rPr>
          <w:lang w:eastAsia="en-GB"/>
        </w:rPr>
      </w:pPr>
      <w:r w:rsidRPr="00AE49C8">
        <w:rPr>
          <w:lang w:eastAsia="en-GB"/>
        </w:rPr>
        <w:t>A</w:t>
      </w:r>
      <w:r w:rsidR="00CC6538" w:rsidRPr="00AE49C8">
        <w:rPr>
          <w:lang w:eastAsia="en-GB"/>
        </w:rPr>
        <w:t>s a public sector organisation</w:t>
      </w:r>
      <w:r w:rsidRPr="00AE49C8">
        <w:rPr>
          <w:lang w:eastAsia="en-GB"/>
        </w:rPr>
        <w:t>,</w:t>
      </w:r>
      <w:r w:rsidR="00CC6538" w:rsidRPr="00AE49C8">
        <w:rPr>
          <w:lang w:eastAsia="en-GB"/>
        </w:rPr>
        <w:t xml:space="preserve"> </w:t>
      </w:r>
      <w:r w:rsidR="00D938E7" w:rsidRPr="00AE49C8">
        <w:rPr>
          <w:lang w:eastAsia="en-GB"/>
        </w:rPr>
        <w:t xml:space="preserve">we </w:t>
      </w:r>
      <w:r w:rsidR="00CC6538" w:rsidRPr="00AE49C8">
        <w:rPr>
          <w:lang w:eastAsia="en-GB"/>
        </w:rPr>
        <w:t>monitor decisions that could unfairly affect any particular protected characteristic of staff, carers, volunteers, patients and their families.</w:t>
      </w:r>
    </w:p>
    <w:p w:rsidR="00CC6538" w:rsidRPr="00AE49C8" w:rsidRDefault="00CC6538" w:rsidP="00CC6538">
      <w:pPr>
        <w:rPr>
          <w:lang w:eastAsia="en-GB"/>
        </w:rPr>
      </w:pPr>
      <w:r w:rsidRPr="00AE49C8">
        <w:rPr>
          <w:lang w:eastAsia="en-GB"/>
        </w:rPr>
        <w:t xml:space="preserve">Towards the end of 2019/20 – the COVID-19 pandemic hit the world and presented all organisations with unprecedented circumstances.  As a result, there </w:t>
      </w:r>
      <w:r w:rsidR="00BD29B7" w:rsidRPr="00AE49C8">
        <w:rPr>
          <w:lang w:eastAsia="en-GB"/>
        </w:rPr>
        <w:t>has been an impact</w:t>
      </w:r>
      <w:r w:rsidRPr="00AE49C8">
        <w:rPr>
          <w:lang w:eastAsia="en-GB"/>
        </w:rPr>
        <w:t xml:space="preserve"> on </w:t>
      </w:r>
      <w:r w:rsidR="00BD29B7" w:rsidRPr="00AE49C8">
        <w:rPr>
          <w:lang w:eastAsia="en-GB"/>
        </w:rPr>
        <w:t>delivering</w:t>
      </w:r>
      <w:r w:rsidRPr="00AE49C8">
        <w:rPr>
          <w:lang w:eastAsia="en-GB"/>
        </w:rPr>
        <w:t xml:space="preserve"> some of the objectives covered within this </w:t>
      </w:r>
      <w:r w:rsidR="00BD29B7" w:rsidRPr="00AE49C8">
        <w:rPr>
          <w:lang w:eastAsia="en-GB"/>
        </w:rPr>
        <w:t xml:space="preserve">reporting period. The </w:t>
      </w:r>
      <w:r w:rsidR="00263D3C" w:rsidRPr="00AE49C8">
        <w:rPr>
          <w:lang w:eastAsia="en-GB"/>
        </w:rPr>
        <w:t xml:space="preserve">effect </w:t>
      </w:r>
      <w:r w:rsidR="00BD29B7" w:rsidRPr="00AE49C8">
        <w:rPr>
          <w:lang w:eastAsia="en-GB"/>
        </w:rPr>
        <w:t>of the pandemic and restoration of services is still being felt in health and social care.</w:t>
      </w:r>
    </w:p>
    <w:p w:rsidR="00D938E7" w:rsidRPr="00AE49C8" w:rsidRDefault="00D938E7" w:rsidP="00D938E7">
      <w:pPr>
        <w:pStyle w:val="Heading1"/>
        <w:rPr>
          <w:rFonts w:cs="Arial"/>
        </w:rPr>
      </w:pPr>
      <w:bookmarkStart w:id="1" w:name="_Toc88633948"/>
      <w:r w:rsidRPr="00AE49C8">
        <w:rPr>
          <w:rFonts w:cs="Arial"/>
        </w:rPr>
        <w:t>Who benefits from this report?</w:t>
      </w:r>
      <w:bookmarkEnd w:id="1"/>
      <w:r w:rsidRPr="00AE49C8">
        <w:rPr>
          <w:rFonts w:cs="Arial"/>
        </w:rPr>
        <w:t xml:space="preserve"> </w:t>
      </w:r>
    </w:p>
    <w:p w:rsidR="00D938E7" w:rsidRPr="00AE49C8" w:rsidRDefault="00D938E7" w:rsidP="00D938E7">
      <w:pPr>
        <w:rPr>
          <w:b/>
        </w:rPr>
      </w:pPr>
      <w:r w:rsidRPr="00AE49C8">
        <w:rPr>
          <w:b/>
        </w:rPr>
        <w:br/>
        <w:t>Those who use or have an interest in our services</w:t>
      </w:r>
    </w:p>
    <w:p w:rsidR="00D938E7" w:rsidRPr="00AE49C8" w:rsidRDefault="00D938E7" w:rsidP="00D938E7">
      <w:r w:rsidRPr="00AE49C8">
        <w:lastRenderedPageBreak/>
        <w:t>Collecting and analysing data allows the Trust to see if it is meeting both corporate and equality objectives.  The data helps demonstrate if services delivered are safe, effective and of high quality.  The data can also highlight areas where the Trust needs to improve and open the door to inclusive and collaborative engagement with relevant stakeholders.</w:t>
      </w:r>
    </w:p>
    <w:p w:rsidR="00D938E7" w:rsidRPr="00AE49C8" w:rsidRDefault="00D938E7" w:rsidP="00D938E7">
      <w:r w:rsidRPr="00AE49C8">
        <w:t xml:space="preserve">This report can be helpful to those who use our services, local charities and commissioners to review any barriers to access or outcomes.  Publishing this report is </w:t>
      </w:r>
      <w:r w:rsidR="00E666D4" w:rsidRPr="00AE49C8">
        <w:t>essential to</w:t>
      </w:r>
      <w:r w:rsidRPr="00AE49C8">
        <w:t xml:space="preserve"> demonstrating transparency, acting as an enabler to communicate how we tackle inequity.  It also acts as a lever to improve quality.</w:t>
      </w:r>
    </w:p>
    <w:p w:rsidR="00D938E7" w:rsidRPr="00AE49C8" w:rsidRDefault="00D938E7" w:rsidP="00D938E7">
      <w:pPr>
        <w:rPr>
          <w:b/>
        </w:rPr>
      </w:pPr>
      <w:r w:rsidRPr="00AE49C8">
        <w:rPr>
          <w:b/>
        </w:rPr>
        <w:t>Those who work within the Trust</w:t>
      </w:r>
    </w:p>
    <w:p w:rsidR="00D938E7" w:rsidRPr="00AE49C8" w:rsidRDefault="00D938E7" w:rsidP="00D938E7">
      <w:r w:rsidRPr="00AE49C8">
        <w:t xml:space="preserve">Attracting, developing and retaining a diverse and reflective workforce </w:t>
      </w:r>
      <w:r w:rsidR="008E6F14" w:rsidRPr="00AE49C8">
        <w:t>are</w:t>
      </w:r>
      <w:r w:rsidRPr="00AE49C8">
        <w:t xml:space="preserve"> essential to delivering responsive and inclusive services.  Having such a workforce encourages the Trust to develop and deliver services that understand the complex needs of the diverse communities it serves.  National research suggests that the degree to which an organisation's workforce represents community demography drives </w:t>
      </w:r>
      <w:r w:rsidR="00E666D4" w:rsidRPr="00AE49C8">
        <w:t xml:space="preserve">a </w:t>
      </w:r>
      <w:r w:rsidRPr="00AE49C8">
        <w:t>positive patient experience.  (Why Organisational and Community Diversity Matter: Representativeness and the Emergence of Inclusivity and Organisational Performance, King et al., 2011).</w:t>
      </w:r>
    </w:p>
    <w:p w:rsidR="00E666D4" w:rsidRPr="00AE49C8" w:rsidRDefault="00E666D4" w:rsidP="00E666D4">
      <w:pPr>
        <w:pStyle w:val="Heading1"/>
        <w:rPr>
          <w:rFonts w:cs="Arial"/>
        </w:rPr>
      </w:pPr>
      <w:bookmarkStart w:id="2" w:name="_Toc88633949"/>
      <w:r w:rsidRPr="00AE49C8">
        <w:rPr>
          <w:rFonts w:cs="Arial"/>
        </w:rPr>
        <w:t xml:space="preserve">Response to </w:t>
      </w:r>
      <w:r w:rsidRPr="00AE49C8">
        <w:rPr>
          <w:rFonts w:cs="Arial"/>
        </w:rPr>
        <w:br/>
        <w:t>COVID-19/Coronavirus Pandemic</w:t>
      </w:r>
      <w:bookmarkEnd w:id="2"/>
      <w:r w:rsidRPr="00AE49C8">
        <w:rPr>
          <w:rFonts w:cs="Arial"/>
        </w:rPr>
        <w:t xml:space="preserve"> </w:t>
      </w:r>
    </w:p>
    <w:p w:rsidR="00E666D4" w:rsidRPr="00AE49C8" w:rsidRDefault="00E666D4" w:rsidP="00E666D4">
      <w:pPr>
        <w:rPr>
          <w:noProof/>
          <w:color w:val="000000"/>
          <w:szCs w:val="24"/>
        </w:rPr>
      </w:pPr>
      <w:r w:rsidRPr="00AE49C8">
        <w:rPr>
          <w:noProof/>
          <w:color w:val="000000"/>
          <w:szCs w:val="24"/>
        </w:rPr>
        <w:br/>
        <w:t>The impact of the global pandemic was visible and felt across the world.  Within healthcare in the UK, significant changes were made in how services were delivered and accessed.</w:t>
      </w:r>
    </w:p>
    <w:p w:rsidR="00E666D4" w:rsidRPr="00AE49C8" w:rsidRDefault="00E666D4" w:rsidP="00E666D4">
      <w:pPr>
        <w:rPr>
          <w:noProof/>
          <w:color w:val="000000"/>
          <w:szCs w:val="24"/>
        </w:rPr>
      </w:pPr>
      <w:r w:rsidRPr="00AE49C8">
        <w:rPr>
          <w:noProof/>
          <w:color w:val="000000"/>
          <w:szCs w:val="24"/>
        </w:rPr>
        <w:t>To meet the demands from the pandemic, the Trust implemented several changes across the board.  Some of the changes made during this period included:</w:t>
      </w:r>
    </w:p>
    <w:p w:rsidR="00E666D4" w:rsidRPr="00AE49C8" w:rsidRDefault="00E666D4" w:rsidP="00E666D4">
      <w:pPr>
        <w:pStyle w:val="ListParagraph"/>
      </w:pPr>
      <w:r w:rsidRPr="00AE49C8">
        <w:t>Improving the risk assessment process for both departments and individuals</w:t>
      </w:r>
      <w:r w:rsidR="00452E6C">
        <w:t>;</w:t>
      </w:r>
      <w:r w:rsidRPr="00AE49C8">
        <w:t xml:space="preserve"> </w:t>
      </w:r>
      <w:r w:rsidR="00452E6C">
        <w:t>enabling</w:t>
      </w:r>
      <w:r w:rsidRPr="00AE49C8">
        <w:t xml:space="preserve"> effective judgements on the best ways to protect our staff and services. All staff </w:t>
      </w:r>
      <w:r w:rsidR="008E6F14" w:rsidRPr="00AE49C8">
        <w:t>has</w:t>
      </w:r>
      <w:r w:rsidRPr="00AE49C8">
        <w:t xml:space="preserve"> </w:t>
      </w:r>
      <w:r w:rsidR="00452E6C">
        <w:t xml:space="preserve">had </w:t>
      </w:r>
      <w:r w:rsidRPr="00AE49C8">
        <w:t>an individual risk assessment.</w:t>
      </w:r>
    </w:p>
    <w:p w:rsidR="00E666D4" w:rsidRPr="00AE49C8" w:rsidRDefault="00E666D4" w:rsidP="00E666D4">
      <w:pPr>
        <w:pStyle w:val="ListParagraph"/>
      </w:pPr>
      <w:r w:rsidRPr="00AE49C8">
        <w:t>The introduction of risk assessment advisory panels.  The independent panels review complex individual risk assessments and provid</w:t>
      </w:r>
      <w:r w:rsidR="00452E6C">
        <w:t>e</w:t>
      </w:r>
      <w:r w:rsidRPr="00AE49C8">
        <w:t xml:space="preserve"> advice and solutions to issues.</w:t>
      </w:r>
    </w:p>
    <w:p w:rsidR="00E666D4" w:rsidRPr="00AE49C8" w:rsidRDefault="00E666D4" w:rsidP="00E666D4">
      <w:pPr>
        <w:pStyle w:val="ListParagraph"/>
      </w:pPr>
      <w:r w:rsidRPr="00AE49C8">
        <w:t>Commissioning SignLive British Sign Language services, allowing BSL users to communicate with hospital staff effectively (both in-person and remotely).</w:t>
      </w:r>
    </w:p>
    <w:p w:rsidR="00E666D4" w:rsidRPr="00AE49C8" w:rsidRDefault="00E666D4" w:rsidP="00E666D4">
      <w:pPr>
        <w:pStyle w:val="ListParagraph"/>
      </w:pPr>
      <w:r w:rsidRPr="00AE49C8">
        <w:t>Widespread use of 'virtual clinics' both telephone and video conferencing.</w:t>
      </w:r>
    </w:p>
    <w:p w:rsidR="00E666D4" w:rsidRPr="00AE49C8" w:rsidRDefault="00E666D4" w:rsidP="00E666D4">
      <w:pPr>
        <w:pStyle w:val="ListParagraph"/>
      </w:pPr>
      <w:r w:rsidRPr="00AE49C8">
        <w:t>Widespread working from home practices.</w:t>
      </w:r>
    </w:p>
    <w:p w:rsidR="00E666D4" w:rsidRPr="00AE49C8" w:rsidRDefault="00E666D4" w:rsidP="00E666D4">
      <w:pPr>
        <w:pStyle w:val="ListParagraph"/>
      </w:pPr>
      <w:r w:rsidRPr="00AE49C8">
        <w:t>Promotion and expansion of staff health and wellbeing services.</w:t>
      </w:r>
    </w:p>
    <w:p w:rsidR="00E666D4" w:rsidRPr="00AE49C8" w:rsidRDefault="00E666D4" w:rsidP="00E666D4">
      <w:pPr>
        <w:pStyle w:val="ListParagraph"/>
      </w:pPr>
      <w:r w:rsidRPr="00AE49C8">
        <w:lastRenderedPageBreak/>
        <w:t>Bronze, silver and gold</w:t>
      </w:r>
      <w:r w:rsidR="00452E6C">
        <w:t xml:space="preserve"> COVID-19 command centres – to m</w:t>
      </w:r>
      <w:r w:rsidRPr="00AE49C8">
        <w:t>ake trust</w:t>
      </w:r>
      <w:r w:rsidR="008408E0">
        <w:t xml:space="preserve"> </w:t>
      </w:r>
      <w:r w:rsidRPr="00AE49C8">
        <w:t>wide decisions on issues affecting capacity and flow in services.</w:t>
      </w:r>
    </w:p>
    <w:p w:rsidR="00E666D4" w:rsidRPr="00AE49C8" w:rsidRDefault="00E666D4" w:rsidP="00E666D4">
      <w:pPr>
        <w:pStyle w:val="ListParagraph"/>
      </w:pPr>
      <w:r w:rsidRPr="00AE49C8">
        <w:t>COVID-19 Workforce taskforce – to help address questions and resourcing of departments.</w:t>
      </w:r>
    </w:p>
    <w:p w:rsidR="00E666D4" w:rsidRDefault="00E666D4" w:rsidP="00A0368A">
      <w:pPr>
        <w:rPr>
          <w:noProof/>
        </w:rPr>
      </w:pPr>
      <w:r w:rsidRPr="00AE49C8">
        <w:rPr>
          <w:noProof/>
        </w:rPr>
        <w:t>Since the beginning of the pandemic, national guidance changed throughout; the Trust worked hard to ensure that it was compliant and delivering effective services for both patients and staff.</w:t>
      </w:r>
    </w:p>
    <w:p w:rsidR="00C92A79" w:rsidRDefault="008E6F14" w:rsidP="00C92A79">
      <w:pP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wo staff working in the COVID vaccination hub" style="width:242.55pt;height:324.85pt">
            <v:imagedata r:id="rId13" o:title="vaccinations with gerthy "/>
          </v:shape>
        </w:pict>
      </w:r>
    </w:p>
    <w:p w:rsidR="00E666D4" w:rsidRPr="00AE49C8" w:rsidRDefault="00E666D4" w:rsidP="00E666D4">
      <w:pPr>
        <w:pStyle w:val="Heading1"/>
        <w:rPr>
          <w:rFonts w:cs="Arial"/>
        </w:rPr>
      </w:pPr>
      <w:bookmarkStart w:id="3" w:name="_Toc88633950"/>
      <w:r w:rsidRPr="00AE49C8">
        <w:rPr>
          <w:rStyle w:val="Heading1Char"/>
          <w:rFonts w:cs="Arial"/>
          <w:b/>
          <w:bCs/>
        </w:rPr>
        <w:t>Vision statement</w:t>
      </w:r>
      <w:bookmarkEnd w:id="3"/>
      <w:r w:rsidRPr="00AE49C8">
        <w:rPr>
          <w:rFonts w:cs="Arial"/>
        </w:rPr>
        <w:t xml:space="preserve"> </w:t>
      </w:r>
    </w:p>
    <w:p w:rsidR="00E666D4" w:rsidRPr="00AE49C8" w:rsidRDefault="00E666D4" w:rsidP="00E666D4"/>
    <w:p w:rsidR="00E666D4" w:rsidRPr="00AE49C8" w:rsidRDefault="00E666D4" w:rsidP="00E666D4">
      <w:pPr>
        <w:rPr>
          <w:b/>
        </w:rPr>
      </w:pPr>
      <w:r w:rsidRPr="00AE49C8">
        <w:rPr>
          <w:b/>
        </w:rPr>
        <w:t>Equality, Diversity and Inclusion at Brighton and Sussex University Hospitals NHS Trust and Western Sussex Hospitals NHS Foundation Trust</w:t>
      </w:r>
    </w:p>
    <w:p w:rsidR="00E666D4" w:rsidRPr="00AE49C8" w:rsidRDefault="00E666D4" w:rsidP="00E666D4">
      <w:pPr>
        <w:pStyle w:val="Default"/>
        <w:rPr>
          <w:szCs w:val="22"/>
        </w:rPr>
      </w:pPr>
      <w:r w:rsidRPr="00AE49C8">
        <w:rPr>
          <w:szCs w:val="22"/>
        </w:rPr>
        <w:t xml:space="preserve">Our vision is for equality, diversity and inclusion to be a 'golden thread' running through and central to how we work together to provide sustainable, high-quality patient-centred care for all people we serve. </w:t>
      </w:r>
    </w:p>
    <w:p w:rsidR="00E666D4" w:rsidRPr="00AE49C8" w:rsidRDefault="00E666D4" w:rsidP="00E666D4">
      <w:pPr>
        <w:pStyle w:val="Default"/>
        <w:rPr>
          <w:szCs w:val="22"/>
        </w:rPr>
      </w:pPr>
    </w:p>
    <w:p w:rsidR="00E666D4" w:rsidRPr="00AE49C8" w:rsidRDefault="00E666D4" w:rsidP="00E666D4">
      <w:pPr>
        <w:pStyle w:val="Default"/>
        <w:rPr>
          <w:szCs w:val="22"/>
        </w:rPr>
      </w:pPr>
      <w:r w:rsidRPr="00AE49C8">
        <w:rPr>
          <w:szCs w:val="22"/>
        </w:rPr>
        <w:t xml:space="preserve">Our vision intends to provide a focus and vision for delivering and developing all our services. </w:t>
      </w:r>
    </w:p>
    <w:p w:rsidR="00E666D4" w:rsidRPr="00AE49C8" w:rsidRDefault="00E666D4" w:rsidP="00E666D4">
      <w:pPr>
        <w:pStyle w:val="Default"/>
        <w:rPr>
          <w:szCs w:val="22"/>
        </w:rPr>
      </w:pPr>
    </w:p>
    <w:p w:rsidR="00E666D4" w:rsidRPr="00AE49C8" w:rsidRDefault="00E666D4" w:rsidP="00E666D4">
      <w:pPr>
        <w:pStyle w:val="Default"/>
        <w:rPr>
          <w:b/>
          <w:szCs w:val="22"/>
        </w:rPr>
      </w:pPr>
      <w:r w:rsidRPr="00AE49C8">
        <w:rPr>
          <w:b/>
          <w:szCs w:val="22"/>
        </w:rPr>
        <w:t xml:space="preserve">Our patients and service users: </w:t>
      </w:r>
    </w:p>
    <w:p w:rsidR="00E666D4" w:rsidRPr="00AE49C8" w:rsidRDefault="00E666D4" w:rsidP="00E666D4">
      <w:pPr>
        <w:pStyle w:val="Default"/>
        <w:rPr>
          <w:b/>
          <w:szCs w:val="22"/>
        </w:rPr>
      </w:pPr>
    </w:p>
    <w:p w:rsidR="00E666D4" w:rsidRPr="00AE49C8" w:rsidRDefault="00E666D4" w:rsidP="00FF4255">
      <w:pPr>
        <w:pStyle w:val="Default"/>
        <w:numPr>
          <w:ilvl w:val="0"/>
          <w:numId w:val="2"/>
        </w:numPr>
        <w:spacing w:after="15"/>
        <w:rPr>
          <w:szCs w:val="22"/>
        </w:rPr>
      </w:pPr>
      <w:r w:rsidRPr="00AE49C8">
        <w:rPr>
          <w:szCs w:val="22"/>
        </w:rPr>
        <w:t xml:space="preserve">Have confidence their individual needs and beliefs are taken seriously, and they are treated with dignity and respect. </w:t>
      </w:r>
    </w:p>
    <w:p w:rsidR="00E666D4" w:rsidRPr="00AE49C8" w:rsidRDefault="00E666D4" w:rsidP="00FF4255">
      <w:pPr>
        <w:pStyle w:val="Default"/>
        <w:numPr>
          <w:ilvl w:val="0"/>
          <w:numId w:val="2"/>
        </w:numPr>
        <w:spacing w:after="15"/>
        <w:rPr>
          <w:szCs w:val="22"/>
        </w:rPr>
      </w:pPr>
      <w:r w:rsidRPr="00AE49C8">
        <w:rPr>
          <w:szCs w:val="22"/>
        </w:rPr>
        <w:t xml:space="preserve">Know their individual life chances and wellbeing are enhanced by the Trust's commitment to equality, diversity and inclusion. </w:t>
      </w:r>
    </w:p>
    <w:p w:rsidR="00E666D4" w:rsidRPr="00AE49C8" w:rsidRDefault="00E666D4" w:rsidP="00FF4255">
      <w:pPr>
        <w:pStyle w:val="Default"/>
        <w:numPr>
          <w:ilvl w:val="0"/>
          <w:numId w:val="2"/>
        </w:numPr>
        <w:rPr>
          <w:szCs w:val="22"/>
        </w:rPr>
      </w:pPr>
      <w:r w:rsidRPr="00AE49C8">
        <w:rPr>
          <w:szCs w:val="22"/>
        </w:rPr>
        <w:t xml:space="preserve">Are happy to choose to use and recommend the organisation. </w:t>
      </w:r>
    </w:p>
    <w:p w:rsidR="00E666D4" w:rsidRPr="00AE49C8" w:rsidRDefault="00E666D4" w:rsidP="00E666D4">
      <w:pPr>
        <w:pStyle w:val="Default"/>
        <w:rPr>
          <w:szCs w:val="22"/>
        </w:rPr>
      </w:pPr>
    </w:p>
    <w:p w:rsidR="00E666D4" w:rsidRPr="00AE49C8" w:rsidRDefault="00E666D4" w:rsidP="00E666D4">
      <w:pPr>
        <w:pStyle w:val="Default"/>
        <w:rPr>
          <w:b/>
          <w:szCs w:val="22"/>
        </w:rPr>
      </w:pPr>
      <w:r w:rsidRPr="00AE49C8">
        <w:rPr>
          <w:b/>
          <w:szCs w:val="22"/>
        </w:rPr>
        <w:t xml:space="preserve">Our staff: </w:t>
      </w:r>
    </w:p>
    <w:p w:rsidR="00E666D4" w:rsidRPr="00AE49C8" w:rsidRDefault="00E666D4" w:rsidP="00E666D4">
      <w:pPr>
        <w:pStyle w:val="Default"/>
        <w:rPr>
          <w:b/>
          <w:szCs w:val="22"/>
        </w:rPr>
      </w:pPr>
    </w:p>
    <w:p w:rsidR="00E666D4" w:rsidRPr="00AE49C8" w:rsidRDefault="00E666D4" w:rsidP="00FF4255">
      <w:pPr>
        <w:pStyle w:val="Default"/>
        <w:numPr>
          <w:ilvl w:val="0"/>
          <w:numId w:val="3"/>
        </w:numPr>
        <w:spacing w:after="17"/>
        <w:rPr>
          <w:szCs w:val="22"/>
        </w:rPr>
      </w:pPr>
      <w:r w:rsidRPr="00AE49C8">
        <w:rPr>
          <w:szCs w:val="22"/>
        </w:rPr>
        <w:t xml:space="preserve">Feel valued and fairly treated in an organisation that really cares. </w:t>
      </w:r>
    </w:p>
    <w:p w:rsidR="00E666D4" w:rsidRPr="00AE49C8" w:rsidRDefault="00E666D4" w:rsidP="00FF4255">
      <w:pPr>
        <w:pStyle w:val="Default"/>
        <w:numPr>
          <w:ilvl w:val="0"/>
          <w:numId w:val="3"/>
        </w:numPr>
        <w:spacing w:after="17"/>
        <w:rPr>
          <w:szCs w:val="22"/>
        </w:rPr>
      </w:pPr>
      <w:r w:rsidRPr="00AE49C8">
        <w:rPr>
          <w:szCs w:val="22"/>
        </w:rPr>
        <w:t xml:space="preserve">Knows the Trust as an organisation that people want to come and work for, stay with and thrive. Because of its commitment to equality, diversity and inclusion. </w:t>
      </w:r>
    </w:p>
    <w:p w:rsidR="00E666D4" w:rsidRPr="00AE49C8" w:rsidRDefault="00E666D4" w:rsidP="00FF4255">
      <w:pPr>
        <w:pStyle w:val="Default"/>
        <w:numPr>
          <w:ilvl w:val="0"/>
          <w:numId w:val="3"/>
        </w:numPr>
        <w:rPr>
          <w:szCs w:val="22"/>
        </w:rPr>
      </w:pPr>
      <w:r w:rsidRPr="00AE49C8">
        <w:rPr>
          <w:szCs w:val="22"/>
        </w:rPr>
        <w:t xml:space="preserve">Are proud to work in an open and inclusive organisation. </w:t>
      </w:r>
    </w:p>
    <w:p w:rsidR="00E666D4" w:rsidRPr="00AE49C8" w:rsidRDefault="00E666D4" w:rsidP="00E666D4">
      <w:pPr>
        <w:pStyle w:val="Default"/>
        <w:rPr>
          <w:szCs w:val="22"/>
        </w:rPr>
      </w:pPr>
    </w:p>
    <w:p w:rsidR="00E666D4" w:rsidRPr="00AE49C8" w:rsidRDefault="00E666D4" w:rsidP="00E666D4">
      <w:pPr>
        <w:pStyle w:val="Default"/>
        <w:rPr>
          <w:b/>
          <w:szCs w:val="22"/>
        </w:rPr>
      </w:pPr>
      <w:r w:rsidRPr="00AE49C8">
        <w:rPr>
          <w:b/>
          <w:szCs w:val="22"/>
        </w:rPr>
        <w:t xml:space="preserve">Our communities: </w:t>
      </w:r>
    </w:p>
    <w:p w:rsidR="00E666D4" w:rsidRPr="00AE49C8" w:rsidRDefault="00E666D4" w:rsidP="00E666D4">
      <w:pPr>
        <w:pStyle w:val="Default"/>
        <w:rPr>
          <w:b/>
          <w:szCs w:val="22"/>
        </w:rPr>
      </w:pPr>
    </w:p>
    <w:p w:rsidR="00E666D4" w:rsidRPr="00AE49C8" w:rsidRDefault="00E666D4" w:rsidP="00FF4255">
      <w:pPr>
        <w:pStyle w:val="Default"/>
        <w:numPr>
          <w:ilvl w:val="0"/>
          <w:numId w:val="4"/>
        </w:numPr>
        <w:spacing w:after="14"/>
        <w:rPr>
          <w:szCs w:val="22"/>
        </w:rPr>
      </w:pPr>
      <w:r w:rsidRPr="00AE49C8">
        <w:rPr>
          <w:szCs w:val="22"/>
        </w:rPr>
        <w:t xml:space="preserve">Assured the Trust engages with the diverse communities based on mutual interest and respect. </w:t>
      </w:r>
    </w:p>
    <w:p w:rsidR="00E666D4" w:rsidRPr="00AE49C8" w:rsidRDefault="00E666D4" w:rsidP="00FF4255">
      <w:pPr>
        <w:pStyle w:val="Default"/>
        <w:numPr>
          <w:ilvl w:val="0"/>
          <w:numId w:val="4"/>
        </w:numPr>
        <w:spacing w:after="14"/>
        <w:rPr>
          <w:szCs w:val="22"/>
        </w:rPr>
      </w:pPr>
      <w:r w:rsidRPr="00AE49C8">
        <w:rPr>
          <w:szCs w:val="22"/>
        </w:rPr>
        <w:t xml:space="preserve">Confident the Trust is active in tackling inequality, making services accessible, solving problems, delivering solutions and being willing to learn. </w:t>
      </w:r>
    </w:p>
    <w:p w:rsidR="00E666D4" w:rsidRPr="00AE49C8" w:rsidRDefault="00E666D4" w:rsidP="00FF4255">
      <w:pPr>
        <w:pStyle w:val="Default"/>
        <w:numPr>
          <w:ilvl w:val="0"/>
          <w:numId w:val="4"/>
        </w:numPr>
        <w:rPr>
          <w:szCs w:val="22"/>
        </w:rPr>
      </w:pPr>
      <w:r w:rsidRPr="00AE49C8">
        <w:rPr>
          <w:szCs w:val="22"/>
        </w:rPr>
        <w:t xml:space="preserve">The Trust is responsive to the challenges faced by people with diverse needs and communicates appropriately. </w:t>
      </w:r>
    </w:p>
    <w:p w:rsidR="00E666D4" w:rsidRPr="00AE49C8" w:rsidRDefault="00E666D4" w:rsidP="00E666D4">
      <w:pPr>
        <w:pStyle w:val="Default"/>
        <w:rPr>
          <w:szCs w:val="22"/>
        </w:rPr>
      </w:pPr>
    </w:p>
    <w:p w:rsidR="00E666D4" w:rsidRPr="00AE49C8" w:rsidRDefault="00E666D4" w:rsidP="00E666D4">
      <w:pPr>
        <w:pStyle w:val="Default"/>
        <w:rPr>
          <w:b/>
          <w:szCs w:val="22"/>
        </w:rPr>
      </w:pPr>
      <w:r w:rsidRPr="00AE49C8">
        <w:rPr>
          <w:b/>
          <w:szCs w:val="22"/>
        </w:rPr>
        <w:t xml:space="preserve">Our organisation: </w:t>
      </w:r>
    </w:p>
    <w:p w:rsidR="00E666D4" w:rsidRPr="00AE49C8" w:rsidRDefault="00E666D4" w:rsidP="00E666D4">
      <w:pPr>
        <w:pStyle w:val="Default"/>
        <w:rPr>
          <w:szCs w:val="22"/>
        </w:rPr>
      </w:pPr>
    </w:p>
    <w:p w:rsidR="00E666D4" w:rsidRPr="00AE49C8" w:rsidRDefault="00E666D4" w:rsidP="00FF4255">
      <w:pPr>
        <w:pStyle w:val="Default"/>
        <w:numPr>
          <w:ilvl w:val="0"/>
          <w:numId w:val="5"/>
        </w:numPr>
        <w:spacing w:after="14"/>
        <w:rPr>
          <w:szCs w:val="22"/>
        </w:rPr>
      </w:pPr>
      <w:r w:rsidRPr="00AE49C8">
        <w:rPr>
          <w:szCs w:val="22"/>
        </w:rPr>
        <w:t>Lives its values consistently across all sites in the organisation.</w:t>
      </w:r>
    </w:p>
    <w:p w:rsidR="00E666D4" w:rsidRPr="00AE49C8" w:rsidRDefault="00E666D4" w:rsidP="00FF4255">
      <w:pPr>
        <w:pStyle w:val="Default"/>
        <w:numPr>
          <w:ilvl w:val="0"/>
          <w:numId w:val="5"/>
        </w:numPr>
        <w:spacing w:after="14"/>
        <w:rPr>
          <w:szCs w:val="22"/>
        </w:rPr>
      </w:pPr>
      <w:r w:rsidRPr="00AE49C8">
        <w:rPr>
          <w:szCs w:val="22"/>
        </w:rPr>
        <w:t xml:space="preserve">Demonstrates long-term, consistent commitment to equality, diversity and inclusion for the people it serves. </w:t>
      </w:r>
    </w:p>
    <w:p w:rsidR="000E2B5A" w:rsidRPr="00AE49C8" w:rsidRDefault="00E666D4" w:rsidP="00FF4255">
      <w:pPr>
        <w:pStyle w:val="Default"/>
        <w:numPr>
          <w:ilvl w:val="0"/>
          <w:numId w:val="5"/>
        </w:numPr>
        <w:rPr>
          <w:szCs w:val="22"/>
        </w:rPr>
      </w:pPr>
      <w:r w:rsidRPr="00AE49C8">
        <w:rPr>
          <w:szCs w:val="22"/>
        </w:rPr>
        <w:t xml:space="preserve">Is a positive, innovative and 'can do' place to be. </w:t>
      </w:r>
    </w:p>
    <w:p w:rsidR="000E2B5A" w:rsidRPr="00AE49C8" w:rsidRDefault="000E2B5A" w:rsidP="000E2B5A">
      <w:pPr>
        <w:pStyle w:val="Default"/>
        <w:rPr>
          <w:szCs w:val="22"/>
        </w:rPr>
      </w:pPr>
    </w:p>
    <w:p w:rsidR="00452E6C" w:rsidRDefault="00452E6C" w:rsidP="000E2B5A">
      <w:pPr>
        <w:pStyle w:val="Heading1"/>
        <w:rPr>
          <w:rFonts w:cs="Arial"/>
        </w:rPr>
      </w:pPr>
      <w:bookmarkStart w:id="4" w:name="_Toc88633951"/>
      <w:r>
        <w:rPr>
          <w:rFonts w:cs="Arial"/>
        </w:rPr>
        <w:t>What are the Equality Objectives for the Trusts?</w:t>
      </w:r>
      <w:bookmarkEnd w:id="4"/>
    </w:p>
    <w:p w:rsidR="00452E6C" w:rsidRDefault="00452E6C" w:rsidP="00452E6C">
      <w:pPr>
        <w:spacing w:line="240" w:lineRule="auto"/>
      </w:pPr>
      <w:r>
        <w:br/>
        <w:t>The Equality Act 2010 places specific duties on public sector organisations. Part of the specific duties is setting measurable objectives and goals that demonstrate how the organisation meets these needs or takes steps to improve equality.</w:t>
      </w:r>
    </w:p>
    <w:p w:rsidR="00452E6C" w:rsidRDefault="00452E6C" w:rsidP="00452E6C">
      <w:pPr>
        <w:spacing w:line="240" w:lineRule="auto"/>
      </w:pPr>
      <w:r>
        <w:t xml:space="preserve">The objectives and goals are live from 2019 to 2022. </w:t>
      </w:r>
    </w:p>
    <w:p w:rsidR="00452E6C" w:rsidRDefault="00452E6C" w:rsidP="00452E6C">
      <w:pPr>
        <w:spacing w:line="240" w:lineRule="auto"/>
      </w:pPr>
      <w:r>
        <w:t>Below is a summary of the objectives:</w:t>
      </w:r>
    </w:p>
    <w:p w:rsidR="00452E6C" w:rsidRDefault="00452E6C" w:rsidP="00452E6C">
      <w:pPr>
        <w:spacing w:line="240" w:lineRule="auto"/>
      </w:pPr>
      <w:r>
        <w:t>The following objectives apply to Brighton and Sussex University Hospitals NHS Trust and Western Sussex Hospitals Foundation NHS Trust:</w:t>
      </w:r>
    </w:p>
    <w:p w:rsidR="00452E6C" w:rsidRDefault="00452E6C" w:rsidP="00452E6C">
      <w:pPr>
        <w:pStyle w:val="ListParagraph"/>
        <w:numPr>
          <w:ilvl w:val="0"/>
          <w:numId w:val="26"/>
        </w:numPr>
        <w:spacing w:line="240" w:lineRule="auto"/>
      </w:pPr>
      <w:r>
        <w:lastRenderedPageBreak/>
        <w:t xml:space="preserve">Aim to have the workforce’s declared equality monitoring data as a minimum </w:t>
      </w:r>
      <w:r w:rsidR="008E6F14">
        <w:t>of 90</w:t>
      </w:r>
      <w:r>
        <w:t>% across the board.</w:t>
      </w:r>
      <w:r>
        <w:br/>
      </w:r>
    </w:p>
    <w:p w:rsidR="00452E6C" w:rsidRDefault="00452E6C" w:rsidP="00452E6C">
      <w:pPr>
        <w:pStyle w:val="ListParagraph"/>
        <w:numPr>
          <w:ilvl w:val="0"/>
          <w:numId w:val="26"/>
        </w:numPr>
        <w:spacing w:line="240" w:lineRule="auto"/>
      </w:pPr>
      <w:r>
        <w:t>Review the disparity of experiences from the NHS Staff Survey.  The review is currently under the Human Resources work</w:t>
      </w:r>
      <w:r w:rsidR="008408E0">
        <w:t xml:space="preserve"> </w:t>
      </w:r>
      <w:r>
        <w:t>stream. Work is also being undertaken as part of WRES and WDES with respective action plans to address the highlighted issues.</w:t>
      </w:r>
      <w:r>
        <w:br/>
      </w:r>
    </w:p>
    <w:p w:rsidR="00452E6C" w:rsidRDefault="00452E6C" w:rsidP="00452E6C">
      <w:pPr>
        <w:pStyle w:val="ListParagraph"/>
        <w:numPr>
          <w:ilvl w:val="0"/>
          <w:numId w:val="26"/>
        </w:numPr>
        <w:spacing w:line="240" w:lineRule="auto"/>
      </w:pPr>
      <w:r>
        <w:t>Review recruitment and selection process and training to identify areas of practice and unconscious bias.</w:t>
      </w:r>
      <w:r>
        <w:br/>
      </w:r>
    </w:p>
    <w:p w:rsidR="00452E6C" w:rsidRDefault="00452E6C" w:rsidP="00452E6C">
      <w:pPr>
        <w:pStyle w:val="ListParagraph"/>
        <w:numPr>
          <w:ilvl w:val="0"/>
          <w:numId w:val="26"/>
        </w:numPr>
        <w:spacing w:line="240" w:lineRule="auto"/>
      </w:pPr>
      <w:r>
        <w:t>Engage with</w:t>
      </w:r>
      <w:r w:rsidR="00DA4FEA">
        <w:t xml:space="preserve"> patients to encourage greater t</w:t>
      </w:r>
      <w:r>
        <w:t>rust with patient monitoring exercises.</w:t>
      </w:r>
    </w:p>
    <w:p w:rsidR="000E2B5A" w:rsidRPr="00AE49C8" w:rsidRDefault="000E2B5A" w:rsidP="000E2B5A">
      <w:pPr>
        <w:pStyle w:val="Heading1"/>
        <w:rPr>
          <w:rFonts w:cs="Arial"/>
        </w:rPr>
      </w:pPr>
      <w:bookmarkStart w:id="5" w:name="_Toc88633952"/>
      <w:r w:rsidRPr="00AE49C8">
        <w:rPr>
          <w:rFonts w:cs="Arial"/>
        </w:rPr>
        <w:t>What is the Trust doing to further the inclusion agenda?</w:t>
      </w:r>
      <w:bookmarkEnd w:id="5"/>
    </w:p>
    <w:p w:rsidR="000E2B5A" w:rsidRPr="00AE49C8" w:rsidRDefault="000E2B5A" w:rsidP="000E2B5A"/>
    <w:p w:rsidR="000E2B5A" w:rsidRPr="00AE49C8" w:rsidRDefault="000E2B5A" w:rsidP="000E2B5A">
      <w:r w:rsidRPr="00AE49C8">
        <w:t>The Trust undertakes a wide range of work, projects and activities to support the inclusion agenda to benefit patients and the workforce.  Below is a summary of some of the key highlights during 2020/21.</w:t>
      </w:r>
    </w:p>
    <w:p w:rsidR="000E2B5A" w:rsidRPr="00AE49C8" w:rsidRDefault="000E2B5A" w:rsidP="000E2B5A">
      <w:pPr>
        <w:pStyle w:val="Heading2"/>
        <w:rPr>
          <w:rFonts w:cs="Arial"/>
        </w:rPr>
      </w:pPr>
      <w:bookmarkStart w:id="6" w:name="_Toc88633953"/>
      <w:r w:rsidRPr="00AE49C8">
        <w:rPr>
          <w:rFonts w:cs="Arial"/>
        </w:rPr>
        <w:t xml:space="preserve">Diversity Matters Steering Group (DMSG) </w:t>
      </w:r>
      <w:r w:rsidR="00DA4523" w:rsidRPr="00AE49C8">
        <w:rPr>
          <w:rFonts w:cs="Arial"/>
        </w:rPr>
        <w:t>and Diversity Matters Group (DMG)</w:t>
      </w:r>
      <w:bookmarkEnd w:id="6"/>
    </w:p>
    <w:p w:rsidR="000E2B5A" w:rsidRPr="00AE49C8" w:rsidRDefault="00DA4523" w:rsidP="000E2B5A">
      <w:r w:rsidRPr="00AE49C8">
        <w:t>The Deputy Chief Executive/Chief Medical Officer (George Findlay) chairs the BSUH group, the Chief Executive (Dame Marianne Griffiths) chairs the WSHT group</w:t>
      </w:r>
      <w:r w:rsidR="000E2B5A" w:rsidRPr="00AE49C8">
        <w:t>.  The group</w:t>
      </w:r>
      <w:r w:rsidRPr="00AE49C8">
        <w:t>s</w:t>
      </w:r>
      <w:r w:rsidR="000E2B5A" w:rsidRPr="00AE49C8">
        <w:t xml:space="preserve"> provide a valuable forum to discuss issues that impact equality and inclusion in the Trust for both staff and patients.</w:t>
      </w:r>
    </w:p>
    <w:p w:rsidR="000E2B5A" w:rsidRPr="00AE49C8" w:rsidRDefault="000E2B5A" w:rsidP="000E2B5A">
      <w:r w:rsidRPr="00AE49C8">
        <w:t xml:space="preserve">DMSG </w:t>
      </w:r>
      <w:r w:rsidR="00DA4523" w:rsidRPr="00AE49C8">
        <w:t xml:space="preserve">and DMG </w:t>
      </w:r>
      <w:r w:rsidRPr="00AE49C8">
        <w:t>also provide</w:t>
      </w:r>
      <w:r w:rsidR="00DA4523" w:rsidRPr="00AE49C8">
        <w:t xml:space="preserve"> governance for action plans (such as the NHS equality standards: Workforce Race Equality Standard and Workforce Disability Equality Standard. Gender Pay Gap Reports,</w:t>
      </w:r>
      <w:r w:rsidRPr="00AE49C8">
        <w:t xml:space="preserve"> and the Stonewall Workplace Equality Index) and relevant policies and guidelines.  The steering group reports to the Trust Executive Committee and the Trust Board.</w:t>
      </w:r>
    </w:p>
    <w:p w:rsidR="000E2B5A" w:rsidRPr="00AE49C8" w:rsidRDefault="000E2B5A" w:rsidP="000E2B5A">
      <w:pPr>
        <w:pStyle w:val="Heading2"/>
        <w:rPr>
          <w:rFonts w:cs="Arial"/>
        </w:rPr>
      </w:pPr>
      <w:bookmarkStart w:id="7" w:name="_Toc88633954"/>
      <w:r w:rsidRPr="00AE49C8">
        <w:rPr>
          <w:rFonts w:cs="Arial"/>
        </w:rPr>
        <w:t>Gender Pay Gap Reporting</w:t>
      </w:r>
      <w:bookmarkEnd w:id="7"/>
    </w:p>
    <w:p w:rsidR="000E2B5A" w:rsidRPr="00AE49C8" w:rsidRDefault="000E2B5A" w:rsidP="000E2B5A">
      <w:r w:rsidRPr="00AE49C8">
        <w:t xml:space="preserve">All large employers </w:t>
      </w:r>
      <w:r w:rsidR="00DE2C7D" w:rsidRPr="00AE49C8">
        <w:t>must publish their pay data and compare</w:t>
      </w:r>
      <w:r w:rsidRPr="00AE49C8">
        <w:t xml:space="preserve"> differences </w:t>
      </w:r>
      <w:r w:rsidR="00DE2C7D" w:rsidRPr="00AE49C8">
        <w:t>for men and women.  Gender pay gap reporting</w:t>
      </w:r>
      <w:r w:rsidRPr="00AE49C8">
        <w:t xml:space="preserve"> helps </w:t>
      </w:r>
      <w:r w:rsidR="00DE2C7D" w:rsidRPr="00AE49C8">
        <w:t>demonstrate if disparities or inequalities exist that need to be addressed on an organisational level.</w:t>
      </w:r>
    </w:p>
    <w:p w:rsidR="000E2B5A" w:rsidRPr="00AE49C8" w:rsidRDefault="000E2B5A" w:rsidP="000E2B5A">
      <w:r w:rsidRPr="00AE49C8">
        <w:t>The report</w:t>
      </w:r>
      <w:r w:rsidR="00DE2C7D" w:rsidRPr="00AE49C8">
        <w:t>s highlight</w:t>
      </w:r>
      <w:r w:rsidRPr="00AE49C8">
        <w:t xml:space="preserve"> </w:t>
      </w:r>
      <w:r w:rsidR="00DE2C7D" w:rsidRPr="00AE49C8">
        <w:t>some disparities in both workforces exist.  A</w:t>
      </w:r>
      <w:r w:rsidRPr="00AE49C8">
        <w:t xml:space="preserve"> working group has been formed to </w:t>
      </w:r>
      <w:r w:rsidR="00DE2C7D" w:rsidRPr="00AE49C8">
        <w:t xml:space="preserve">examine the issues and have developed </w:t>
      </w:r>
      <w:r w:rsidRPr="00AE49C8">
        <w:t>action plan</w:t>
      </w:r>
      <w:r w:rsidR="00DE2C7D" w:rsidRPr="00AE49C8">
        <w:t>s</w:t>
      </w:r>
      <w:r w:rsidRPr="00AE49C8">
        <w:t>.</w:t>
      </w:r>
    </w:p>
    <w:p w:rsidR="000E2B5A" w:rsidRPr="00AE49C8" w:rsidRDefault="000E2B5A" w:rsidP="000E2B5A">
      <w:r w:rsidRPr="00AE49C8">
        <w:t xml:space="preserve">To see the </w:t>
      </w:r>
      <w:r w:rsidR="00D128F1" w:rsidRPr="00AE49C8">
        <w:t>2020 and previous</w:t>
      </w:r>
      <w:r w:rsidRPr="00AE49C8">
        <w:t xml:space="preserve"> report</w:t>
      </w:r>
      <w:r w:rsidR="00D128F1" w:rsidRPr="00AE49C8">
        <w:t>s</w:t>
      </w:r>
      <w:r w:rsidRPr="00AE49C8">
        <w:t>, please go to:</w:t>
      </w:r>
    </w:p>
    <w:p w:rsidR="00DE2C7D" w:rsidRPr="00AE49C8" w:rsidRDefault="008E6F14" w:rsidP="00DE2C7D">
      <w:pPr>
        <w:rPr>
          <w:rStyle w:val="Hyperlink"/>
        </w:rPr>
      </w:pPr>
      <w:hyperlink r:id="rId14" w:history="1">
        <w:r w:rsidR="00BA1082" w:rsidRPr="00AE49C8">
          <w:rPr>
            <w:rStyle w:val="Hyperlink"/>
          </w:rPr>
          <w:t xml:space="preserve">Go to the latest BSUH Gender Pay Gap Report </w:t>
        </w:r>
      </w:hyperlink>
      <w:r w:rsidR="00DE2C7D" w:rsidRPr="00AE49C8">
        <w:rPr>
          <w:rStyle w:val="Hyperlink"/>
        </w:rPr>
        <w:br/>
      </w:r>
      <w:hyperlink r:id="rId15" w:history="1">
        <w:r w:rsidR="00BA1082" w:rsidRPr="00AE49C8">
          <w:rPr>
            <w:rStyle w:val="Hyperlink"/>
          </w:rPr>
          <w:t>Go to the latest WSHT Gender Pay Gap Report</w:t>
        </w:r>
      </w:hyperlink>
      <w:r w:rsidR="00DE2C7D" w:rsidRPr="00AE49C8">
        <w:t xml:space="preserve"> </w:t>
      </w:r>
    </w:p>
    <w:p w:rsidR="000E2B5A" w:rsidRPr="00AE49C8" w:rsidRDefault="000E2B5A" w:rsidP="000E2B5A">
      <w:pPr>
        <w:pStyle w:val="Heading2"/>
        <w:rPr>
          <w:rFonts w:cs="Arial"/>
        </w:rPr>
      </w:pPr>
      <w:bookmarkStart w:id="8" w:name="_Toc88633955"/>
      <w:r w:rsidRPr="00AE49C8">
        <w:rPr>
          <w:rFonts w:cs="Arial"/>
        </w:rPr>
        <w:t>NHS England Equality Standards</w:t>
      </w:r>
      <w:bookmarkEnd w:id="8"/>
    </w:p>
    <w:p w:rsidR="000E2B5A" w:rsidRPr="00AE49C8" w:rsidRDefault="000E2B5A" w:rsidP="000E2B5A">
      <w:r w:rsidRPr="00AE49C8">
        <w:t xml:space="preserve">The Trust has participated in the Workforce Race Equality Standard (WRES) since 2015.  The WRES looks at several factors that help demonstrate race equality within the Trust processes and services for staff.  The </w:t>
      </w:r>
      <w:r w:rsidR="00DE2C7D" w:rsidRPr="00AE49C8">
        <w:t xml:space="preserve">core </w:t>
      </w:r>
      <w:r w:rsidRPr="00AE49C8">
        <w:t xml:space="preserve">areas that </w:t>
      </w:r>
      <w:r w:rsidR="00DE2C7D" w:rsidRPr="00AE49C8">
        <w:t>investigated</w:t>
      </w:r>
      <w:r w:rsidRPr="00AE49C8">
        <w:t xml:space="preserve"> in the standard </w:t>
      </w:r>
      <w:r w:rsidR="00DE2C7D" w:rsidRPr="00AE49C8">
        <w:t>are</w:t>
      </w:r>
      <w:r w:rsidRPr="00AE49C8">
        <w:t>:</w:t>
      </w:r>
    </w:p>
    <w:p w:rsidR="000E2B5A" w:rsidRPr="00AE49C8" w:rsidRDefault="000E2B5A" w:rsidP="00CF1F0A">
      <w:pPr>
        <w:pStyle w:val="ListParagraph"/>
      </w:pPr>
      <w:r w:rsidRPr="00AE49C8">
        <w:t>Representation in the general workforce</w:t>
      </w:r>
    </w:p>
    <w:p w:rsidR="000E2B5A" w:rsidRPr="00AE49C8" w:rsidRDefault="000E2B5A" w:rsidP="00CF1F0A">
      <w:pPr>
        <w:pStyle w:val="ListParagraph"/>
      </w:pPr>
      <w:r w:rsidRPr="00AE49C8">
        <w:t>Recruitment</w:t>
      </w:r>
    </w:p>
    <w:p w:rsidR="000E2B5A" w:rsidRPr="00AE49C8" w:rsidRDefault="000E2B5A" w:rsidP="00CF1F0A">
      <w:pPr>
        <w:pStyle w:val="ListParagraph"/>
      </w:pPr>
      <w:r w:rsidRPr="00AE49C8">
        <w:t>Entry into the disciplinary process</w:t>
      </w:r>
    </w:p>
    <w:p w:rsidR="000E2B5A" w:rsidRPr="00AE49C8" w:rsidRDefault="000E2B5A" w:rsidP="00CF1F0A">
      <w:pPr>
        <w:pStyle w:val="ListParagraph"/>
      </w:pPr>
      <w:r w:rsidRPr="00AE49C8">
        <w:t>Access to non-mandatory and CPD training</w:t>
      </w:r>
    </w:p>
    <w:p w:rsidR="000E2B5A" w:rsidRPr="00AE49C8" w:rsidRDefault="000E2B5A" w:rsidP="00CF1F0A">
      <w:pPr>
        <w:pStyle w:val="ListParagraph"/>
      </w:pPr>
      <w:r w:rsidRPr="00AE49C8">
        <w:t>Experiencing bullying, harassment or abuse</w:t>
      </w:r>
    </w:p>
    <w:p w:rsidR="000E2B5A" w:rsidRPr="00AE49C8" w:rsidRDefault="000E2B5A" w:rsidP="00CF1F0A">
      <w:pPr>
        <w:pStyle w:val="ListParagraph"/>
      </w:pPr>
      <w:r w:rsidRPr="00AE49C8">
        <w:t>Provision of equal opportunities and career progression and development</w:t>
      </w:r>
    </w:p>
    <w:p w:rsidR="000E2B5A" w:rsidRPr="00AE49C8" w:rsidRDefault="000E2B5A" w:rsidP="00CF1F0A">
      <w:pPr>
        <w:pStyle w:val="ListParagraph"/>
      </w:pPr>
      <w:r w:rsidRPr="00AE49C8">
        <w:t>Representation in the Board</w:t>
      </w:r>
    </w:p>
    <w:p w:rsidR="000E2B5A" w:rsidRPr="00AE49C8" w:rsidRDefault="00DE2C7D" w:rsidP="000E2B5A">
      <w:r w:rsidRPr="00AE49C8">
        <w:t>The Trust</w:t>
      </w:r>
      <w:r w:rsidR="00CF1F0A" w:rsidRPr="00AE49C8">
        <w:t>s</w:t>
      </w:r>
      <w:r w:rsidRPr="00AE49C8">
        <w:t xml:space="preserve"> use d</w:t>
      </w:r>
      <w:r w:rsidR="000E2B5A" w:rsidRPr="00AE49C8">
        <w:t>ata</w:t>
      </w:r>
      <w:r w:rsidRPr="00AE49C8">
        <w:t xml:space="preserve"> and information</w:t>
      </w:r>
      <w:r w:rsidR="000E2B5A" w:rsidRPr="00AE49C8">
        <w:t xml:space="preserve"> from the NHS Staff Survey, Electronic Staff Records</w:t>
      </w:r>
      <w:r w:rsidR="008E6F14" w:rsidRPr="00AE49C8">
        <w:t>, local</w:t>
      </w:r>
      <w:r w:rsidR="000E2B5A" w:rsidRPr="00AE49C8">
        <w:t xml:space="preserve"> employee relations and recruitment databases.</w:t>
      </w:r>
    </w:p>
    <w:p w:rsidR="000E2B5A" w:rsidRPr="00AE49C8" w:rsidRDefault="00BA1082" w:rsidP="000E2B5A">
      <w:r w:rsidRPr="00AE49C8">
        <w:t>For BSUH reports, please go to</w:t>
      </w:r>
      <w:r w:rsidR="00CF1F0A" w:rsidRPr="00AE49C8">
        <w:t xml:space="preserve"> </w:t>
      </w:r>
      <w:hyperlink r:id="rId16" w:history="1">
        <w:r w:rsidRPr="00AE49C8">
          <w:rPr>
            <w:rStyle w:val="Hyperlink"/>
            <w:szCs w:val="24"/>
          </w:rPr>
          <w:t>the BSUH equality, diversity and inclusion pages</w:t>
        </w:r>
      </w:hyperlink>
      <w:r w:rsidR="000E2B5A" w:rsidRPr="00AE49C8">
        <w:rPr>
          <w:szCs w:val="24"/>
        </w:rPr>
        <w:t xml:space="preserve"> </w:t>
      </w:r>
      <w:r w:rsidRPr="00AE49C8">
        <w:rPr>
          <w:szCs w:val="24"/>
        </w:rPr>
        <w:br/>
        <w:t>For WSHT reports, please go to</w:t>
      </w:r>
      <w:r w:rsidR="00CF1F0A" w:rsidRPr="00AE49C8">
        <w:rPr>
          <w:szCs w:val="24"/>
        </w:rPr>
        <w:t xml:space="preserve"> </w:t>
      </w:r>
      <w:hyperlink r:id="rId17" w:history="1">
        <w:r w:rsidRPr="00AE49C8">
          <w:rPr>
            <w:rStyle w:val="Hyperlink"/>
            <w:szCs w:val="24"/>
          </w:rPr>
          <w:t>the WSHT equality, diversity and inclusion pages</w:t>
        </w:r>
      </w:hyperlink>
      <w:r w:rsidR="00CF1F0A" w:rsidRPr="00AE49C8">
        <w:rPr>
          <w:szCs w:val="24"/>
        </w:rPr>
        <w:t xml:space="preserve"> </w:t>
      </w:r>
      <w:r w:rsidR="000E2B5A" w:rsidRPr="00AE49C8">
        <w:br/>
      </w:r>
      <w:r w:rsidRPr="00AE49C8">
        <w:br/>
      </w:r>
      <w:r w:rsidR="000E2B5A" w:rsidRPr="00AE49C8">
        <w:t xml:space="preserve">The </w:t>
      </w:r>
      <w:r w:rsidR="000E2B5A" w:rsidRPr="00AE49C8">
        <w:rPr>
          <w:u w:val="single"/>
        </w:rPr>
        <w:t>Workforce Disability Equality Standard (WDES)</w:t>
      </w:r>
      <w:r w:rsidR="000E2B5A" w:rsidRPr="00AE49C8">
        <w:t xml:space="preserve"> was mandated in the NHS Standard contract in April 2018</w:t>
      </w:r>
      <w:r w:rsidR="00CF1F0A" w:rsidRPr="00AE49C8">
        <w:t>,</w:t>
      </w:r>
      <w:r w:rsidR="000E2B5A" w:rsidRPr="00AE49C8">
        <w:t xml:space="preserve"> with implementation in April 2019.  The </w:t>
      </w:r>
      <w:r w:rsidR="00CF1F0A" w:rsidRPr="00AE49C8">
        <w:t>standard aims to demonstrate</w:t>
      </w:r>
      <w:r w:rsidR="000E2B5A" w:rsidRPr="00AE49C8">
        <w:t xml:space="preserve"> fairness within services using standardised data available to all NHS Trusts; the standard will also highlight areas for improvement.  This standardisation of data allows NHS Trusts to compare the experiences of disabled and non-disabled staff in </w:t>
      </w:r>
      <w:r w:rsidR="00CF1F0A" w:rsidRPr="00AE49C8">
        <w:t>several</w:t>
      </w:r>
      <w:r w:rsidR="000E2B5A" w:rsidRPr="00AE49C8">
        <w:t xml:space="preserve"> areas that impact staff.  </w:t>
      </w:r>
      <w:r w:rsidR="00CF1F0A" w:rsidRPr="00AE49C8">
        <w:t>S</w:t>
      </w:r>
      <w:r w:rsidR="000E2B5A" w:rsidRPr="00AE49C8">
        <w:t>pecific working group</w:t>
      </w:r>
      <w:r w:rsidR="00CF1F0A" w:rsidRPr="00AE49C8">
        <w:t>s</w:t>
      </w:r>
      <w:r w:rsidR="000E2B5A" w:rsidRPr="00AE49C8">
        <w:t xml:space="preserve"> (formed of Trust staff) look at issues raised within the standard.  </w:t>
      </w:r>
    </w:p>
    <w:p w:rsidR="000E2B5A" w:rsidRPr="00AE49C8" w:rsidRDefault="000E2B5A" w:rsidP="000E2B5A">
      <w:r w:rsidRPr="00AE49C8">
        <w:t>The areas that the standard looks at include:</w:t>
      </w:r>
    </w:p>
    <w:p w:rsidR="000E2B5A" w:rsidRPr="00AE49C8" w:rsidRDefault="000E2B5A" w:rsidP="00CF1F0A">
      <w:pPr>
        <w:pStyle w:val="ListParagraph"/>
      </w:pPr>
      <w:r w:rsidRPr="00AE49C8">
        <w:t>Workforce representation</w:t>
      </w:r>
    </w:p>
    <w:p w:rsidR="000E2B5A" w:rsidRPr="00AE49C8" w:rsidRDefault="000E2B5A" w:rsidP="00CF1F0A">
      <w:pPr>
        <w:pStyle w:val="ListParagraph"/>
      </w:pPr>
      <w:r w:rsidRPr="00AE49C8">
        <w:t>Recruitment</w:t>
      </w:r>
    </w:p>
    <w:p w:rsidR="000E2B5A" w:rsidRPr="00AE49C8" w:rsidRDefault="000E2B5A" w:rsidP="00CF1F0A">
      <w:pPr>
        <w:pStyle w:val="ListParagraph"/>
      </w:pPr>
      <w:r w:rsidRPr="00AE49C8">
        <w:t>Entrance into formal capability processes</w:t>
      </w:r>
    </w:p>
    <w:p w:rsidR="000E2B5A" w:rsidRPr="00AE49C8" w:rsidRDefault="000E2B5A" w:rsidP="00CF1F0A">
      <w:pPr>
        <w:pStyle w:val="ListParagraph"/>
      </w:pPr>
      <w:r w:rsidRPr="00AE49C8">
        <w:t>Experiences of discrimination, harassment and abuse</w:t>
      </w:r>
    </w:p>
    <w:p w:rsidR="000E2B5A" w:rsidRPr="00AE49C8" w:rsidRDefault="000E2B5A" w:rsidP="00CF1F0A">
      <w:pPr>
        <w:pStyle w:val="ListParagraph"/>
      </w:pPr>
      <w:r w:rsidRPr="00AE49C8">
        <w:t>Provision of equal opportunities and career progression and development</w:t>
      </w:r>
    </w:p>
    <w:p w:rsidR="000E2B5A" w:rsidRPr="00AE49C8" w:rsidRDefault="000E2B5A" w:rsidP="00CF1F0A">
      <w:pPr>
        <w:pStyle w:val="ListParagraph"/>
      </w:pPr>
      <w:r w:rsidRPr="00AE49C8">
        <w:t>Feeling pressured to come into work when not feeling well enough to perform duties</w:t>
      </w:r>
    </w:p>
    <w:p w:rsidR="000E2B5A" w:rsidRPr="00AE49C8" w:rsidRDefault="000E2B5A" w:rsidP="00CF1F0A">
      <w:pPr>
        <w:pStyle w:val="ListParagraph"/>
      </w:pPr>
      <w:r w:rsidRPr="00AE49C8">
        <w:t>Satisfaction of staff in terms of valuing work and contribution</w:t>
      </w:r>
    </w:p>
    <w:p w:rsidR="000E2B5A" w:rsidRPr="00AE49C8" w:rsidRDefault="000E2B5A" w:rsidP="00CF1F0A">
      <w:pPr>
        <w:pStyle w:val="ListParagraph"/>
      </w:pPr>
      <w:r w:rsidRPr="00AE49C8">
        <w:t>Reasonable adjustments</w:t>
      </w:r>
    </w:p>
    <w:p w:rsidR="000E2B5A" w:rsidRPr="00AE49C8" w:rsidRDefault="000E2B5A" w:rsidP="00CF1F0A">
      <w:pPr>
        <w:pStyle w:val="ListParagraph"/>
      </w:pPr>
      <w:r w:rsidRPr="00AE49C8">
        <w:t>Engagement of disabled staff</w:t>
      </w:r>
    </w:p>
    <w:p w:rsidR="000E2B5A" w:rsidRPr="00AE49C8" w:rsidRDefault="000E2B5A" w:rsidP="00CF1F0A">
      <w:pPr>
        <w:pStyle w:val="ListParagraph"/>
      </w:pPr>
      <w:r w:rsidRPr="00AE49C8">
        <w:t>Representation of disabled staff in the Board.</w:t>
      </w:r>
    </w:p>
    <w:p w:rsidR="000E2B5A" w:rsidRPr="00AE49C8" w:rsidRDefault="00CF1F0A" w:rsidP="00CF1F0A">
      <w:pPr>
        <w:rPr>
          <w:rStyle w:val="Hyperlink"/>
        </w:rPr>
      </w:pPr>
      <w:r w:rsidRPr="00AE49C8">
        <w:lastRenderedPageBreak/>
        <w:t xml:space="preserve">For BSUH reports, please go to </w:t>
      </w:r>
      <w:hyperlink r:id="rId18" w:history="1">
        <w:r w:rsidR="00BA1082" w:rsidRPr="00AE49C8">
          <w:rPr>
            <w:rStyle w:val="Hyperlink"/>
            <w:szCs w:val="24"/>
          </w:rPr>
          <w:t>the BSUH equality, diversity and inclusion pages</w:t>
        </w:r>
      </w:hyperlink>
      <w:r w:rsidR="00BA1082" w:rsidRPr="00AE49C8">
        <w:rPr>
          <w:rStyle w:val="Hyperlink"/>
          <w:szCs w:val="24"/>
        </w:rPr>
        <w:br/>
      </w:r>
      <w:r w:rsidRPr="00AE49C8">
        <w:rPr>
          <w:szCs w:val="24"/>
        </w:rPr>
        <w:t xml:space="preserve">For WSHT reports, please go to </w:t>
      </w:r>
      <w:hyperlink r:id="rId19" w:history="1">
        <w:r w:rsidR="00BA1082" w:rsidRPr="00AE49C8">
          <w:rPr>
            <w:rStyle w:val="Hyperlink"/>
            <w:szCs w:val="24"/>
          </w:rPr>
          <w:t>the WSHT equality, diversity and inclusion pages</w:t>
        </w:r>
      </w:hyperlink>
    </w:p>
    <w:p w:rsidR="000E2B5A" w:rsidRPr="00AE49C8" w:rsidRDefault="000E2B5A" w:rsidP="000E2B5A">
      <w:r w:rsidRPr="00AE49C8">
        <w:t xml:space="preserve">NHS England has released the </w:t>
      </w:r>
      <w:r w:rsidRPr="00AE49C8">
        <w:rPr>
          <w:u w:val="single"/>
        </w:rPr>
        <w:t>Sexual Orientation Monitoring Standard</w:t>
      </w:r>
      <w:r w:rsidRPr="00AE49C8">
        <w:t xml:space="preserve">; the standard will look at sexual orientation monitoring for patients.  This standard has been implemented within the Trust. It ensures </w:t>
      </w:r>
      <w:r w:rsidR="00CF1F0A" w:rsidRPr="00AE49C8">
        <w:t>appropriate standardised ways of recording the sexual orientation of patients/service users (over 16 years</w:t>
      </w:r>
      <w:r w:rsidRPr="00AE49C8">
        <w:t xml:space="preserve"> of age) in NHS services and some </w:t>
      </w:r>
      <w:r w:rsidR="00DE433D" w:rsidRPr="00AE49C8">
        <w:t>social care elements</w:t>
      </w:r>
      <w:r w:rsidRPr="00AE49C8">
        <w:t>.</w:t>
      </w:r>
    </w:p>
    <w:p w:rsidR="000E2B5A" w:rsidRPr="00AE49C8" w:rsidRDefault="00CF1F0A" w:rsidP="000E2B5A">
      <w:pPr>
        <w:rPr>
          <w:b/>
        </w:rPr>
      </w:pPr>
      <w:r w:rsidRPr="00AE49C8">
        <w:t>To find further</w:t>
      </w:r>
      <w:r w:rsidR="000E2B5A" w:rsidRPr="00AE49C8">
        <w:t xml:space="preserve"> information about the standard</w:t>
      </w:r>
      <w:r w:rsidR="007B7BD6" w:rsidRPr="00AE49C8">
        <w:t>,</w:t>
      </w:r>
      <w:r w:rsidRPr="00AE49C8">
        <w:t xml:space="preserve"> please go</w:t>
      </w:r>
      <w:r w:rsidR="00BA1082" w:rsidRPr="00AE49C8">
        <w:t xml:space="preserve"> to </w:t>
      </w:r>
      <w:hyperlink r:id="rId20" w:history="1">
        <w:r w:rsidR="00BA1082" w:rsidRPr="00AE49C8">
          <w:rPr>
            <w:rStyle w:val="Hyperlink"/>
          </w:rPr>
          <w:t>NHS England's Sexual Orientation Monitoring Standard page</w:t>
        </w:r>
      </w:hyperlink>
    </w:p>
    <w:p w:rsidR="000E2B5A" w:rsidRPr="00AE49C8" w:rsidRDefault="000E2B5A" w:rsidP="000E2B5A">
      <w:pPr>
        <w:pStyle w:val="Heading2"/>
        <w:rPr>
          <w:rFonts w:cs="Arial"/>
        </w:rPr>
      </w:pPr>
      <w:r w:rsidRPr="00AE49C8">
        <w:rPr>
          <w:rFonts w:cs="Arial"/>
        </w:rPr>
        <w:br/>
      </w:r>
      <w:bookmarkStart w:id="9" w:name="_Toc88633956"/>
      <w:r w:rsidRPr="00AE49C8">
        <w:rPr>
          <w:rFonts w:cs="Arial"/>
        </w:rPr>
        <w:t>The Inclusion Team</w:t>
      </w:r>
      <w:bookmarkEnd w:id="9"/>
    </w:p>
    <w:p w:rsidR="00DE433D" w:rsidRPr="00AE49C8" w:rsidRDefault="000E2B5A" w:rsidP="000E2B5A">
      <w:r w:rsidRPr="00AE49C8">
        <w:t>The Trust</w:t>
      </w:r>
      <w:r w:rsidR="00CF1F0A" w:rsidRPr="00AE49C8">
        <w:t>s</w:t>
      </w:r>
      <w:r w:rsidRPr="00AE49C8">
        <w:t xml:space="preserve"> </w:t>
      </w:r>
      <w:r w:rsidR="00DE433D" w:rsidRPr="00AE49C8">
        <w:t>has</w:t>
      </w:r>
      <w:r w:rsidRPr="00AE49C8">
        <w:t xml:space="preserve"> a dedicated Inclusion</w:t>
      </w:r>
      <w:r w:rsidR="00DE433D" w:rsidRPr="00AE49C8">
        <w:t xml:space="preserve"> team:</w:t>
      </w:r>
      <w:r w:rsidRPr="00AE49C8">
        <w:t xml:space="preserve"> </w:t>
      </w:r>
    </w:p>
    <w:p w:rsidR="00DE433D" w:rsidRPr="00AE49C8" w:rsidRDefault="000E2B5A" w:rsidP="00DE433D">
      <w:pPr>
        <w:pStyle w:val="ListParagraph"/>
      </w:pPr>
      <w:r w:rsidRPr="00AE49C8">
        <w:t>Head of Inclusion (key areas of responsibility include Race and W</w:t>
      </w:r>
      <w:r w:rsidR="00DE433D" w:rsidRPr="00AE49C8">
        <w:t>orkforce Race Equality Standard</w:t>
      </w:r>
    </w:p>
    <w:p w:rsidR="00DE433D" w:rsidRPr="00AE49C8" w:rsidRDefault="000E2B5A" w:rsidP="00DE433D">
      <w:pPr>
        <w:pStyle w:val="ListParagraph"/>
      </w:pPr>
      <w:r w:rsidRPr="00AE49C8">
        <w:t>Deputy Head of Inclusion (key areas of responsibility include service improvement, disability, and the Workforce Disability Equality Standard</w:t>
      </w:r>
    </w:p>
    <w:p w:rsidR="00DE433D" w:rsidRPr="00B0459B" w:rsidRDefault="00DE433D" w:rsidP="00DE433D">
      <w:pPr>
        <w:pStyle w:val="ListParagraph"/>
      </w:pPr>
      <w:r w:rsidRPr="00B0459B">
        <w:t>Race Equ</w:t>
      </w:r>
      <w:r w:rsidR="00E7596C" w:rsidRPr="00B0459B">
        <w:t>ity</w:t>
      </w:r>
      <w:r w:rsidRPr="00B0459B">
        <w:t xml:space="preserve"> Lead</w:t>
      </w:r>
      <w:r w:rsidR="008408E0" w:rsidRPr="00B0459B">
        <w:t xml:space="preserve"> (key areas of responsibility REAL Strategy)</w:t>
      </w:r>
    </w:p>
    <w:p w:rsidR="00DE433D" w:rsidRPr="00AE49C8" w:rsidRDefault="00DE433D" w:rsidP="00DE433D">
      <w:pPr>
        <w:pStyle w:val="ListParagraph"/>
      </w:pPr>
      <w:r w:rsidRPr="00AE49C8">
        <w:t>Project and Office Manager</w:t>
      </w:r>
      <w:r w:rsidR="000E2B5A" w:rsidRPr="00AE49C8">
        <w:t xml:space="preserve">  </w:t>
      </w:r>
    </w:p>
    <w:p w:rsidR="000E2B5A" w:rsidRPr="00AE49C8" w:rsidRDefault="00DE433D" w:rsidP="00DE433D">
      <w:pPr>
        <w:ind w:left="360"/>
      </w:pPr>
      <w:r w:rsidRPr="00AE49C8">
        <w:t>The team</w:t>
      </w:r>
      <w:r w:rsidR="000E2B5A" w:rsidRPr="00AE49C8">
        <w:t xml:space="preserve"> enables the organisation to benefit from their expert advice for both staff and patients. </w:t>
      </w:r>
    </w:p>
    <w:p w:rsidR="000E2B5A" w:rsidRPr="00AE49C8" w:rsidRDefault="000E2B5A" w:rsidP="000E2B5A">
      <w:pPr>
        <w:pStyle w:val="Heading2"/>
        <w:rPr>
          <w:rFonts w:cs="Arial"/>
        </w:rPr>
      </w:pPr>
      <w:bookmarkStart w:id="10" w:name="_Toc88633957"/>
      <w:r w:rsidRPr="00AE49C8">
        <w:rPr>
          <w:rFonts w:cs="Arial"/>
        </w:rPr>
        <w:t>Due Regard Assessments</w:t>
      </w:r>
      <w:bookmarkEnd w:id="10"/>
    </w:p>
    <w:p w:rsidR="000E2B5A" w:rsidRPr="00AE49C8" w:rsidRDefault="00DE433D" w:rsidP="000E2B5A">
      <w:r w:rsidRPr="00AE49C8">
        <w:t>The assessment</w:t>
      </w:r>
      <w:r w:rsidR="000E2B5A" w:rsidRPr="00AE49C8">
        <w:t xml:space="preserve"> is a process where policies and practices (and anything else that would affect our workforce, patients or service delivery) are reviewed.  The review </w:t>
      </w:r>
      <w:r w:rsidR="008E6F14">
        <w:t>ensures</w:t>
      </w:r>
      <w:r w:rsidR="000E2B5A" w:rsidRPr="00AE49C8">
        <w:t xml:space="preserve"> they will not unfairly impact groups protected by the Equality Act 2010.  The assessments also ensure that any opportunity to promote equality is taken.  </w:t>
      </w:r>
    </w:p>
    <w:p w:rsidR="000E2B5A" w:rsidRPr="00AE49C8" w:rsidRDefault="000E2B5A" w:rsidP="000E2B5A">
      <w:pPr>
        <w:pStyle w:val="Heading2"/>
        <w:rPr>
          <w:rFonts w:cs="Arial"/>
        </w:rPr>
      </w:pPr>
      <w:bookmarkStart w:id="11" w:name="_Toc88633958"/>
      <w:r w:rsidRPr="00AE49C8">
        <w:rPr>
          <w:rFonts w:cs="Arial"/>
        </w:rPr>
        <w:t>Freedom of Information Request</w:t>
      </w:r>
      <w:bookmarkEnd w:id="11"/>
    </w:p>
    <w:p w:rsidR="000E2B5A" w:rsidRPr="00AE49C8" w:rsidRDefault="000E2B5A" w:rsidP="000E2B5A">
      <w:pPr>
        <w:rPr>
          <w:b/>
          <w:highlight w:val="yellow"/>
        </w:rPr>
      </w:pPr>
      <w:r w:rsidRPr="00AE49C8">
        <w:t xml:space="preserve">The Freedom of Information Act 2000 </w:t>
      </w:r>
      <w:r w:rsidR="00DE433D" w:rsidRPr="00AE49C8">
        <w:t>helps to</w:t>
      </w:r>
      <w:r w:rsidRPr="00AE49C8">
        <w:t xml:space="preserve"> promote transparency within public services.  The Inclusion team assists in </w:t>
      </w:r>
      <w:r w:rsidR="00DE433D" w:rsidRPr="00AE49C8">
        <w:t>completing</w:t>
      </w:r>
      <w:r w:rsidRPr="00AE49C8">
        <w:t xml:space="preserve"> a number of requests, mainly </w:t>
      </w:r>
      <w:r w:rsidR="00DE433D" w:rsidRPr="00AE49C8">
        <w:t>focusing on</w:t>
      </w:r>
      <w:r w:rsidRPr="00AE49C8">
        <w:t xml:space="preserve"> interpretation and translation.</w:t>
      </w:r>
      <w:r w:rsidRPr="00AE49C8">
        <w:rPr>
          <w:b/>
          <w:highlight w:val="yellow"/>
        </w:rPr>
        <w:t xml:space="preserve"> </w:t>
      </w:r>
    </w:p>
    <w:p w:rsidR="000E2B5A" w:rsidRPr="00AE49C8" w:rsidRDefault="000E2B5A" w:rsidP="000E2B5A">
      <w:pPr>
        <w:pStyle w:val="Heading2"/>
        <w:rPr>
          <w:rFonts w:cs="Arial"/>
          <w:highlight w:val="yellow"/>
        </w:rPr>
      </w:pPr>
      <w:bookmarkStart w:id="12" w:name="_Toc88633959"/>
      <w:r w:rsidRPr="00AE49C8">
        <w:rPr>
          <w:rFonts w:cs="Arial"/>
        </w:rPr>
        <w:t>Staff Conferences</w:t>
      </w:r>
      <w:bookmarkEnd w:id="12"/>
    </w:p>
    <w:p w:rsidR="000E2B5A" w:rsidRPr="00AE49C8" w:rsidRDefault="000E2B5A" w:rsidP="000E2B5A">
      <w:r w:rsidRPr="00AE49C8">
        <w:t>BSUH did not hold any staff conference events during 2019/20.</w:t>
      </w:r>
    </w:p>
    <w:p w:rsidR="00DE433D" w:rsidRPr="00A53C2E" w:rsidRDefault="00DE433D" w:rsidP="00A53C2E">
      <w:pPr>
        <w:pStyle w:val="Heading2"/>
        <w:rPr>
          <w:color w:val="auto"/>
          <w:sz w:val="24"/>
        </w:rPr>
      </w:pPr>
      <w:bookmarkStart w:id="13" w:name="_Toc88633960"/>
      <w:r w:rsidRPr="00AE49C8">
        <w:rPr>
          <w:rFonts w:cs="Arial"/>
        </w:rPr>
        <w:lastRenderedPageBreak/>
        <w:t>Staff Networks and Groups</w:t>
      </w:r>
      <w:r w:rsidR="00A53C2E">
        <w:rPr>
          <w:rFonts w:cs="Arial"/>
        </w:rPr>
        <w:br/>
      </w:r>
      <w:r w:rsidR="00A53C2E">
        <w:rPr>
          <w:rFonts w:cs="Arial"/>
        </w:rPr>
        <w:br/>
      </w:r>
      <w:r w:rsidRPr="00A53C2E">
        <w:rPr>
          <w:color w:val="auto"/>
          <w:sz w:val="24"/>
        </w:rPr>
        <w:t xml:space="preserve">Disabled Staff Network (RSCH) and Disability </w:t>
      </w:r>
      <w:r w:rsidR="008C45FC" w:rsidRPr="00A53C2E">
        <w:rPr>
          <w:color w:val="auto"/>
          <w:sz w:val="24"/>
        </w:rPr>
        <w:t>Forum</w:t>
      </w:r>
      <w:r w:rsidRPr="00A53C2E">
        <w:rPr>
          <w:color w:val="auto"/>
          <w:sz w:val="24"/>
        </w:rPr>
        <w:t xml:space="preserve"> (WSHT)</w:t>
      </w:r>
      <w:bookmarkEnd w:id="13"/>
    </w:p>
    <w:p w:rsidR="008C45FC" w:rsidRPr="00AE49C8" w:rsidRDefault="008C45FC" w:rsidP="008C45FC">
      <w:pPr>
        <w:jc w:val="center"/>
      </w:pPr>
      <w:r w:rsidRPr="00AE49C8">
        <w:rPr>
          <w:noProof/>
          <w:lang w:eastAsia="en-GB"/>
        </w:rPr>
        <w:drawing>
          <wp:inline distT="0" distB="0" distL="0" distR="0" wp14:anchorId="36327147" wp14:editId="48309319">
            <wp:extent cx="1428115" cy="941070"/>
            <wp:effectExtent l="0" t="0" r="635" b="0"/>
            <wp:docPr id="311" name="Picture 311" descr="Image of different people sat around a table, the people have different disabilities and health conditions." title="Logo for Disabled Staff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115" cy="941070"/>
                    </a:xfrm>
                    <a:prstGeom prst="rect">
                      <a:avLst/>
                    </a:prstGeom>
                    <a:noFill/>
                  </pic:spPr>
                </pic:pic>
              </a:graphicData>
            </a:graphic>
          </wp:inline>
        </w:drawing>
      </w:r>
    </w:p>
    <w:p w:rsidR="008C45FC" w:rsidRPr="00AE49C8" w:rsidRDefault="008C45FC" w:rsidP="008C45FC">
      <w:r w:rsidRPr="00AE49C8">
        <w:t xml:space="preserve">The Disability Staff Network (DSN) was formed in 2019 and is a growing community of about 100 members.  </w:t>
      </w:r>
      <w:r w:rsidRPr="00B0459B">
        <w:t>Marce Quin</w:t>
      </w:r>
      <w:r w:rsidR="008408E0" w:rsidRPr="00B0459B">
        <w:t>n</w:t>
      </w:r>
      <w:r w:rsidRPr="00AE49C8">
        <w:t xml:space="preserve"> leads the network, and Vickie Johnson is the secretary.</w:t>
      </w:r>
    </w:p>
    <w:p w:rsidR="008C45FC" w:rsidRPr="00AE49C8" w:rsidRDefault="008C45FC" w:rsidP="008C45FC">
      <w:r w:rsidRPr="00AE49C8">
        <w:t>The DSN provides a safe space for members to discuss issues that are affecting them.  There is a wide range of different NHS staff in the network, including people with disabilities, long-term health conditions and those that support someone with a disability or long-term health condition.  The network also provides a space for members to share and highlight ideas that could improve the everyday working lives of disabled staff in the Trust.</w:t>
      </w:r>
    </w:p>
    <w:p w:rsidR="008C45FC" w:rsidRPr="00AE49C8" w:rsidRDefault="008C45FC" w:rsidP="008C45FC">
      <w:r w:rsidRPr="00AE49C8">
        <w:t xml:space="preserve">During 2020/21, the DSN realised that many additional challenges were facing disabled staff in the Trust caused by the pandemic. Some of these challenges include changes in personal and working circumstances, new ways of working and reasonable adjustments, the working environment, a growing sense of isolation, widespread use of facemasks and a decrease in mental health for some members. </w:t>
      </w:r>
      <w:r w:rsidR="008E6F14">
        <w:t>T</w:t>
      </w:r>
      <w:r w:rsidRPr="00AE49C8">
        <w:t>hese topics and more have been discussed in the network</w:t>
      </w:r>
      <w:r w:rsidR="006A1C32" w:rsidRPr="00AE49C8">
        <w:t>'</w:t>
      </w:r>
      <w:r w:rsidRPr="00AE49C8">
        <w:t>s meetings.</w:t>
      </w:r>
    </w:p>
    <w:p w:rsidR="008C45FC" w:rsidRPr="00AE49C8" w:rsidRDefault="008C45FC" w:rsidP="008C45FC">
      <w:r w:rsidRPr="00AE49C8">
        <w:t xml:space="preserve">In response to the pandemic (and the restrictions placed on the organisation), the DSN moved from monthly to fortnightly meetings held over </w:t>
      </w:r>
      <w:r w:rsidR="00E95A5F">
        <w:t>Microsoft</w:t>
      </w:r>
      <w:r w:rsidRPr="00AE49C8">
        <w:t xml:space="preserve"> TEAMS.  As a result, there has been a greater level of support o</w:t>
      </w:r>
      <w:r w:rsidR="008E6F14">
        <w:t>ffered</w:t>
      </w:r>
      <w:r w:rsidRPr="00AE49C8">
        <w:t xml:space="preserve"> to network members.  Moving to online meetings has helped more members from over a large geographical area to attend meetings regularly.</w:t>
      </w:r>
    </w:p>
    <w:p w:rsidR="008C45FC" w:rsidRPr="00AE49C8" w:rsidRDefault="008C45FC" w:rsidP="008C45FC">
      <w:r w:rsidRPr="00AE49C8">
        <w:t>Some of the highlights from 2020/21:</w:t>
      </w:r>
    </w:p>
    <w:p w:rsidR="008C45FC" w:rsidRPr="00AE49C8" w:rsidRDefault="008C45FC" w:rsidP="008C45FC">
      <w:pPr>
        <w:pStyle w:val="ListParagraph"/>
      </w:pPr>
      <w:r w:rsidRPr="00AE49C8">
        <w:t>The network has arranged for various guest speakers to discuss many different interesting topics that impact disabled people.  The inclusion of guest speakers has provided learning opportunities for members</w:t>
      </w:r>
    </w:p>
    <w:p w:rsidR="008C45FC" w:rsidRPr="00AE49C8" w:rsidRDefault="008C45FC" w:rsidP="008C45FC">
      <w:pPr>
        <w:pStyle w:val="ListParagraph"/>
      </w:pPr>
      <w:r w:rsidRPr="00AE49C8">
        <w:t>After the implementation of the Trust</w:t>
      </w:r>
      <w:r w:rsidR="006A1C32" w:rsidRPr="00AE49C8">
        <w:t>'</w:t>
      </w:r>
      <w:r w:rsidRPr="00AE49C8">
        <w:t>s Health Passport, the network is supporting the promotion and use to disabled staff</w:t>
      </w:r>
    </w:p>
    <w:p w:rsidR="008C45FC" w:rsidRPr="00AE49C8" w:rsidRDefault="008C45FC" w:rsidP="008C45FC">
      <w:pPr>
        <w:pStyle w:val="ListParagraph"/>
      </w:pPr>
      <w:r w:rsidRPr="00AE49C8">
        <w:t>Continuing support and advice for staff – including isolation barriers many disabled staff have experienced</w:t>
      </w:r>
    </w:p>
    <w:p w:rsidR="008C45FC" w:rsidRPr="00AE49C8" w:rsidRDefault="008C45FC" w:rsidP="008C45FC">
      <w:pPr>
        <w:pStyle w:val="ListParagraph"/>
      </w:pPr>
      <w:r w:rsidRPr="00AE49C8">
        <w:t>Closer collaboration and involvement of staff from both Brighton and Sussex University Hospitals NHS Trust and Western Sussex Hospitals NHS Foundation Trust – with plans to merge the groups</w:t>
      </w:r>
    </w:p>
    <w:p w:rsidR="008C45FC" w:rsidRPr="00AE49C8" w:rsidRDefault="008C45FC" w:rsidP="008C45FC">
      <w:pPr>
        <w:pStyle w:val="ListParagraph"/>
      </w:pPr>
      <w:r w:rsidRPr="00AE49C8">
        <w:lastRenderedPageBreak/>
        <w:t>Supported an increase of staff declaring their diversity data</w:t>
      </w:r>
    </w:p>
    <w:p w:rsidR="008C45FC" w:rsidRPr="00AE49C8" w:rsidRDefault="008C45FC" w:rsidP="008C45FC">
      <w:pPr>
        <w:pStyle w:val="ListParagraph"/>
      </w:pPr>
      <w:r w:rsidRPr="00AE49C8">
        <w:t>Both the network</w:t>
      </w:r>
      <w:r w:rsidR="006A1C32" w:rsidRPr="00AE49C8">
        <w:t>'</w:t>
      </w:r>
      <w:r w:rsidRPr="00AE49C8">
        <w:t>s lead and secretary are active members of the Trust</w:t>
      </w:r>
      <w:r w:rsidR="006A1C32" w:rsidRPr="00AE49C8">
        <w:t>'</w:t>
      </w:r>
      <w:r w:rsidRPr="00AE49C8">
        <w:t>s Workforce Disability Equality Standard Working Group and have help</w:t>
      </w:r>
      <w:r w:rsidR="00A04C7D">
        <w:t>ed</w:t>
      </w:r>
      <w:r w:rsidRPr="00AE49C8">
        <w:t xml:space="preserve"> shape and deliver improvements for disabled staff.</w:t>
      </w:r>
    </w:p>
    <w:p w:rsidR="008C45FC" w:rsidRPr="00AE49C8" w:rsidRDefault="008C45FC" w:rsidP="008C45FC">
      <w:pPr>
        <w:pStyle w:val="ListParagraph"/>
      </w:pPr>
      <w:r w:rsidRPr="00AE49C8">
        <w:t xml:space="preserve">The DSN Lead and Dame Marianne Griffiths, CEO, have regular meetings to discuss </w:t>
      </w:r>
      <w:r w:rsidR="007B7BD6" w:rsidRPr="00AE49C8">
        <w:t>network members' issue</w:t>
      </w:r>
      <w:r w:rsidRPr="00AE49C8">
        <w:t>s and other general disability issues.  The meetings play an important opportunity for support and sharing information and learning.</w:t>
      </w:r>
    </w:p>
    <w:p w:rsidR="008C45FC" w:rsidRPr="00AE49C8" w:rsidRDefault="008C45FC" w:rsidP="008C45FC">
      <w:r w:rsidRPr="00AE49C8">
        <w:t>What the network is looking forward to in 2021/22:</w:t>
      </w:r>
    </w:p>
    <w:p w:rsidR="008C45FC" w:rsidRPr="00AE49C8" w:rsidRDefault="008C45FC" w:rsidP="008C45FC">
      <w:pPr>
        <w:pStyle w:val="ListParagraph"/>
      </w:pPr>
      <w:r w:rsidRPr="00AE49C8">
        <w:t>Planning a Disability Staff Network Staff Conference for 2022)</w:t>
      </w:r>
    </w:p>
    <w:p w:rsidR="008C45FC" w:rsidRPr="00AE49C8" w:rsidRDefault="008C45FC" w:rsidP="008C45FC">
      <w:pPr>
        <w:pStyle w:val="ListParagraph"/>
      </w:pPr>
      <w:r w:rsidRPr="00AE49C8">
        <w:t>Campaigning for a Disability Leave Policy</w:t>
      </w:r>
    </w:p>
    <w:p w:rsidR="008C45FC" w:rsidRPr="00AE49C8" w:rsidRDefault="008C45FC" w:rsidP="008C45FC">
      <w:pPr>
        <w:pStyle w:val="ListParagraph"/>
      </w:pPr>
      <w:r w:rsidRPr="00AE49C8">
        <w:t xml:space="preserve">Launching </w:t>
      </w:r>
      <w:r w:rsidR="006A1C32" w:rsidRPr="00AE49C8">
        <w:t>'</w:t>
      </w:r>
      <w:r w:rsidRPr="00AE49C8">
        <w:t>The Game</w:t>
      </w:r>
      <w:r w:rsidR="006A1C32" w:rsidRPr="00AE49C8">
        <w:t>'</w:t>
      </w:r>
      <w:r w:rsidRPr="00AE49C8">
        <w:t>-  a fun educational tool to improve the understanding of disability issues</w:t>
      </w:r>
    </w:p>
    <w:p w:rsidR="008C45FC" w:rsidRPr="00AE49C8" w:rsidRDefault="008C45FC" w:rsidP="008C45FC">
      <w:pPr>
        <w:pStyle w:val="ListParagraph"/>
      </w:pPr>
      <w:r w:rsidRPr="00AE49C8">
        <w:t>Completing the merger with the WSHT Disability Group.</w:t>
      </w:r>
    </w:p>
    <w:p w:rsidR="008C45FC" w:rsidRPr="00AE49C8" w:rsidRDefault="008C45FC" w:rsidP="00DE433D">
      <w:pPr>
        <w:rPr>
          <w:b/>
        </w:rPr>
      </w:pPr>
      <w:r w:rsidRPr="00AE49C8">
        <w:rPr>
          <w:b/>
        </w:rPr>
        <w:t>Disability Forum</w:t>
      </w:r>
    </w:p>
    <w:p w:rsidR="008C45FC" w:rsidRPr="00AE49C8" w:rsidRDefault="008C45FC" w:rsidP="008C45FC">
      <w:pPr>
        <w:jc w:val="center"/>
        <w:rPr>
          <w:b/>
        </w:rPr>
      </w:pPr>
      <w:r w:rsidRPr="00AE49C8">
        <w:rPr>
          <w:noProof/>
          <w:lang w:eastAsia="en-GB"/>
        </w:rPr>
        <w:drawing>
          <wp:inline distT="0" distB="0" distL="0" distR="0" wp14:anchorId="0A880BEA" wp14:editId="203DBDB7">
            <wp:extent cx="828136" cy="795833"/>
            <wp:effectExtent l="0" t="0" r="0" b="4445"/>
            <wp:docPr id="1" name="Picture 1" descr="Image depicting different types of health conditions (sight, mobility, cognitive, hearing, touch)" title="Disability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ww.westernsussexhospitals.nhs.uk/assets/disability-form-pictur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136" cy="795833"/>
                    </a:xfrm>
                    <a:prstGeom prst="rect">
                      <a:avLst/>
                    </a:prstGeom>
                    <a:noFill/>
                    <a:ln>
                      <a:noFill/>
                    </a:ln>
                  </pic:spPr>
                </pic:pic>
              </a:graphicData>
            </a:graphic>
          </wp:inline>
        </w:drawing>
      </w:r>
    </w:p>
    <w:p w:rsidR="008C45FC" w:rsidRPr="00AE49C8" w:rsidRDefault="007B7BD6" w:rsidP="00DE433D">
      <w:r w:rsidRPr="00AE49C8">
        <w:t xml:space="preserve">The Disability Forum </w:t>
      </w:r>
      <w:r w:rsidR="008C45FC" w:rsidRPr="00AE49C8">
        <w:t>has been active throughout 2020-21, providing a mechanism to ensure disabled people have a voice within the Trust.  One of the key objectives is to ensure that monitoring systems and processes are put in place to support disabled people are fit for purpose.  This group is also involved in our policy development to ensure issues relating to disability are taken into account.  The Forum has been active in supporting the Workforce Disability Equality Standard (WDES) action plan for the Trust.</w:t>
      </w:r>
    </w:p>
    <w:p w:rsidR="00ED3B55" w:rsidRPr="00AE49C8" w:rsidRDefault="008C45FC" w:rsidP="00DE433D">
      <w:pPr>
        <w:rPr>
          <w:b/>
          <w:highlight w:val="yellow"/>
        </w:rPr>
      </w:pPr>
      <w:r w:rsidRPr="00AE49C8">
        <w:t>The Disability Forum will be merging with the Disabled Staff Network in 2021-22</w:t>
      </w:r>
      <w:r w:rsidR="007B7BD6" w:rsidRPr="00AE49C8">
        <w:t>;</w:t>
      </w:r>
      <w:r w:rsidRPr="00AE49C8">
        <w:t xml:space="preserve"> in the meantime</w:t>
      </w:r>
      <w:r w:rsidR="007B7BD6" w:rsidRPr="00AE49C8">
        <w:t>,</w:t>
      </w:r>
      <w:r w:rsidRPr="00AE49C8">
        <w:t xml:space="preserve"> stronger links have been drawn between the two groups.</w:t>
      </w:r>
      <w:r w:rsidRPr="00AE49C8">
        <w:br/>
      </w:r>
    </w:p>
    <w:p w:rsidR="00DE433D" w:rsidRPr="00AE49C8" w:rsidRDefault="00DE433D" w:rsidP="00DE433D">
      <w:pPr>
        <w:rPr>
          <w:b/>
        </w:rPr>
      </w:pPr>
      <w:r w:rsidRPr="00AE49C8">
        <w:rPr>
          <w:b/>
        </w:rPr>
        <w:t>LGBTQ+ Networks</w:t>
      </w:r>
    </w:p>
    <w:p w:rsidR="00F334A1" w:rsidRPr="00AE49C8" w:rsidRDefault="00F334A1" w:rsidP="00F334A1">
      <w:r w:rsidRPr="00AE49C8">
        <w:t>The network helps support the organisation and improve the experiences of LGBTQ+ staff, volunteers and allies.  With a vast membership base at all levels across the organisation, the network plays a vital role as an agent for change.</w:t>
      </w:r>
    </w:p>
    <w:p w:rsidR="00F334A1" w:rsidRPr="00AE49C8" w:rsidRDefault="00F334A1" w:rsidP="00F334A1">
      <w:r w:rsidRPr="00AE49C8">
        <w:t>During 2020/21, some activities the network usually undertakes was put on hold due to the restrictions caused by the ongoing pandemic.  However, the network responded by enabling the engagement of its members through several creative methods.  For example:</w:t>
      </w:r>
    </w:p>
    <w:p w:rsidR="00F334A1" w:rsidRPr="00AE49C8" w:rsidRDefault="00F334A1" w:rsidP="00F334A1">
      <w:pPr>
        <w:pStyle w:val="ListParagraph"/>
        <w:numPr>
          <w:ilvl w:val="0"/>
          <w:numId w:val="21"/>
        </w:numPr>
      </w:pPr>
      <w:r w:rsidRPr="00AE49C8">
        <w:lastRenderedPageBreak/>
        <w:t>Regular newsletters – to inform members of relevant news and information about LGBTQ+ issues on a Trust, regional or national level</w:t>
      </w:r>
    </w:p>
    <w:p w:rsidR="00F334A1" w:rsidRPr="00AE49C8" w:rsidRDefault="00F334A1" w:rsidP="00F334A1">
      <w:pPr>
        <w:pStyle w:val="ListParagraph"/>
        <w:numPr>
          <w:ilvl w:val="0"/>
          <w:numId w:val="21"/>
        </w:numPr>
      </w:pPr>
      <w:r w:rsidRPr="00AE49C8">
        <w:t xml:space="preserve">Virtual meetups, e.g. virtual coffee drop-ins and </w:t>
      </w:r>
      <w:r w:rsidR="008E6F14" w:rsidRPr="00AE49C8">
        <w:t>Valentine’s</w:t>
      </w:r>
      <w:r w:rsidRPr="00AE49C8">
        <w:t xml:space="preserve"> Day events</w:t>
      </w:r>
    </w:p>
    <w:p w:rsidR="00F334A1" w:rsidRPr="00AE49C8" w:rsidRDefault="00F334A1" w:rsidP="00F334A1">
      <w:pPr>
        <w:pStyle w:val="ListParagraph"/>
        <w:numPr>
          <w:ilvl w:val="0"/>
          <w:numId w:val="21"/>
        </w:numPr>
      </w:pPr>
      <w:r w:rsidRPr="00AE49C8">
        <w:t>Virtual LGBTQ+ book and discussion club events</w:t>
      </w:r>
    </w:p>
    <w:p w:rsidR="00F334A1" w:rsidRPr="00AE49C8" w:rsidRDefault="00F334A1" w:rsidP="00F334A1">
      <w:pPr>
        <w:pStyle w:val="ListParagraph"/>
        <w:numPr>
          <w:ilvl w:val="0"/>
          <w:numId w:val="21"/>
        </w:numPr>
      </w:pPr>
      <w:r w:rsidRPr="00AE49C8">
        <w:t>Continuing social media presence (</w:t>
      </w:r>
      <w:hyperlink r:id="rId23" w:history="1">
        <w:r w:rsidRPr="00AE49C8">
          <w:rPr>
            <w:rStyle w:val="Hyperlink"/>
          </w:rPr>
          <w:t>why not take a look at the network’s Twitter page?</w:t>
        </w:r>
      </w:hyperlink>
      <w:r w:rsidRPr="00AE49C8">
        <w:t>)</w:t>
      </w:r>
    </w:p>
    <w:p w:rsidR="00F334A1" w:rsidRPr="00AE49C8" w:rsidRDefault="00F334A1" w:rsidP="00F334A1">
      <w:r w:rsidRPr="00AE49C8">
        <w:t>Some key highlights for the network during 2020/21 include:</w:t>
      </w:r>
    </w:p>
    <w:p w:rsidR="00F334A1" w:rsidRPr="00AE49C8" w:rsidRDefault="00F334A1" w:rsidP="00F334A1">
      <w:pPr>
        <w:pStyle w:val="ListParagraph"/>
        <w:numPr>
          <w:ilvl w:val="0"/>
          <w:numId w:val="22"/>
        </w:numPr>
      </w:pPr>
      <w:r w:rsidRPr="00AE49C8">
        <w:t xml:space="preserve">Prides scheduled to take place in the summer of 2020 were either cancelled or moved to a digital format.  The network developed a </w:t>
      </w:r>
      <w:hyperlink r:id="rId24" w:history="1">
        <w:r w:rsidRPr="00AE49C8">
          <w:rPr>
            <w:rStyle w:val="Hyperlink"/>
          </w:rPr>
          <w:t>Prides video</w:t>
        </w:r>
      </w:hyperlink>
      <w:r w:rsidRPr="00AE49C8">
        <w:t xml:space="preserve"> to take part in the Brighton </w:t>
      </w:r>
      <w:r w:rsidR="008E6F14" w:rsidRPr="00AE49C8">
        <w:t>Digital</w:t>
      </w:r>
      <w:r w:rsidRPr="00AE49C8">
        <w:t xml:space="preserve"> Pride, focusing on the history of Stonewall and what Prides mean</w:t>
      </w:r>
      <w:r w:rsidR="008E6F14">
        <w:t>s</w:t>
      </w:r>
      <w:r w:rsidRPr="00AE49C8">
        <w:t xml:space="preserve"> to Trust staff.</w:t>
      </w:r>
    </w:p>
    <w:p w:rsidR="00F334A1" w:rsidRPr="00AE49C8" w:rsidRDefault="00F334A1" w:rsidP="00F334A1">
      <w:pPr>
        <w:pStyle w:val="ListParagraph"/>
        <w:numPr>
          <w:ilvl w:val="0"/>
          <w:numId w:val="22"/>
        </w:numPr>
      </w:pPr>
      <w:r w:rsidRPr="00AE49C8">
        <w:t>Following on from the success of the networks ‘Journey to True North: Follow the Yellow Brick Road’ board game, this has now been digitised and can be played on M</w:t>
      </w:r>
      <w:r w:rsidR="006A150C">
        <w:t>icrosoft</w:t>
      </w:r>
      <w:r w:rsidRPr="00AE49C8">
        <w:t xml:space="preserve"> Teams.</w:t>
      </w:r>
    </w:p>
    <w:p w:rsidR="00F334A1" w:rsidRPr="00AE49C8" w:rsidRDefault="00F334A1" w:rsidP="00F334A1">
      <w:pPr>
        <w:pStyle w:val="ListParagraph"/>
        <w:numPr>
          <w:ilvl w:val="0"/>
          <w:numId w:val="22"/>
        </w:numPr>
      </w:pPr>
      <w:r w:rsidRPr="00AE49C8">
        <w:t>Work was undertaken to merge the BSUH and WSHT networks – in preparation for this, a joint network survey was sent to members to identify the key priorities moving forward.</w:t>
      </w:r>
    </w:p>
    <w:p w:rsidR="00F334A1" w:rsidRPr="00AE49C8" w:rsidRDefault="00F334A1" w:rsidP="00F334A1">
      <w:pPr>
        <w:pStyle w:val="ListParagraph"/>
        <w:numPr>
          <w:ilvl w:val="0"/>
          <w:numId w:val="22"/>
        </w:numPr>
      </w:pPr>
      <w:r w:rsidRPr="00AE49C8">
        <w:t>The network has participated in a range of research projects.</w:t>
      </w:r>
    </w:p>
    <w:p w:rsidR="00F334A1" w:rsidRPr="00AE49C8" w:rsidRDefault="00F334A1" w:rsidP="00F334A1">
      <w:pPr>
        <w:pStyle w:val="ListParagraph"/>
        <w:numPr>
          <w:ilvl w:val="0"/>
          <w:numId w:val="22"/>
        </w:numPr>
      </w:pPr>
      <w:r w:rsidRPr="00AE49C8">
        <w:t>Undertaken a project to be used as an educational tool to improve the understanding of lived experiences.</w:t>
      </w:r>
    </w:p>
    <w:p w:rsidR="00F334A1" w:rsidRDefault="00F334A1" w:rsidP="00F334A1">
      <w:pPr>
        <w:pStyle w:val="ListParagraph"/>
        <w:numPr>
          <w:ilvl w:val="0"/>
          <w:numId w:val="22"/>
        </w:numPr>
      </w:pPr>
      <w:r w:rsidRPr="00AE49C8">
        <w:t>Connecting network members with LGBTQ+ prospective job applicants to mentor them through the NHS/Trust application process.</w:t>
      </w:r>
    </w:p>
    <w:p w:rsidR="00227A81" w:rsidRPr="00AE49C8" w:rsidRDefault="002D1385" w:rsidP="00F334A1">
      <w:pPr>
        <w:pStyle w:val="ListParagraph"/>
        <w:numPr>
          <w:ilvl w:val="0"/>
          <w:numId w:val="22"/>
        </w:numPr>
      </w:pPr>
      <w:r>
        <w:t xml:space="preserve">The Network worked with the BSUH Directorate of Education and Knowledge and Brighton Medical School to run six education seminars on a range of topics that impact LGBTQ+ people. You can view the seminars on the </w:t>
      </w:r>
      <w:hyperlink r:id="rId25" w:history="1">
        <w:r w:rsidRPr="002D1385">
          <w:rPr>
            <w:rStyle w:val="Hyperlink"/>
          </w:rPr>
          <w:t>Network’s YouTube channel</w:t>
        </w:r>
      </w:hyperlink>
      <w:r>
        <w:t>.</w:t>
      </w:r>
    </w:p>
    <w:p w:rsidR="00F334A1" w:rsidRPr="00AE49C8" w:rsidRDefault="00F334A1" w:rsidP="00F334A1">
      <w:r w:rsidRPr="00AE49C8">
        <w:t>In 2021/22, the network is looking forward to:</w:t>
      </w:r>
    </w:p>
    <w:p w:rsidR="00F334A1" w:rsidRPr="00AE49C8" w:rsidRDefault="00F334A1" w:rsidP="00F334A1">
      <w:pPr>
        <w:pStyle w:val="ListParagraph"/>
        <w:numPr>
          <w:ilvl w:val="0"/>
          <w:numId w:val="23"/>
        </w:numPr>
      </w:pPr>
      <w:r w:rsidRPr="00AE49C8">
        <w:t>Participation in Prides events in the summer of 2021 – both digital and in-person</w:t>
      </w:r>
    </w:p>
    <w:p w:rsidR="00F334A1" w:rsidRPr="00AE49C8" w:rsidRDefault="00F334A1" w:rsidP="00F334A1">
      <w:pPr>
        <w:pStyle w:val="ListParagraph"/>
        <w:numPr>
          <w:ilvl w:val="0"/>
          <w:numId w:val="23"/>
        </w:numPr>
        <w:rPr>
          <w:b/>
        </w:rPr>
      </w:pPr>
      <w:r w:rsidRPr="00AE49C8">
        <w:t>Participation in the NHS Rainbow Badge pilot award scheme; the scheme is designed to look at several factors impacting LGBTQ+ equality and provides an award based on evidence.</w:t>
      </w:r>
    </w:p>
    <w:p w:rsidR="00F334A1" w:rsidRPr="00AE49C8" w:rsidRDefault="00227A81" w:rsidP="00F334A1">
      <w:pPr>
        <w:pStyle w:val="ListParagraph"/>
        <w:numPr>
          <w:ilvl w:val="0"/>
          <w:numId w:val="23"/>
        </w:numPr>
        <w:rPr>
          <w:b/>
        </w:rPr>
      </w:pPr>
      <w:r>
        <w:t>The network designed a new LGBTQ+ pin badge for staff and will be rolling these out during 2021/22</w:t>
      </w:r>
      <w:r w:rsidR="00F334A1" w:rsidRPr="00AE49C8">
        <w:t>.</w:t>
      </w:r>
    </w:p>
    <w:p w:rsidR="00AC0020" w:rsidRPr="00AE49C8" w:rsidRDefault="00AC0020" w:rsidP="00AC0020">
      <w:pPr>
        <w:rPr>
          <w:b/>
        </w:rPr>
      </w:pPr>
      <w:r w:rsidRPr="00AE49C8">
        <w:rPr>
          <w:b/>
        </w:rPr>
        <w:t>The SOAR BAME Network</w:t>
      </w:r>
    </w:p>
    <w:p w:rsidR="00AC0020" w:rsidRPr="00AE49C8" w:rsidRDefault="00AC0020" w:rsidP="00AC0020">
      <w:r w:rsidRPr="00AE49C8">
        <w:t xml:space="preserve">The network was launched at </w:t>
      </w:r>
      <w:r w:rsidR="008E6F14" w:rsidRPr="00AE49C8">
        <w:t>RSCH in</w:t>
      </w:r>
      <w:r w:rsidRPr="00AE49C8">
        <w:t xml:space="preserve"> September 2020, while at WSHT, the Black Asian and Minority Ethnic (</w:t>
      </w:r>
      <w:r w:rsidRPr="00B0459B">
        <w:t>B</w:t>
      </w:r>
      <w:r w:rsidR="002B1A34" w:rsidRPr="00B0459B">
        <w:t>AM</w:t>
      </w:r>
      <w:r w:rsidRPr="00B0459B">
        <w:t>E</w:t>
      </w:r>
      <w:r w:rsidRPr="00AE49C8">
        <w:t xml:space="preserve">) Network, formerly Celebrating Cultures, was launched in August 2020.  Both Networks agreed to join under the banner SOAR, </w:t>
      </w:r>
      <w:r w:rsidRPr="00AE49C8">
        <w:lastRenderedPageBreak/>
        <w:t xml:space="preserve">BAME Staff Network. Fadzai Fadairo Leads at the </w:t>
      </w:r>
      <w:r w:rsidR="008E6F14" w:rsidRPr="00AE49C8">
        <w:t>East</w:t>
      </w:r>
      <w:r w:rsidR="008E6F14">
        <w:t>,</w:t>
      </w:r>
      <w:r w:rsidRPr="00AE49C8">
        <w:t xml:space="preserve"> and Patience Mugawazi Leads at the West.</w:t>
      </w:r>
    </w:p>
    <w:p w:rsidR="00AC0020" w:rsidRPr="00AE49C8" w:rsidRDefault="00AC0020" w:rsidP="00AC0020">
      <w:r w:rsidRPr="00AE49C8">
        <w:t xml:space="preserve">SOAR stands for Safe space, Opportunity, equity and empowerment, Amplify voices, Re-dress the balance.  </w:t>
      </w:r>
      <w:r w:rsidR="009B6B47">
        <w:t>The network</w:t>
      </w:r>
      <w:r w:rsidRPr="00AE49C8">
        <w:t xml:space="preserve"> aim</w:t>
      </w:r>
      <w:r w:rsidR="009B6B47">
        <w:t>s</w:t>
      </w:r>
      <w:r w:rsidRPr="00AE49C8">
        <w:t xml:space="preserve"> to provide a safe space for people to share any concerns and provide support or sign posting to appropriate services.  </w:t>
      </w:r>
      <w:r w:rsidR="009B6B47">
        <w:t>Through shared learning and lived experience, the network offers a platform</w:t>
      </w:r>
      <w:r w:rsidRPr="00AE49C8">
        <w:t xml:space="preserve"> </w:t>
      </w:r>
      <w:r w:rsidR="009B6B47">
        <w:t>and</w:t>
      </w:r>
      <w:r w:rsidRPr="00AE49C8">
        <w:t xml:space="preserve"> aspire to achieve racial equity for our members and the wider BAME staff groups.</w:t>
      </w:r>
    </w:p>
    <w:p w:rsidR="00AC0020" w:rsidRPr="00AE49C8" w:rsidRDefault="009B6B47" w:rsidP="00AC0020">
      <w:r>
        <w:t>C</w:t>
      </w:r>
      <w:r w:rsidR="00AC0020" w:rsidRPr="00AE49C8">
        <w:t>urrently</w:t>
      </w:r>
      <w:r>
        <w:t>,</w:t>
      </w:r>
      <w:r w:rsidR="00AC0020" w:rsidRPr="00AE49C8">
        <w:t xml:space="preserve"> </w:t>
      </w:r>
      <w:r>
        <w:t>there are about</w:t>
      </w:r>
      <w:r w:rsidR="00AC0020" w:rsidRPr="00AE49C8">
        <w:t xml:space="preserve"> 150 members, including individuals who are our non- BAME allies.  </w:t>
      </w:r>
      <w:r>
        <w:t>There is also</w:t>
      </w:r>
      <w:r w:rsidR="00AC0020" w:rsidRPr="00AE49C8">
        <w:t xml:space="preserve"> an additional team of BAME volunteers across both the East and West, offering support to staff for issues relating to the pandemic and also Mental Health First Aid to those who require it.</w:t>
      </w:r>
    </w:p>
    <w:p w:rsidR="00AC0020" w:rsidRPr="00AE49C8" w:rsidRDefault="00AC0020" w:rsidP="00AC0020">
      <w:r w:rsidRPr="00AE49C8">
        <w:t xml:space="preserve">During 2020/21, </w:t>
      </w:r>
      <w:r w:rsidR="009B6B47">
        <w:t>SOAR BAME Network has</w:t>
      </w:r>
      <w:r w:rsidRPr="00AE49C8">
        <w:t xml:space="preserve"> faced many challenges, not least the disproportionate effect of Covid on BAME people but a</w:t>
      </w:r>
      <w:r w:rsidR="009B6B47">
        <w:t>lso the impact from George Floyd's killing</w:t>
      </w:r>
      <w:r w:rsidRPr="00AE49C8">
        <w:t xml:space="preserve"> and the ensuing Black Lives Matter protests.  Against this backdrop, we have been part of important conversations around risk assessment early equitable access to the Covid vaccine for BAME staff whilst addressing the issues around vaccine hesitancy. </w:t>
      </w:r>
    </w:p>
    <w:p w:rsidR="00AC0020" w:rsidRPr="00AE49C8" w:rsidRDefault="00AC0020" w:rsidP="00AC0020">
      <w:r w:rsidRPr="00AE49C8">
        <w:t xml:space="preserve">All of </w:t>
      </w:r>
      <w:r w:rsidR="009B6B47">
        <w:t>the</w:t>
      </w:r>
      <w:r w:rsidRPr="00AE49C8">
        <w:t xml:space="preserve"> meetings have taken place over MS Teams due to the restrictions necessitated by the pandemic.  Despite interactions being primarily virtual, it has not lessened the impact and value of conversations had.  Some of the highlights and achievements over the past year include:</w:t>
      </w:r>
    </w:p>
    <w:p w:rsidR="00AC0020" w:rsidRPr="00AE49C8" w:rsidRDefault="00AC0020" w:rsidP="00AC0020">
      <w:pPr>
        <w:pStyle w:val="ListParagraph"/>
      </w:pPr>
      <w:r w:rsidRPr="00AE49C8">
        <w:t>BAME Volunteers embedded at East and West</w:t>
      </w:r>
    </w:p>
    <w:p w:rsidR="00AC0020" w:rsidRPr="00AE49C8" w:rsidRDefault="00AC0020" w:rsidP="00AC0020">
      <w:pPr>
        <w:pStyle w:val="ListParagraph"/>
      </w:pPr>
      <w:r w:rsidRPr="00AE49C8">
        <w:t>Allies Network launched at the West</w:t>
      </w:r>
    </w:p>
    <w:p w:rsidR="00AC0020" w:rsidRPr="00AE49C8" w:rsidRDefault="00AC0020" w:rsidP="00AC0020">
      <w:pPr>
        <w:pStyle w:val="ListParagraph"/>
      </w:pPr>
      <w:r w:rsidRPr="00AE49C8">
        <w:t xml:space="preserve">A high </w:t>
      </w:r>
      <w:r w:rsidR="006315AB" w:rsidRPr="00AE49C8">
        <w:t>COVID</w:t>
      </w:r>
      <w:r w:rsidRPr="00AE49C8">
        <w:t xml:space="preserve"> vaccine uptake amongst our BAME staff</w:t>
      </w:r>
    </w:p>
    <w:p w:rsidR="00AC0020" w:rsidRPr="00AE49C8" w:rsidRDefault="00AC0020" w:rsidP="00AC0020">
      <w:pPr>
        <w:pStyle w:val="ListParagraph"/>
      </w:pPr>
      <w:r w:rsidRPr="00AE49C8">
        <w:t>Mental Health First Aid Training (West)</w:t>
      </w:r>
    </w:p>
    <w:p w:rsidR="00AC0020" w:rsidRPr="00AE49C8" w:rsidRDefault="00AC0020" w:rsidP="00AC0020">
      <w:pPr>
        <w:pStyle w:val="ListParagraph"/>
      </w:pPr>
      <w:r w:rsidRPr="00AE49C8">
        <w:t>Participation in National Inclusion Week</w:t>
      </w:r>
    </w:p>
    <w:p w:rsidR="00AC0020" w:rsidRPr="00AE49C8" w:rsidRDefault="009B6B47" w:rsidP="00AC0020">
      <w:r>
        <w:t>The network has</w:t>
      </w:r>
      <w:r w:rsidR="00AC0020" w:rsidRPr="00AE49C8">
        <w:t xml:space="preserve"> exciting events planned to celebrate Black History Month to engage with all our staff within the Trust. </w:t>
      </w:r>
    </w:p>
    <w:p w:rsidR="00AC0020" w:rsidRPr="00AE49C8" w:rsidRDefault="009B6B47" w:rsidP="00AC0020">
      <w:r>
        <w:t>The</w:t>
      </w:r>
      <w:r w:rsidR="00AC0020" w:rsidRPr="00AE49C8">
        <w:t xml:space="preserve"> main focus is to grow our Network membership through various events, including webinars and discussions throughout the year.  The network will host </w:t>
      </w:r>
      <w:r>
        <w:t>a Wellbeing Day in the New Year</w:t>
      </w:r>
      <w:r w:rsidR="00AC0020" w:rsidRPr="00AE49C8">
        <w:t xml:space="preserve"> </w:t>
      </w:r>
      <w:r>
        <w:t>(</w:t>
      </w:r>
      <w:r w:rsidR="00AC0020" w:rsidRPr="00AE49C8">
        <w:t>COVID permitting</w:t>
      </w:r>
      <w:r>
        <w:t>)</w:t>
      </w:r>
      <w:r w:rsidR="00AC0020" w:rsidRPr="00AE49C8">
        <w:t xml:space="preserve">, celebrating </w:t>
      </w:r>
      <w:r>
        <w:t xml:space="preserve">the Trust’s </w:t>
      </w:r>
      <w:r w:rsidR="00AC0020" w:rsidRPr="00AE49C8">
        <w:t>staff</w:t>
      </w:r>
      <w:r>
        <w:t>, rolling out new branding,</w:t>
      </w:r>
      <w:r w:rsidR="00AC0020" w:rsidRPr="00AE49C8">
        <w:t xml:space="preserve"> and increasing our social media presence to engage with a broader audience.  </w:t>
      </w:r>
      <w:r>
        <w:t>The network identifies</w:t>
      </w:r>
      <w:r w:rsidR="00AC0020" w:rsidRPr="00AE49C8">
        <w:t xml:space="preserve"> </w:t>
      </w:r>
      <w:proofErr w:type="gramStart"/>
      <w:r w:rsidR="00AC0020" w:rsidRPr="00AE49C8">
        <w:t>that workforces</w:t>
      </w:r>
      <w:proofErr w:type="gramEnd"/>
      <w:r w:rsidR="00AC0020" w:rsidRPr="00AE49C8">
        <w:t>’ needs and the challenges they face differ greatly across groups</w:t>
      </w:r>
      <w:r>
        <w:t xml:space="preserve"> and</w:t>
      </w:r>
      <w:r w:rsidR="00AC0020" w:rsidRPr="00AE49C8">
        <w:t xml:space="preserve"> recognise</w:t>
      </w:r>
      <w:r w:rsidR="00CE701E">
        <w:t xml:space="preserve"> that </w:t>
      </w:r>
      <w:r w:rsidR="008E6F14">
        <w:t>various</w:t>
      </w:r>
      <w:r w:rsidR="00CE701E">
        <w:t xml:space="preserve"> approaches are needed to achieve these goals to be equitable</w:t>
      </w:r>
      <w:r w:rsidR="00AC0020" w:rsidRPr="00AE49C8">
        <w:t>.</w:t>
      </w:r>
    </w:p>
    <w:p w:rsidR="00DE433D" w:rsidRPr="00AE49C8" w:rsidRDefault="00DE433D" w:rsidP="00AC0020">
      <w:pPr>
        <w:rPr>
          <w:b/>
        </w:rPr>
      </w:pPr>
      <w:r w:rsidRPr="00AE49C8">
        <w:rPr>
          <w:b/>
        </w:rPr>
        <w:t>Workforce Race Equality Working Group</w:t>
      </w:r>
    </w:p>
    <w:p w:rsidR="00DE433D" w:rsidRPr="00AE49C8" w:rsidRDefault="00DE433D" w:rsidP="00DE433D">
      <w:r w:rsidRPr="00AE49C8">
        <w:t xml:space="preserve">As a consequence of the May 2018 Race Equality Conference, an initially small (10) group of staff responded to our Chief Executive's 'call to action' to help us improve </w:t>
      </w:r>
      <w:r w:rsidRPr="00AE49C8">
        <w:lastRenderedPageBreak/>
        <w:t>the data surrounding WRES.  The working group was formed in June 2018 and has met monthly devised a Partnership and Engagement Plan 2018 – 2021, which the Trust Board has fully supported, and this is in part our WRES Action Plan.  The main areas of focus are:-</w:t>
      </w:r>
    </w:p>
    <w:p w:rsidR="00DE433D" w:rsidRPr="00AE49C8" w:rsidRDefault="00DE433D" w:rsidP="00FF4255">
      <w:pPr>
        <w:pStyle w:val="ListParagraph"/>
        <w:numPr>
          <w:ilvl w:val="0"/>
          <w:numId w:val="7"/>
        </w:numPr>
      </w:pPr>
      <w:r w:rsidRPr="00AE49C8">
        <w:t xml:space="preserve">Recruitment </w:t>
      </w:r>
    </w:p>
    <w:p w:rsidR="00DE433D" w:rsidRPr="00AE49C8" w:rsidRDefault="00DE433D" w:rsidP="00FF4255">
      <w:pPr>
        <w:pStyle w:val="ListParagraph"/>
        <w:numPr>
          <w:ilvl w:val="0"/>
          <w:numId w:val="7"/>
        </w:numPr>
      </w:pPr>
      <w:r w:rsidRPr="00AE49C8">
        <w:t>Communication</w:t>
      </w:r>
    </w:p>
    <w:p w:rsidR="00DE433D" w:rsidRPr="00AE49C8" w:rsidRDefault="00DE433D" w:rsidP="00FF4255">
      <w:pPr>
        <w:pStyle w:val="ListParagraph"/>
        <w:numPr>
          <w:ilvl w:val="0"/>
          <w:numId w:val="7"/>
        </w:numPr>
      </w:pPr>
      <w:r w:rsidRPr="00AE49C8">
        <w:t>Education and Training</w:t>
      </w:r>
    </w:p>
    <w:p w:rsidR="00DE433D" w:rsidRPr="00AE49C8" w:rsidRDefault="00DE433D" w:rsidP="00DE433D">
      <w:r w:rsidRPr="00AE49C8">
        <w:t>Members of the working group felt that concentrating on these issues would have the most significant positive impact on our BME workforce.</w:t>
      </w:r>
    </w:p>
    <w:p w:rsidR="00DE433D" w:rsidRPr="00AE49C8" w:rsidRDefault="008E6F14" w:rsidP="00C92A79">
      <w:pPr>
        <w:jc w:val="center"/>
      </w:pPr>
      <w:r>
        <w:pict>
          <v:shape id="_x0000_i1026" type="#_x0000_t75" alt="Staff in a clinic" style="width:450pt;height:300pt">
            <v:imagedata r:id="rId26" o:title="Volunteers 210513_94"/>
          </v:shape>
        </w:pict>
      </w:r>
    </w:p>
    <w:p w:rsidR="00DE433D" w:rsidRPr="00AE49C8" w:rsidRDefault="00DE433D" w:rsidP="00DE433D">
      <w:pPr>
        <w:rPr>
          <w:b/>
        </w:rPr>
      </w:pPr>
      <w:r w:rsidRPr="00AE49C8">
        <w:rPr>
          <w:b/>
        </w:rPr>
        <w:t>Workforce Disability Equality Standard Working Group</w:t>
      </w:r>
    </w:p>
    <w:p w:rsidR="00DE433D" w:rsidRPr="00AE49C8" w:rsidRDefault="00DE433D" w:rsidP="00DE433D">
      <w:r w:rsidRPr="00AE49C8">
        <w:t>The group was established to look at the data and information from the annual WDES data; the group also helps produ</w:t>
      </w:r>
      <w:r w:rsidR="00206294" w:rsidRPr="00AE49C8">
        <w:t xml:space="preserve">ce an action plan to address </w:t>
      </w:r>
      <w:r w:rsidR="009914D4" w:rsidRPr="00AE49C8">
        <w:t xml:space="preserve">the </w:t>
      </w:r>
      <w:r w:rsidRPr="00AE49C8">
        <w:t>inequity that the data highlights.  The group reports to the Diversity Matters Steering Group, which provides oversight and governance on the action plan delivery.</w:t>
      </w:r>
    </w:p>
    <w:p w:rsidR="00DE433D" w:rsidRPr="00AE49C8" w:rsidRDefault="00DE433D" w:rsidP="00DE433D">
      <w:r w:rsidRPr="00AE49C8">
        <w:t>The action plan covers three financial years and contains actions that seek to address:</w:t>
      </w:r>
    </w:p>
    <w:p w:rsidR="00DE433D" w:rsidRPr="00AE49C8" w:rsidRDefault="00DE433D" w:rsidP="00FF4255">
      <w:pPr>
        <w:pStyle w:val="ListParagraph"/>
        <w:numPr>
          <w:ilvl w:val="0"/>
          <w:numId w:val="8"/>
        </w:numPr>
      </w:pPr>
      <w:r w:rsidRPr="00AE49C8">
        <w:t>Declaration rates</w:t>
      </w:r>
    </w:p>
    <w:p w:rsidR="00DE433D" w:rsidRPr="00AE49C8" w:rsidRDefault="00DE433D" w:rsidP="00FF4255">
      <w:pPr>
        <w:pStyle w:val="ListParagraph"/>
        <w:numPr>
          <w:ilvl w:val="0"/>
          <w:numId w:val="8"/>
        </w:numPr>
      </w:pPr>
      <w:r w:rsidRPr="00AE49C8">
        <w:t>Supporting disabled staff</w:t>
      </w:r>
    </w:p>
    <w:p w:rsidR="00DE433D" w:rsidRPr="00AE49C8" w:rsidRDefault="00DE433D" w:rsidP="00FF4255">
      <w:pPr>
        <w:pStyle w:val="ListParagraph"/>
        <w:numPr>
          <w:ilvl w:val="0"/>
          <w:numId w:val="8"/>
        </w:numPr>
      </w:pPr>
      <w:r w:rsidRPr="00AE49C8">
        <w:t>Education and training</w:t>
      </w:r>
    </w:p>
    <w:p w:rsidR="00FF4255" w:rsidRPr="00AE49C8" w:rsidRDefault="00FF4255" w:rsidP="00FF4255">
      <w:pPr>
        <w:pStyle w:val="Heading2"/>
        <w:rPr>
          <w:rFonts w:cs="Arial"/>
        </w:rPr>
      </w:pPr>
      <w:bookmarkStart w:id="14" w:name="_Toc88633961"/>
      <w:r w:rsidRPr="00AE49C8">
        <w:rPr>
          <w:rFonts w:cs="Arial"/>
        </w:rPr>
        <w:lastRenderedPageBreak/>
        <w:t>Information to support the workforce and patients</w:t>
      </w:r>
      <w:bookmarkEnd w:id="14"/>
      <w:r w:rsidRPr="00AE49C8">
        <w:rPr>
          <w:rFonts w:cs="Arial"/>
        </w:rPr>
        <w:t xml:space="preserve"> </w:t>
      </w:r>
    </w:p>
    <w:p w:rsidR="00FF4255" w:rsidRPr="00AE49C8" w:rsidRDefault="00FF4255" w:rsidP="00FF4255">
      <w:r w:rsidRPr="00AE49C8">
        <w:t>The Inclusion team has produced or made available a wide range of information that promotes good practice to assist staff and patients.  The team are also happy to discuss issues or concerns that staff or patients may have about inclusion issues in the Trust.</w:t>
      </w:r>
    </w:p>
    <w:p w:rsidR="00FF4255" w:rsidRPr="00AE49C8" w:rsidRDefault="00FF4255" w:rsidP="00FF4255">
      <w:r w:rsidRPr="00AE49C8">
        <w:t xml:space="preserve">Examples of this information can be found on the Trust's website. You can also contact the Inclusion Team by emailing </w:t>
      </w:r>
      <w:hyperlink r:id="rId27" w:history="1">
        <w:r w:rsidRPr="00AE49C8">
          <w:rPr>
            <w:rStyle w:val="Hyperlink"/>
          </w:rPr>
          <w:t>uhsussex.equality@nhs.net</w:t>
        </w:r>
      </w:hyperlink>
      <w:r w:rsidRPr="00AE49C8">
        <w:t xml:space="preserve"> for BSUH or </w:t>
      </w:r>
      <w:hyperlink r:id="rId28" w:history="1">
        <w:r w:rsidRPr="00AE49C8">
          <w:rPr>
            <w:rStyle w:val="Hyperlink"/>
          </w:rPr>
          <w:t>uhsussex.western.equality@nhs.net</w:t>
        </w:r>
      </w:hyperlink>
      <w:r w:rsidRPr="00AE49C8">
        <w:t xml:space="preserve"> for WSHT.</w:t>
      </w:r>
    </w:p>
    <w:p w:rsidR="00FF4255" w:rsidRPr="00AE49C8" w:rsidRDefault="00FF4255" w:rsidP="00FF4255">
      <w:pPr>
        <w:pStyle w:val="Heading2"/>
        <w:rPr>
          <w:rFonts w:cs="Arial"/>
        </w:rPr>
      </w:pPr>
      <w:bookmarkStart w:id="15" w:name="_Toc88633962"/>
      <w:r w:rsidRPr="00AE49C8">
        <w:rPr>
          <w:rFonts w:cs="Arial"/>
        </w:rPr>
        <w:t>Recruitment</w:t>
      </w:r>
      <w:bookmarkEnd w:id="15"/>
    </w:p>
    <w:p w:rsidR="00FF4255" w:rsidRPr="00AE49C8" w:rsidRDefault="00FF4255" w:rsidP="00FF4255">
      <w:r w:rsidRPr="00AE49C8">
        <w:t xml:space="preserve">The Trust is currently reviewing its recruitment processes to ensure fairness and equity </w:t>
      </w:r>
      <w:r w:rsidR="00F26016" w:rsidRPr="00AE49C8">
        <w:t>are considered throughout.  The Inclusion Team was involved in the recruitment merger group and provided advice on an integrated recruitment process for the new organisation (University Hospitals Sussex NHS Foundation Trust).</w:t>
      </w:r>
    </w:p>
    <w:p w:rsidR="00FF4255" w:rsidRPr="00AE49C8" w:rsidRDefault="00FF4255" w:rsidP="00FF4255">
      <w:pPr>
        <w:pStyle w:val="Heading2"/>
        <w:rPr>
          <w:rFonts w:cs="Arial"/>
        </w:rPr>
      </w:pPr>
      <w:bookmarkStart w:id="16" w:name="_Toc88633963"/>
      <w:r w:rsidRPr="00AE49C8">
        <w:rPr>
          <w:rFonts w:cs="Arial"/>
        </w:rPr>
        <w:t>Training</w:t>
      </w:r>
      <w:bookmarkEnd w:id="16"/>
    </w:p>
    <w:p w:rsidR="00FF4255" w:rsidRPr="00AE49C8" w:rsidRDefault="00FF4255" w:rsidP="00FF4255">
      <w:r w:rsidRPr="00AE49C8">
        <w:t xml:space="preserve">The Inclusion team have facilitated several general and specialised training sessions.  Training helps ensure the workforce are aware of their responsibilities under equality legislation and to be able </w:t>
      </w:r>
      <w:r w:rsidR="00F26016" w:rsidRPr="00AE49C8">
        <w:t xml:space="preserve">to meet a wide range of needs. </w:t>
      </w:r>
    </w:p>
    <w:p w:rsidR="00FF4255" w:rsidRPr="00AE49C8" w:rsidRDefault="00FF4255" w:rsidP="00FF4255">
      <w:r w:rsidRPr="00AE49C8">
        <w:t xml:space="preserve">Inclusion </w:t>
      </w:r>
      <w:r w:rsidR="00F26016" w:rsidRPr="00AE49C8">
        <w:t>as a topic features in</w:t>
      </w:r>
      <w:r w:rsidRPr="00AE49C8">
        <w:t xml:space="preserve"> the Trust's Corporate Induction and Statutory and Mandatory Training programmes.</w:t>
      </w:r>
    </w:p>
    <w:p w:rsidR="00F26016" w:rsidRPr="00AE49C8" w:rsidRDefault="00F26016" w:rsidP="00FF4255">
      <w:r w:rsidRPr="00AE49C8">
        <w:t xml:space="preserve">The pandemic and the restrictions around social distancing has restricted the ability to deliver face-to-face training. At present, </w:t>
      </w:r>
      <w:r w:rsidR="008E6F14">
        <w:t>most</w:t>
      </w:r>
      <w:r w:rsidRPr="00AE49C8">
        <w:t xml:space="preserve"> training activity is via e-learning or over Microsoft Teams.</w:t>
      </w:r>
    </w:p>
    <w:p w:rsidR="00206294" w:rsidRPr="00AE49C8" w:rsidRDefault="00FF4255" w:rsidP="00206294">
      <w:pPr>
        <w:rPr>
          <w:rFonts w:eastAsiaTheme="majorEastAsia"/>
          <w:b/>
          <w:bCs/>
          <w:color w:val="0070C0"/>
          <w:sz w:val="28"/>
          <w:szCs w:val="28"/>
          <w:highlight w:val="yellow"/>
        </w:rPr>
      </w:pPr>
      <w:r w:rsidRPr="00AE49C8">
        <w:br/>
      </w:r>
    </w:p>
    <w:p w:rsidR="00FF4255" w:rsidRPr="00AE49C8" w:rsidRDefault="00FF4255" w:rsidP="00FF4255">
      <w:pPr>
        <w:pStyle w:val="Heading2"/>
        <w:rPr>
          <w:rFonts w:cs="Arial"/>
        </w:rPr>
      </w:pPr>
      <w:bookmarkStart w:id="17" w:name="_Toc88633964"/>
      <w:r w:rsidRPr="00AE49C8">
        <w:rPr>
          <w:rFonts w:cs="Arial"/>
        </w:rPr>
        <w:t>Service Improvements and other initiatives</w:t>
      </w:r>
      <w:bookmarkEnd w:id="17"/>
    </w:p>
    <w:p w:rsidR="00FF4255" w:rsidRPr="00AE49C8" w:rsidRDefault="00FF4255" w:rsidP="00206294">
      <w:pPr>
        <w:rPr>
          <w:b/>
        </w:rPr>
      </w:pPr>
      <w:r w:rsidRPr="00AE49C8">
        <w:br/>
      </w:r>
      <w:r w:rsidRPr="00AE49C8">
        <w:rPr>
          <w:b/>
        </w:rPr>
        <w:t>NHS Accessible Information Standard</w:t>
      </w:r>
    </w:p>
    <w:p w:rsidR="00FF4255" w:rsidRPr="00AE49C8" w:rsidRDefault="00206294" w:rsidP="00FF4255">
      <w:r w:rsidRPr="00AE49C8">
        <w:t>NHS England launched the standard</w:t>
      </w:r>
      <w:r w:rsidR="00FF4255" w:rsidRPr="00AE49C8">
        <w:t xml:space="preserve"> in July 2016; however, in the lead-up, the Inclusion team provided information and support to the workforce to ensure they c</w:t>
      </w:r>
      <w:r w:rsidR="006A1C32" w:rsidRPr="00AE49C8">
        <w:t>ould</w:t>
      </w:r>
      <w:r w:rsidR="00FF4255" w:rsidRPr="00AE49C8">
        <w:t xml:space="preserve"> consistently meet the requirements in the standard.  The standard </w:t>
      </w:r>
      <w:r w:rsidRPr="00AE49C8">
        <w:t>introduces checks to ensure that NHS Trusts can consistently meet patient communication needs caused by disability</w:t>
      </w:r>
      <w:r w:rsidR="00FF4255" w:rsidRPr="00AE49C8">
        <w:t xml:space="preserve">.  For more information about the standard, please visit </w:t>
      </w:r>
      <w:hyperlink r:id="rId29" w:history="1">
        <w:r w:rsidR="00362782" w:rsidRPr="00AE49C8">
          <w:rPr>
            <w:rStyle w:val="Hyperlink"/>
          </w:rPr>
          <w:t>NHS England's Accessible Information Standard page</w:t>
        </w:r>
      </w:hyperlink>
      <w:r w:rsidR="00FF4255" w:rsidRPr="00AE49C8">
        <w:t xml:space="preserve">. </w:t>
      </w:r>
    </w:p>
    <w:p w:rsidR="00FF4255" w:rsidRPr="00AE49C8" w:rsidRDefault="00FF4255" w:rsidP="00FF4255">
      <w:r w:rsidRPr="00AE49C8">
        <w:t xml:space="preserve">The workforce has access to a range of interpretation and translation services, hospital communication books and a Learning Disabilities Liaison Team.  The Inclusion team have also provided support by purchasing and distributing Sonido </w:t>
      </w:r>
      <w:r w:rsidR="00206294" w:rsidRPr="00AE49C8">
        <w:t>p</w:t>
      </w:r>
      <w:r w:rsidRPr="00AE49C8">
        <w:t xml:space="preserve">ersonal </w:t>
      </w:r>
      <w:r w:rsidR="00206294" w:rsidRPr="00AE49C8">
        <w:t>l</w:t>
      </w:r>
      <w:r w:rsidRPr="00AE49C8">
        <w:t xml:space="preserve">istening </w:t>
      </w:r>
      <w:r w:rsidR="00206294" w:rsidRPr="00AE49C8">
        <w:t>d</w:t>
      </w:r>
      <w:r w:rsidRPr="00AE49C8">
        <w:t xml:space="preserve">evices to a number of wards and departments, </w:t>
      </w:r>
      <w:r w:rsidR="00206294" w:rsidRPr="00AE49C8">
        <w:t xml:space="preserve">distributing </w:t>
      </w:r>
      <w:r w:rsidRPr="00AE49C8">
        <w:lastRenderedPageBreak/>
        <w:t>hospital communication books (this provides a pictorial way of communicating) to wards and departments, and purchasing the 'Recite Me' system</w:t>
      </w:r>
      <w:r w:rsidR="00206294" w:rsidRPr="00AE49C8">
        <w:t>,</w:t>
      </w:r>
      <w:r w:rsidRPr="00AE49C8">
        <w:t xml:space="preserve"> which has helped to improve the accessibility of the Trust's website.</w:t>
      </w:r>
    </w:p>
    <w:p w:rsidR="00FF4255" w:rsidRPr="00AE49C8" w:rsidRDefault="00FF4255" w:rsidP="00206294">
      <w:pPr>
        <w:rPr>
          <w:b/>
        </w:rPr>
      </w:pPr>
      <w:r w:rsidRPr="00AE49C8">
        <w:rPr>
          <w:b/>
          <w:noProof/>
          <w:lang w:eastAsia="en-GB"/>
        </w:rPr>
        <w:drawing>
          <wp:inline distT="0" distB="0" distL="0" distR="0" wp14:anchorId="7BA3E7AC" wp14:editId="59FBBBA7">
            <wp:extent cx="1614805" cy="534670"/>
            <wp:effectExtent l="0" t="0" r="4445" b="0"/>
            <wp:docPr id="35" name="Picture 35" title="Recite 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te M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4805" cy="534670"/>
                    </a:xfrm>
                    <a:prstGeom prst="rect">
                      <a:avLst/>
                    </a:prstGeom>
                  </pic:spPr>
                </pic:pic>
              </a:graphicData>
            </a:graphic>
          </wp:inline>
        </w:drawing>
      </w:r>
      <w:r w:rsidRPr="00AE49C8">
        <w:rPr>
          <w:b/>
        </w:rPr>
        <w:t>Recite Me (website accessibility tool)</w:t>
      </w:r>
    </w:p>
    <w:p w:rsidR="00793954" w:rsidRPr="00AE49C8" w:rsidRDefault="00FF4255" w:rsidP="00FF4255">
      <w:r w:rsidRPr="00AE49C8">
        <w:t>The Trust</w:t>
      </w:r>
      <w:r w:rsidR="00206294" w:rsidRPr="00AE49C8">
        <w:t>s has</w:t>
      </w:r>
      <w:r w:rsidRPr="00AE49C8">
        <w:t xml:space="preserve"> </w:t>
      </w:r>
      <w:r w:rsidR="00206294" w:rsidRPr="00AE49C8">
        <w:t>implemented</w:t>
      </w:r>
      <w:r w:rsidRPr="00AE49C8">
        <w:t xml:space="preserve"> the 'Browsealoud' system to increase the accessibility of the external website.  The contract came to an end during 2017/18</w:t>
      </w:r>
      <w:r w:rsidR="00206294" w:rsidRPr="00AE49C8">
        <w:t>;</w:t>
      </w:r>
      <w:r w:rsidRPr="00AE49C8">
        <w:t xml:space="preserve"> after evaluating all the options, the Trust has signed a </w:t>
      </w:r>
      <w:r w:rsidR="00206294" w:rsidRPr="00AE49C8">
        <w:t>new</w:t>
      </w:r>
      <w:r w:rsidRPr="00AE49C8">
        <w:t xml:space="preserve"> </w:t>
      </w:r>
      <w:r w:rsidR="00206294" w:rsidRPr="00AE49C8">
        <w:t>agreemen</w:t>
      </w:r>
      <w:r w:rsidRPr="00AE49C8">
        <w:t xml:space="preserve">t for the 'Recite Me' system.  The new system has </w:t>
      </w:r>
      <w:r w:rsidR="008E6F14">
        <w:t>the same functionality as the previous one</w:t>
      </w:r>
      <w:r w:rsidR="00206294" w:rsidRPr="00AE49C8">
        <w:t>, adding</w:t>
      </w:r>
      <w:r w:rsidRPr="00AE49C8">
        <w:t xml:space="preserve"> some important additional functions.  These functions </w:t>
      </w:r>
      <w:r w:rsidR="00206294" w:rsidRPr="00AE49C8">
        <w:t>benefit people with sensory impairments and help</w:t>
      </w:r>
      <w:r w:rsidRPr="00AE49C8">
        <w:t xml:space="preserve"> people with learning disabilities/difficulties and overseas language speakers.</w:t>
      </w:r>
    </w:p>
    <w:p w:rsidR="00793954" w:rsidRPr="00AE49C8" w:rsidRDefault="00793954" w:rsidP="00FF4255">
      <w:r w:rsidRPr="00AE49C8">
        <w:t>You can find further information about the Recite Me website accessibility tool in the accessibility section of the Trust websites.</w:t>
      </w:r>
    </w:p>
    <w:p w:rsidR="00FF4255" w:rsidRPr="00AE49C8" w:rsidRDefault="00FF4255" w:rsidP="00206294">
      <w:pPr>
        <w:rPr>
          <w:b/>
        </w:rPr>
      </w:pPr>
      <w:r w:rsidRPr="00AE49C8">
        <w:br/>
      </w:r>
      <w:r w:rsidRPr="00AE49C8">
        <w:rPr>
          <w:b/>
        </w:rPr>
        <w:t xml:space="preserve">Overseas and Communication Support </w:t>
      </w:r>
    </w:p>
    <w:p w:rsidR="00FF4255" w:rsidRPr="00AE49C8" w:rsidRDefault="00FF4255" w:rsidP="00FF4255">
      <w:r w:rsidRPr="00AE49C8">
        <w:t xml:space="preserve">The Trust undertook a nine-month procurement process with other NHS partners in the local area.  The NHS partners procured a range of overseas and communication support services that will meet the needs of the local population.  Undertaking this process as a group enables the Trust to secure high-quality services and solutions whilst enjoying the benefits of economy of scale.  </w:t>
      </w:r>
    </w:p>
    <w:p w:rsidR="00FF4255" w:rsidRPr="00AE49C8" w:rsidRDefault="00FF4255" w:rsidP="00FF4255">
      <w:r w:rsidRPr="00AE49C8">
        <w:t>The contracts went live in July 2018</w:t>
      </w:r>
      <w:r w:rsidR="00542910" w:rsidRPr="00AE49C8">
        <w:t>;</w:t>
      </w:r>
      <w:r w:rsidRPr="00AE49C8">
        <w:t xml:space="preserve"> the providers under this citywide agreement are:</w:t>
      </w:r>
    </w:p>
    <w:p w:rsidR="00FF4255" w:rsidRPr="00AE49C8" w:rsidRDefault="00FF4255" w:rsidP="00FF4255">
      <w:pPr>
        <w:pStyle w:val="ListParagraph"/>
        <w:numPr>
          <w:ilvl w:val="0"/>
          <w:numId w:val="9"/>
        </w:numPr>
      </w:pPr>
      <w:r w:rsidRPr="00AE49C8">
        <w:t>Action Deafness – British Sign Language and all other communication Support</w:t>
      </w:r>
    </w:p>
    <w:p w:rsidR="00FF4255" w:rsidRPr="00AE49C8" w:rsidRDefault="00FF4255" w:rsidP="00FF4255">
      <w:pPr>
        <w:pStyle w:val="ListParagraph"/>
        <w:numPr>
          <w:ilvl w:val="0"/>
          <w:numId w:val="9"/>
        </w:numPr>
      </w:pPr>
      <w:r w:rsidRPr="00AE49C8">
        <w:t>Language Line – Telephone Interpreting and all translation support</w:t>
      </w:r>
    </w:p>
    <w:p w:rsidR="00FF4255" w:rsidRPr="00AE49C8" w:rsidRDefault="00FF4255" w:rsidP="00FF4255">
      <w:pPr>
        <w:pStyle w:val="ListParagraph"/>
        <w:numPr>
          <w:ilvl w:val="0"/>
          <w:numId w:val="9"/>
        </w:numPr>
      </w:pPr>
      <w:r w:rsidRPr="00AE49C8">
        <w:t>Sussex Interpreting Services – Face-to-face overseas interpreting</w:t>
      </w:r>
    </w:p>
    <w:p w:rsidR="00FF4255" w:rsidRPr="00AE49C8" w:rsidRDefault="00FF4255" w:rsidP="00FF4255">
      <w:pPr>
        <w:pStyle w:val="ListParagraph"/>
        <w:numPr>
          <w:ilvl w:val="0"/>
          <w:numId w:val="9"/>
        </w:numPr>
      </w:pPr>
      <w:r w:rsidRPr="00AE49C8">
        <w:t>Vandu Language Services – Face-to-face overseas interpreting</w:t>
      </w:r>
    </w:p>
    <w:p w:rsidR="00FF4255" w:rsidRPr="00AE49C8" w:rsidRDefault="00FF4255" w:rsidP="00FF4255">
      <w:r w:rsidRPr="00AE49C8">
        <w:t>From March 2020</w:t>
      </w:r>
      <w:r w:rsidR="00542910" w:rsidRPr="00AE49C8">
        <w:t>,</w:t>
      </w:r>
      <w:r w:rsidRPr="00AE49C8">
        <w:t xml:space="preserve"> the Trust went live with SignLive British Sig</w:t>
      </w:r>
      <w:r w:rsidR="00542910" w:rsidRPr="00AE49C8">
        <w:t>n Language remote services.  The service</w:t>
      </w:r>
      <w:r w:rsidRPr="00AE49C8">
        <w:t xml:space="preserve"> enables virtual interpreting using video conferencing and BSL users to contact the hospital via the switchboard (and departments) telephone (via an interpreter). During this period</w:t>
      </w:r>
      <w:r w:rsidR="00542910" w:rsidRPr="00AE49C8">
        <w:t>,</w:t>
      </w:r>
      <w:r w:rsidRPr="00AE49C8">
        <w:t xml:space="preserve"> Sussex Interpreting Services and Vandu expanded their services to include video conferencing, which the Trust has used to facilitate patient appointments.</w:t>
      </w:r>
    </w:p>
    <w:p w:rsidR="00FF4255" w:rsidRPr="00AE49C8" w:rsidRDefault="00FF4255" w:rsidP="00FF4255">
      <w:r w:rsidRPr="00AE49C8">
        <w:t xml:space="preserve">The Inclusion team has undertaken some targeted engagement work with clinical divisions to provide ward/department based solutions to meet their patient's needs.  </w:t>
      </w:r>
      <w:r w:rsidRPr="00AE49C8">
        <w:lastRenderedPageBreak/>
        <w:t>This</w:t>
      </w:r>
      <w:r w:rsidR="00542910" w:rsidRPr="00AE49C8">
        <w:t xml:space="preserve"> engagement</w:t>
      </w:r>
      <w:r w:rsidRPr="00AE49C8">
        <w:t xml:space="preserve"> includes </w:t>
      </w:r>
      <w:r w:rsidR="008E6F14">
        <w:t>producing</w:t>
      </w:r>
      <w:r w:rsidRPr="00AE49C8">
        <w:t xml:space="preserve"> patient information, graphical tools and equipment to aid clear communication.</w:t>
      </w:r>
    </w:p>
    <w:p w:rsidR="00E23B3B" w:rsidRPr="00AE49C8" w:rsidRDefault="00E23B3B" w:rsidP="00FF4255">
      <w:r w:rsidRPr="00AE49C8">
        <w:t>The Trusts are in the process of commissioning a system called Cardmedic. Cardmedic is a system developed with colleagues across BSUH and Western and led by Rachel Grimaldi. It has been</w:t>
      </w:r>
      <w:r w:rsidR="001949D0" w:rsidRPr="00AE49C8">
        <w:t xml:space="preserve"> designed to translate</w:t>
      </w:r>
      <w:r w:rsidRPr="00AE49C8">
        <w:t xml:space="preserve"> medical information and questions into multiple languages to share information with patients and involve them in their care.  The system is available on a tablet or phone. Cardmedic is continuously updated to include many medical procedures and modes of communication (language and formats).  The system has proved so successful that it is now becoming available to other organisations.</w:t>
      </w:r>
    </w:p>
    <w:p w:rsidR="00EE2524" w:rsidRPr="00AE49C8" w:rsidRDefault="00EE2524" w:rsidP="00FF4255">
      <w:r w:rsidRPr="00AE49C8">
        <w:t xml:space="preserve">Across both Trusts, electronic tablets and mobile phones were purchased through charitable funding to support patients in contacting their families when visiting was restricted or challenging during the pandemic.  These devices enabled a wide range of contact and communication support. The tablets were also used to install remote interpretation services, some with transcription services; this boosted access to one of our vaccination hubs where </w:t>
      </w:r>
      <w:r w:rsidR="00393800" w:rsidRPr="00AE49C8">
        <w:t xml:space="preserve">remote BSL interpretation </w:t>
      </w:r>
      <w:r w:rsidRPr="00AE49C8">
        <w:t>was needed.</w:t>
      </w:r>
    </w:p>
    <w:p w:rsidR="00393800" w:rsidRPr="00AE49C8" w:rsidRDefault="00393800" w:rsidP="00FF4255">
      <w:r w:rsidRPr="00AE49C8">
        <w:t>At WSHT, through engagement with the Love Your Hospital charity, clinicians on ITU undertook a project to purchase in-ear headphones for use with electronic tablets and mobile phones. The headphones help support patients wearing C-PAT hoods for their treatment which are noisy and difficult to hear clearly.  The use of the in-ear headphone meant that background noise was reduced, and communication with clinical colleagues and others became clearer.</w:t>
      </w:r>
    </w:p>
    <w:p w:rsidR="001949D0" w:rsidRPr="00AE49C8" w:rsidRDefault="001949D0" w:rsidP="00FF4255">
      <w:r w:rsidRPr="00AE49C8">
        <w:t xml:space="preserve">WSHT purchased ten listening devices; the devices are available from the PALS service (Chichester and Worthing) and can be used in clinics, wards and any location where a patient or relative with slight hearing loss may benefit from more precise communication. </w:t>
      </w:r>
      <w:r w:rsidR="007E749F" w:rsidRPr="00AE49C8">
        <w:t>These devices help amplify sounds and allow for a clearer conversation without the need for voices or speech to be raised. The devices are beneficial when additional PPE may add to difficulties in communication</w:t>
      </w:r>
      <w:r w:rsidRPr="00AE49C8">
        <w:t>. BSUH distributed these types of devices previously to wards and departments on a request basis.</w:t>
      </w:r>
    </w:p>
    <w:p w:rsidR="005B30BC" w:rsidRPr="00AE49C8" w:rsidRDefault="006A1C32" w:rsidP="005B30BC">
      <w:pPr>
        <w:pStyle w:val="Heading2"/>
        <w:rPr>
          <w:rFonts w:cs="Arial"/>
        </w:rPr>
      </w:pPr>
      <w:bookmarkStart w:id="18" w:name="_Toc88633965"/>
      <w:r w:rsidRPr="00AE49C8">
        <w:rPr>
          <w:rFonts w:cs="Arial"/>
        </w:rPr>
        <w:t xml:space="preserve">Engagement with </w:t>
      </w:r>
      <w:r w:rsidR="005B30BC" w:rsidRPr="00AE49C8">
        <w:rPr>
          <w:rFonts w:cs="Arial"/>
        </w:rPr>
        <w:t>Patient Experience</w:t>
      </w:r>
      <w:bookmarkEnd w:id="18"/>
    </w:p>
    <w:p w:rsidR="006A1C32" w:rsidRPr="00AE49C8" w:rsidRDefault="006A1C32" w:rsidP="006A1C32">
      <w:r w:rsidRPr="00AE49C8">
        <w:t xml:space="preserve">The Patient Experience Team (including the PALS and Complaints teams) undertake a wide range of activities to understand patients' experience while using hospital services and engage with those who interact with our services.  There is always a strong focus </w:t>
      </w:r>
      <w:r w:rsidR="008E6F14">
        <w:t>on improving</w:t>
      </w:r>
      <w:r w:rsidRPr="00AE49C8">
        <w:t xml:space="preserve"> patient experience by working with feedback and departments.</w:t>
      </w:r>
    </w:p>
    <w:p w:rsidR="006A1C32" w:rsidRPr="00AE49C8" w:rsidRDefault="006A1C32" w:rsidP="006A1C32">
      <w:r w:rsidRPr="00AE49C8">
        <w:t>During the pandemic, there was a need to change the focus from responding to patient feedback to actively creating positive experiences. So examples of this work include:</w:t>
      </w:r>
    </w:p>
    <w:p w:rsidR="005B30BC" w:rsidRPr="00AE49C8" w:rsidRDefault="006A1C32" w:rsidP="006A1C32">
      <w:pPr>
        <w:pStyle w:val="ListParagraph"/>
      </w:pPr>
      <w:r w:rsidRPr="00AE49C8">
        <w:lastRenderedPageBreak/>
        <w:t>Facilitating communications between patient and their families when there were strict visiting restrictions. The Team provided patients without a means to communicate with their family access to a mobile phone with Skype and Facetime</w:t>
      </w:r>
    </w:p>
    <w:p w:rsidR="006A1C32" w:rsidRPr="00AE49C8" w:rsidRDefault="006A1C32" w:rsidP="006A1C32">
      <w:pPr>
        <w:pStyle w:val="ListParagraph"/>
      </w:pPr>
      <w:r w:rsidRPr="00AE49C8">
        <w:t>Heart for the dying and the bereaved – providing matching pairs of handmade hearts to be shared between dying patients and loved ones</w:t>
      </w:r>
    </w:p>
    <w:p w:rsidR="006A1C32" w:rsidRPr="00AE49C8" w:rsidRDefault="006A1C32" w:rsidP="006A1C32">
      <w:pPr>
        <w:pStyle w:val="ListParagraph"/>
      </w:pPr>
      <w:r w:rsidRPr="00AE49C8">
        <w:t>Letters</w:t>
      </w:r>
      <w:r w:rsidR="005045DE" w:rsidRPr="00AE49C8">
        <w:t>/messages</w:t>
      </w:r>
      <w:r w:rsidRPr="00AE49C8">
        <w:t xml:space="preserve"> to loved ones – relatives and friends unable to visit could write to or call the PALS team; the team would print or transcribe the message and ensure that quick and safe delivery to the patient</w:t>
      </w:r>
    </w:p>
    <w:p w:rsidR="006A1C32" w:rsidRPr="00AE49C8" w:rsidRDefault="006A1C32" w:rsidP="006A1C32">
      <w:pPr>
        <w:pStyle w:val="ListParagraph"/>
      </w:pPr>
      <w:r w:rsidRPr="00AE49C8">
        <w:t xml:space="preserve">The NHS Complaints process was suspended in April </w:t>
      </w:r>
      <w:r w:rsidR="008E6F14" w:rsidRPr="00AE49C8">
        <w:t>2020;</w:t>
      </w:r>
      <w:r w:rsidRPr="00AE49C8">
        <w:t xml:space="preserve"> the PALS and Complaints teams were redeployed to departments.  The redeployed staff worked in various areas and used their skills and experience to support communicatio</w:t>
      </w:r>
      <w:r w:rsidR="005045DE" w:rsidRPr="00AE49C8">
        <w:t>ns with patients and loved ones.</w:t>
      </w:r>
    </w:p>
    <w:p w:rsidR="005045DE" w:rsidRPr="00AE49C8" w:rsidRDefault="005045DE" w:rsidP="006A1C32">
      <w:pPr>
        <w:pStyle w:val="ListParagraph"/>
      </w:pPr>
      <w:r w:rsidRPr="00AE49C8">
        <w:t>‘Thinking of you’ messages – many local schools and parish groups in West Sussex have written in to support and lift the spirits of patients who were more isolated by sending in messages or drawings</w:t>
      </w:r>
    </w:p>
    <w:p w:rsidR="00705357" w:rsidRPr="00AE49C8" w:rsidRDefault="00705357" w:rsidP="00705357">
      <w:r w:rsidRPr="00AE49C8">
        <w:t>Other activities undertaken to support patients include:</w:t>
      </w:r>
    </w:p>
    <w:p w:rsidR="00705357" w:rsidRPr="00AE49C8" w:rsidRDefault="00705357" w:rsidP="00705357">
      <w:pPr>
        <w:pStyle w:val="ListParagraph"/>
      </w:pPr>
      <w:r w:rsidRPr="00AE49C8">
        <w:t>Using patient feedback to identify learning opportunities throughout the organisation and divisional teams</w:t>
      </w:r>
    </w:p>
    <w:p w:rsidR="00705357" w:rsidRPr="00AE49C8" w:rsidRDefault="00705357" w:rsidP="00705357">
      <w:pPr>
        <w:pStyle w:val="ListParagraph"/>
      </w:pPr>
      <w:r w:rsidRPr="00AE49C8">
        <w:t>Promoting action on feedback using 'You said, we did…' boards</w:t>
      </w:r>
    </w:p>
    <w:p w:rsidR="00705357" w:rsidRPr="00AE49C8" w:rsidRDefault="00705357" w:rsidP="00705357">
      <w:pPr>
        <w:pStyle w:val="ListParagraph"/>
      </w:pPr>
      <w:r w:rsidRPr="00AE49C8">
        <w:t>Collating plaudits (positive feedback) from patients, relatives, etc. and sharing with relevant teams and individuals.  In 2020/21</w:t>
      </w:r>
      <w:r w:rsidR="00A830A0" w:rsidRPr="00AE49C8">
        <w:t>,</w:t>
      </w:r>
      <w:r w:rsidRPr="00AE49C8">
        <w:t xml:space="preserve"> there were 1,210 plaudits received</w:t>
      </w:r>
      <w:r w:rsidR="00A830A0" w:rsidRPr="00AE49C8">
        <w:t xml:space="preserve"> in BSUH and 839 in WSHT.</w:t>
      </w:r>
    </w:p>
    <w:p w:rsidR="00705357" w:rsidRPr="00AE49C8" w:rsidRDefault="00705357" w:rsidP="00705357">
      <w:pPr>
        <w:pStyle w:val="ListParagraph"/>
      </w:pPr>
      <w:r w:rsidRPr="00AE49C8">
        <w:t>Run the Patient Experience and Engagement Quality Management Groups (PEEG) from this group; there is a clear escalation to Quality Assurance Committee if it is needed</w:t>
      </w:r>
    </w:p>
    <w:p w:rsidR="00705357" w:rsidRPr="00AE49C8" w:rsidRDefault="00705357" w:rsidP="00705357">
      <w:pPr>
        <w:pStyle w:val="ListParagraph"/>
      </w:pPr>
      <w:r w:rsidRPr="00AE49C8">
        <w:t>The Chief Nurse is the Executive Lead for Patient Experience</w:t>
      </w:r>
    </w:p>
    <w:p w:rsidR="00705357" w:rsidRPr="00AE49C8" w:rsidRDefault="00705357" w:rsidP="00705357">
      <w:pPr>
        <w:pStyle w:val="ListParagraph"/>
      </w:pPr>
      <w:r w:rsidRPr="00AE49C8">
        <w:t>Monitor patient satisfaction through the Friends and Family Test (FFT)</w:t>
      </w:r>
    </w:p>
    <w:p w:rsidR="00705357" w:rsidRPr="00AE49C8" w:rsidRDefault="00705357" w:rsidP="00705357">
      <w:pPr>
        <w:pStyle w:val="ListParagraph"/>
      </w:pPr>
      <w:r w:rsidRPr="00AE49C8">
        <w:t>Support and analyse the National Patient Surveys within the Trust</w:t>
      </w:r>
    </w:p>
    <w:p w:rsidR="00705357" w:rsidRPr="00AE49C8" w:rsidRDefault="00705357" w:rsidP="00705357">
      <w:pPr>
        <w:pStyle w:val="ListParagraph"/>
      </w:pPr>
      <w:r w:rsidRPr="00AE49C8">
        <w:t>Engagement activity, e.g. supporting the 3Ts (Trust redevelopment) wayfinding focus groups and engagement event; that was attended by 50 members of the public, Healthwatch, Clinical Commissioning Groups (CCG) and Possibility People</w:t>
      </w:r>
    </w:p>
    <w:p w:rsidR="00705357" w:rsidRPr="00AE49C8" w:rsidRDefault="00705357" w:rsidP="00705357">
      <w:pPr>
        <w:pStyle w:val="ListParagraph"/>
      </w:pPr>
      <w:r w:rsidRPr="00AE49C8">
        <w:t>Strengthening partnership with commissioners, NHS providers, local authorities and community and voluntary sector to improve coordinated care and communication across the Sussex Integrated Care System</w:t>
      </w:r>
    </w:p>
    <w:p w:rsidR="00A830A0" w:rsidRPr="00AE49C8" w:rsidRDefault="00A830A0" w:rsidP="00705357">
      <w:pPr>
        <w:pStyle w:val="ListParagraph"/>
      </w:pPr>
      <w:r w:rsidRPr="00AE49C8">
        <w:t>The WSHT Patient Experience Team is taking specific action relating to a Healthwatch report detailing the experiences of nearly 600 patients, carers and staff about hospital discharge during the pandemic.</w:t>
      </w:r>
    </w:p>
    <w:p w:rsidR="00705357" w:rsidRDefault="00705357" w:rsidP="00705357">
      <w:pPr>
        <w:pStyle w:val="ListParagraph"/>
      </w:pPr>
      <w:r w:rsidRPr="00AE49C8">
        <w:t xml:space="preserve">During 2020/21, the </w:t>
      </w:r>
      <w:r w:rsidR="005045DE" w:rsidRPr="00AE49C8">
        <w:t xml:space="preserve">BSUH </w:t>
      </w:r>
      <w:r w:rsidRPr="00AE49C8">
        <w:t>received 2,371 informal and 2,004 formal concerns, which were either resolved immediately or progressed to be investigated.</w:t>
      </w:r>
      <w:r w:rsidR="00A830A0" w:rsidRPr="00AE49C8">
        <w:t xml:space="preserve">  In WSHT, 373 formal complaints were received; recording of </w:t>
      </w:r>
      <w:r w:rsidR="00A830A0" w:rsidRPr="00AE49C8">
        <w:lastRenderedPageBreak/>
        <w:t>informal enquires was suspended to enable more focus on themes emerging from patient concerns.</w:t>
      </w:r>
    </w:p>
    <w:p w:rsidR="00C92A79" w:rsidRPr="00AE49C8" w:rsidRDefault="00DA4FEA" w:rsidP="00C92A79">
      <w:pPr>
        <w:jc w:val="center"/>
      </w:pPr>
      <w:r>
        <w:rPr>
          <w:noProof/>
          <w:lang w:eastAsia="en-GB"/>
        </w:rPr>
        <w:drawing>
          <wp:inline distT="0" distB="0" distL="0" distR="0">
            <wp:extent cx="3480993" cy="3538457"/>
            <wp:effectExtent l="0" t="0" r="5715" b="5080"/>
            <wp:docPr id="265" name="Picture 265" title="Celebrations for Worthing Pride 2020 with CEO Dame Marianne Griffiths and Gl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ne and Glew 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77587" cy="3534995"/>
                    </a:xfrm>
                    <a:prstGeom prst="rect">
                      <a:avLst/>
                    </a:prstGeom>
                  </pic:spPr>
                </pic:pic>
              </a:graphicData>
            </a:graphic>
          </wp:inline>
        </w:drawing>
      </w:r>
    </w:p>
    <w:p w:rsidR="005B30BC" w:rsidRPr="00AE49C8" w:rsidRDefault="005B30BC" w:rsidP="005B30BC">
      <w:pPr>
        <w:pStyle w:val="Heading2"/>
        <w:rPr>
          <w:rFonts w:cs="Arial"/>
        </w:rPr>
      </w:pPr>
      <w:bookmarkStart w:id="19" w:name="_Toc88633966"/>
      <w:r w:rsidRPr="00AE49C8">
        <w:rPr>
          <w:rFonts w:cs="Arial"/>
        </w:rPr>
        <w:t>The Learning Disability Liaison Team (LDLT)</w:t>
      </w:r>
      <w:bookmarkEnd w:id="19"/>
    </w:p>
    <w:p w:rsidR="005B30BC" w:rsidRPr="00AE49C8" w:rsidRDefault="005B30BC" w:rsidP="005B30BC">
      <w:r w:rsidRPr="00AE49C8">
        <w:t>The LDLT provides specialist nursing guidance and advice to people with learning disabilities and their families and staff.  The team help with planned and emergency admissions, outpatient appointments and hospital discharge.</w:t>
      </w:r>
    </w:p>
    <w:p w:rsidR="005B30BC" w:rsidRPr="00AE49C8" w:rsidRDefault="005B30BC" w:rsidP="005B30BC">
      <w:r w:rsidRPr="00AE49C8">
        <w:t>The teamwork with hospital staff to ensure that the healthcare that they deliver is person-centred by:</w:t>
      </w:r>
    </w:p>
    <w:p w:rsidR="005B30BC" w:rsidRPr="00AE49C8" w:rsidRDefault="005B30BC" w:rsidP="005B30BC">
      <w:pPr>
        <w:pStyle w:val="ListParagraph"/>
      </w:pPr>
      <w:r w:rsidRPr="00AE49C8">
        <w:t>aiding and teaching communication skills using specialist techniques or tools</w:t>
      </w:r>
    </w:p>
    <w:p w:rsidR="005B30BC" w:rsidRPr="00AE49C8" w:rsidRDefault="005B30BC" w:rsidP="005B30BC">
      <w:pPr>
        <w:pStyle w:val="ListParagraph"/>
      </w:pPr>
      <w:r w:rsidRPr="00AE49C8">
        <w:t>help staff understand the patient's needs and preferences</w:t>
      </w:r>
    </w:p>
    <w:p w:rsidR="005B30BC" w:rsidRPr="00AE49C8" w:rsidRDefault="005B30BC" w:rsidP="005B30BC">
      <w:pPr>
        <w:pStyle w:val="ListParagraph"/>
      </w:pPr>
      <w:r w:rsidRPr="00AE49C8">
        <w:t>look at reasonable adjustments within the environment,  treatment plans or timing of appointments</w:t>
      </w:r>
    </w:p>
    <w:p w:rsidR="005B30BC" w:rsidRPr="00AE49C8" w:rsidRDefault="005B30BC" w:rsidP="005B30BC">
      <w:pPr>
        <w:pStyle w:val="ListParagraph"/>
      </w:pPr>
      <w:r w:rsidRPr="00AE49C8">
        <w:t>for patients that have capacity, the team ensure the patient understands planned treatment, expectations of them for their treatment/care plan and consent</w:t>
      </w:r>
    </w:p>
    <w:p w:rsidR="005B30BC" w:rsidRPr="00AE49C8" w:rsidRDefault="005B30BC" w:rsidP="005B30BC">
      <w:pPr>
        <w:pStyle w:val="ListParagraph"/>
      </w:pPr>
      <w:r w:rsidRPr="00AE49C8">
        <w:t>advocate for patients and  their carers or family</w:t>
      </w:r>
    </w:p>
    <w:p w:rsidR="005B30BC" w:rsidRPr="00AE49C8" w:rsidRDefault="005B30BC" w:rsidP="005B30BC">
      <w:pPr>
        <w:pStyle w:val="ListParagraph"/>
      </w:pPr>
      <w:r w:rsidRPr="00AE49C8">
        <w:t>help coordinate treatment and ongoing care</w:t>
      </w:r>
    </w:p>
    <w:p w:rsidR="005B30BC" w:rsidRPr="00AE49C8" w:rsidRDefault="005B30BC" w:rsidP="005B30BC">
      <w:pPr>
        <w:pStyle w:val="ListParagraph"/>
      </w:pPr>
      <w:r w:rsidRPr="00AE49C8">
        <w:t>provide reassurance to the patient and their family or carers</w:t>
      </w:r>
    </w:p>
    <w:p w:rsidR="005B30BC" w:rsidRPr="00AE49C8" w:rsidRDefault="005B30BC" w:rsidP="005B30BC">
      <w:pPr>
        <w:pStyle w:val="ListParagraph"/>
      </w:pPr>
      <w:r w:rsidRPr="00AE49C8">
        <w:t>promote the use of the 'Hospital Passport' and 'Hospital Communication Book' where appropriate.</w:t>
      </w:r>
    </w:p>
    <w:p w:rsidR="005B30BC" w:rsidRPr="00AE49C8" w:rsidRDefault="005B30BC" w:rsidP="005B30BC">
      <w:r w:rsidRPr="00AE49C8">
        <w:t>In addition to ward-based work, the LDLT can also educate staff to help raise the standards for patients with learning disabilities in Trust premises.</w:t>
      </w:r>
    </w:p>
    <w:p w:rsidR="005B30BC" w:rsidRPr="00AE49C8" w:rsidRDefault="005B30BC" w:rsidP="005B30BC">
      <w:r w:rsidRPr="00AE49C8">
        <w:lastRenderedPageBreak/>
        <w:t xml:space="preserve">The LDLT can be contacted by telephoning 01273 664975 or by email </w:t>
      </w:r>
      <w:hyperlink r:id="rId32" w:history="1">
        <w:r w:rsidRPr="00AE49C8">
          <w:rPr>
            <w:rStyle w:val="Hyperlink"/>
          </w:rPr>
          <w:t>LDLTreferral@sussexpartnership.nhs.uk</w:t>
        </w:r>
      </w:hyperlink>
      <w:r w:rsidR="00583EC6" w:rsidRPr="00AE49C8">
        <w:t xml:space="preserve"> (BSUH) or telephoning 07785 516155 (Worthing Hospital) or 07901520940 (St. Richard's Hospital, Chichester).</w:t>
      </w:r>
    </w:p>
    <w:p w:rsidR="004F0110" w:rsidRPr="00AE49C8" w:rsidRDefault="004F0110" w:rsidP="008A7616">
      <w:pPr>
        <w:pStyle w:val="Heading2"/>
        <w:rPr>
          <w:rFonts w:cs="Arial"/>
        </w:rPr>
      </w:pPr>
      <w:bookmarkStart w:id="20" w:name="_Toc88633967"/>
      <w:r w:rsidRPr="00AE49C8">
        <w:rPr>
          <w:rFonts w:cs="Arial"/>
        </w:rPr>
        <w:t>Changing Places</w:t>
      </w:r>
      <w:bookmarkEnd w:id="20"/>
    </w:p>
    <w:p w:rsidR="004F0110" w:rsidRPr="00AE49C8" w:rsidRDefault="004F0110" w:rsidP="004F0110">
      <w:r w:rsidRPr="00AE49C8">
        <w:t>The Trust continues to provide Changing Places facilities, with the venue at Southlands Hospital open and being used; the facility at Worthing Hospital will open soon.  The new 3Ts (redevelopment) facility at the Royal Sussex County Hospital will also have a Changing places facility as part of its design.</w:t>
      </w:r>
    </w:p>
    <w:p w:rsidR="004F0110" w:rsidRPr="00AE49C8" w:rsidRDefault="004F0110" w:rsidP="004F0110">
      <w:r w:rsidRPr="00AE49C8">
        <w:t>A Changing Places can help and promote independence for people with profound and multiple learning disabilities or physical disabilities such as spinal injuries, muscular dystrophy and multiple sclerosis.  These groups often need extra equipment and space to use the toilets safely and comfortably.</w:t>
      </w:r>
    </w:p>
    <w:p w:rsidR="001949D0" w:rsidRPr="00AE49C8" w:rsidRDefault="001949D0" w:rsidP="001949D0">
      <w:pPr>
        <w:pStyle w:val="Heading2"/>
        <w:rPr>
          <w:rFonts w:cs="Arial"/>
        </w:rPr>
      </w:pPr>
      <w:bookmarkStart w:id="21" w:name="_Toc88633968"/>
      <w:r w:rsidRPr="00AE49C8">
        <w:rPr>
          <w:rFonts w:cs="Arial"/>
        </w:rPr>
        <w:t>Going home packs for vulnerable patients</w:t>
      </w:r>
      <w:bookmarkEnd w:id="21"/>
    </w:p>
    <w:p w:rsidR="001949D0" w:rsidRPr="00AE49C8" w:rsidRDefault="001949D0" w:rsidP="001949D0">
      <w:r w:rsidRPr="00AE49C8">
        <w:t xml:space="preserve">The Hospital Charity funded going home packs for patients who are leaving the hospital and are vulnerable.  The patients could be returning to their homes without anyone to buy initial food supplies (e.g. milk, bread, etc.). The catering teams have been putting together a 'Going Home Pack' containing these essential food items for patients to take home.  Wards can request a pack for their patients; the pack is given to the patient on discharge.  The scheme has been </w:t>
      </w:r>
      <w:r w:rsidR="00DC6594" w:rsidRPr="00AE49C8">
        <w:t>signific</w:t>
      </w:r>
      <w:r w:rsidRPr="00AE49C8">
        <w:t>ant during the pandemic where it might have been more difficult for someone else to do that first amount of shopping.</w:t>
      </w:r>
    </w:p>
    <w:p w:rsidR="007364D0" w:rsidRPr="00AE49C8" w:rsidRDefault="007364D0" w:rsidP="007364D0">
      <w:pPr>
        <w:pStyle w:val="Heading2"/>
        <w:rPr>
          <w:rFonts w:cs="Arial"/>
        </w:rPr>
      </w:pPr>
      <w:bookmarkStart w:id="22" w:name="_Toc88633969"/>
      <w:r w:rsidRPr="00AE49C8">
        <w:rPr>
          <w:rFonts w:cs="Arial"/>
        </w:rPr>
        <w:t>Pin badges for baby loss awareness</w:t>
      </w:r>
      <w:bookmarkEnd w:id="22"/>
    </w:p>
    <w:p w:rsidR="007364D0" w:rsidRPr="00AE49C8" w:rsidRDefault="007364D0" w:rsidP="007364D0">
      <w:r w:rsidRPr="00AE49C8">
        <w:t>Each year as part of Baby Loss Awareness Week, WSHT holds a remembrance service to allow parents a chance to come together.  Due to the restrictions of COVID, it was not possible to do this.  So the team who support awareness week approached the Love Your Hospital Charity and arranged for Baby Loss awareness pin badges to be sent to parent</w:t>
      </w:r>
      <w:r w:rsidR="008E6F14">
        <w:t>s</w:t>
      </w:r>
      <w:r w:rsidRPr="00AE49C8">
        <w:t xml:space="preserve"> as a way of showing that the team was thinking of them and that they continued to be there to offer support.</w:t>
      </w:r>
    </w:p>
    <w:p w:rsidR="008A7616" w:rsidRPr="00AE49C8" w:rsidRDefault="008A7616" w:rsidP="008A7616">
      <w:pPr>
        <w:pStyle w:val="Heading2"/>
        <w:rPr>
          <w:rFonts w:cs="Arial"/>
        </w:rPr>
      </w:pPr>
      <w:bookmarkStart w:id="23" w:name="_Toc88633970"/>
      <w:r w:rsidRPr="00AE49C8">
        <w:rPr>
          <w:rFonts w:cs="Arial"/>
        </w:rPr>
        <w:t>Freedom to Speak Up Guardian</w:t>
      </w:r>
      <w:bookmarkEnd w:id="23"/>
    </w:p>
    <w:p w:rsidR="008A7616" w:rsidRPr="00AE49C8" w:rsidRDefault="008A7616" w:rsidP="008A7616">
      <w:r w:rsidRPr="00AE49C8">
        <w:t>The Freedom to Speak Up Guardian is here to provide support and advice to staff if they are worried about something they think may affect the quality or safety of patient care or is a risk to our Trust.  The Freedom to Speak Up Guardian provides advice on how to raise concerns effectively and guidance on how the Raising Concerns Policy and process works.</w:t>
      </w:r>
    </w:p>
    <w:p w:rsidR="005B30BC" w:rsidRPr="00AE49C8" w:rsidRDefault="008A7616" w:rsidP="008A7616">
      <w:r w:rsidRPr="00AE49C8">
        <w:t>The Freedom to Speak Up Guardian works alongside trust leadership teams to support the organisation in becoming a more open and transparent workplace where all staff are actively encouraged and enabled to speak up safely.</w:t>
      </w:r>
    </w:p>
    <w:p w:rsidR="008A7616" w:rsidRPr="00AE49C8" w:rsidRDefault="008A7616" w:rsidP="008A7616">
      <w:pPr>
        <w:pStyle w:val="Heading2"/>
        <w:rPr>
          <w:rFonts w:cs="Arial"/>
        </w:rPr>
      </w:pPr>
      <w:bookmarkStart w:id="24" w:name="_Toc88633971"/>
      <w:r w:rsidRPr="00AE49C8">
        <w:rPr>
          <w:rFonts w:cs="Arial"/>
        </w:rPr>
        <w:lastRenderedPageBreak/>
        <w:t>HELP Service – Health, Employee, Learning and Psychotherapy</w:t>
      </w:r>
      <w:bookmarkEnd w:id="24"/>
    </w:p>
    <w:p w:rsidR="00413964" w:rsidRPr="00AE49C8" w:rsidRDefault="00413964" w:rsidP="00413964">
      <w:r w:rsidRPr="00AE49C8">
        <w:t>The HELP service provides staff with confidential support, counselling and psychotherapy for a range of issues: work-related concerns, stress management to relational issues, employment difficulties or following critical/ traumatic events, to personal issues affecting the individual staff member.  HELP also provides specialist EMDR (Eye Movement Desensitisation and Reprocessing) trauma therapy for staff with stressful or traumatic experiences.  HELP also delivers Mental Health Awareness Training and HOT Debrief Training to Managers and staff.</w:t>
      </w:r>
    </w:p>
    <w:p w:rsidR="00413964" w:rsidRPr="00AE49C8" w:rsidRDefault="00413964" w:rsidP="00413964">
      <w:pPr>
        <w:rPr>
          <w:highlight w:val="yellow"/>
        </w:rPr>
      </w:pPr>
    </w:p>
    <w:p w:rsidR="00413964" w:rsidRPr="00AE49C8" w:rsidRDefault="00413964" w:rsidP="00413964">
      <w:r w:rsidRPr="00AE49C8">
        <w:t>During 2019/20, the service undertook the following activities to help support staff:</w:t>
      </w:r>
    </w:p>
    <w:p w:rsidR="00413964" w:rsidRPr="00AE49C8" w:rsidRDefault="00413964" w:rsidP="00413964">
      <w:pPr>
        <w:pStyle w:val="ListParagraph"/>
      </w:pPr>
      <w:r w:rsidRPr="00AE49C8">
        <w:t>Supporting staff: 1-2-1 therapeutic support: face to face / on MST / phone sessions</w:t>
      </w:r>
    </w:p>
    <w:p w:rsidR="00413964" w:rsidRPr="00AE49C8" w:rsidRDefault="00413964" w:rsidP="00413964">
      <w:pPr>
        <w:pStyle w:val="ListParagraph"/>
      </w:pPr>
      <w:r w:rsidRPr="00AE49C8">
        <w:t xml:space="preserve">BAME COVID Debriefs – focused on supporting our BAME colleagues during the pandemic (the impact of COVID19 on BAME staff – reflecting on how the Trust supported staff, shared information specific to BAME staff, the difficulties of redeployment, shielding, lockdowns, isolation </w:t>
      </w:r>
    </w:p>
    <w:p w:rsidR="00413964" w:rsidRPr="00AE49C8" w:rsidRDefault="00413964" w:rsidP="00413964">
      <w:pPr>
        <w:pStyle w:val="ListParagraph"/>
      </w:pPr>
      <w:r w:rsidRPr="00AE49C8">
        <w:t>HELP promotes equality, diversity, and inclusion in its hosting and training honorary psychotherapists from University (on placement)</w:t>
      </w:r>
    </w:p>
    <w:p w:rsidR="00413964" w:rsidRPr="00AE49C8" w:rsidRDefault="00413964" w:rsidP="00413964">
      <w:pPr>
        <w:pStyle w:val="ListParagraph"/>
      </w:pPr>
      <w:r w:rsidRPr="00AE49C8">
        <w:t>HELP involved in SOAR (BAME) staff network – producing quarterly newsletter – via Victoria Fernandes and Glenn Roarke, Fadzai Fadairo, Babs Harris</w:t>
      </w:r>
    </w:p>
    <w:p w:rsidR="00413964" w:rsidRPr="00AE49C8" w:rsidRDefault="00413964" w:rsidP="00413964">
      <w:pPr>
        <w:pStyle w:val="ListParagraph"/>
      </w:pPr>
      <w:r w:rsidRPr="00AE49C8">
        <w:t>20 Debriefs around the Trust – a debrief is a way of providing emotional and psychological support to staff in a group setting, shortly after a traumatic or major incident</w:t>
      </w:r>
    </w:p>
    <w:p w:rsidR="00413964" w:rsidRPr="00AE49C8" w:rsidRDefault="00413964" w:rsidP="00413964">
      <w:pPr>
        <w:pStyle w:val="ListParagraph"/>
      </w:pPr>
      <w:r w:rsidRPr="00AE49C8">
        <w:t>Two hot debrief training sessions – this trains teams to perform a debrief when there is a traumatic or major incident</w:t>
      </w:r>
    </w:p>
    <w:p w:rsidR="00413964" w:rsidRPr="00AE49C8" w:rsidRDefault="00413964" w:rsidP="00413964">
      <w:pPr>
        <w:pStyle w:val="ListParagraph"/>
      </w:pPr>
      <w:r w:rsidRPr="00AE49C8">
        <w:t>Thirteen workshops - stress management and mindfulness workshops</w:t>
      </w:r>
    </w:p>
    <w:p w:rsidR="00413964" w:rsidRPr="00AE49C8" w:rsidRDefault="00413964" w:rsidP="00413964">
      <w:pPr>
        <w:pStyle w:val="ListParagraph"/>
      </w:pPr>
      <w:r w:rsidRPr="00AE49C8">
        <w:t>Mental Health Awareness training to improve knowledge and reduce stigma. The first pilot of this training has been completed, and a second pilot is planned.  This training will be available to all managers</w:t>
      </w:r>
    </w:p>
    <w:p w:rsidR="00413964" w:rsidRPr="00AE49C8" w:rsidRDefault="00413964" w:rsidP="00413964">
      <w:pPr>
        <w:pStyle w:val="ListParagraph"/>
      </w:pPr>
      <w:r w:rsidRPr="00AE49C8">
        <w:t xml:space="preserve">The HELP Service has involvement and engagement with WRES - Workforce Race Equality Standards and WDES Workforce Disability Equality Standards, Learning and Development and the LGBTQ+ Network and acts as organisational allies for these protected characteristics.  </w:t>
      </w:r>
    </w:p>
    <w:p w:rsidR="00413964" w:rsidRPr="00AE49C8" w:rsidRDefault="00413964" w:rsidP="00413964">
      <w:pPr>
        <w:pStyle w:val="ListParagraph"/>
      </w:pPr>
      <w:r w:rsidRPr="00AE49C8">
        <w:t>HELP Service recruitment and expansion has diversity awareness and inclusion at the forefront</w:t>
      </w:r>
    </w:p>
    <w:p w:rsidR="00413964" w:rsidRPr="00AE49C8" w:rsidRDefault="00413964" w:rsidP="00413964">
      <w:pPr>
        <w:pStyle w:val="ListParagraph"/>
      </w:pPr>
      <w:r w:rsidRPr="00AE49C8">
        <w:t>Mindfulness workshops delivered to teams within the Trust</w:t>
      </w:r>
    </w:p>
    <w:p w:rsidR="00413964" w:rsidRPr="00AE49C8" w:rsidRDefault="00413964" w:rsidP="00413964">
      <w:pPr>
        <w:pStyle w:val="ListParagraph"/>
      </w:pPr>
      <w:r w:rsidRPr="00AE49C8">
        <w:t xml:space="preserve">The service has developed several resources for staff, including managing anxiety, depression, grief and trauma </w:t>
      </w:r>
      <w:r w:rsidR="008E6F14" w:rsidRPr="00AE49C8">
        <w:t>hand-outs</w:t>
      </w:r>
    </w:p>
    <w:p w:rsidR="008A7616" w:rsidRPr="00AE49C8" w:rsidRDefault="00413964" w:rsidP="00413964">
      <w:pPr>
        <w:pStyle w:val="ListParagraph"/>
      </w:pPr>
      <w:r w:rsidRPr="00AE49C8">
        <w:t>Designed a community resource, with contact numbers, for staff who want to access BME/ BAME/ LGBTQ + and disability groups.</w:t>
      </w:r>
    </w:p>
    <w:p w:rsidR="00BC2B9E" w:rsidRPr="00AE49C8" w:rsidRDefault="00BC2B9E" w:rsidP="00E41E76">
      <w:pPr>
        <w:pStyle w:val="Heading2"/>
        <w:rPr>
          <w:rFonts w:cs="Arial"/>
        </w:rPr>
      </w:pPr>
      <w:bookmarkStart w:id="25" w:name="_Toc88633972"/>
      <w:r w:rsidRPr="00AE49C8">
        <w:rPr>
          <w:rFonts w:cs="Arial"/>
        </w:rPr>
        <w:lastRenderedPageBreak/>
        <w:t>Occupational Health Services</w:t>
      </w:r>
      <w:bookmarkEnd w:id="25"/>
    </w:p>
    <w:p w:rsidR="00BC2B9E" w:rsidRPr="00AE49C8" w:rsidRDefault="00BC2B9E" w:rsidP="00BC2B9E">
      <w:r w:rsidRPr="00AE49C8">
        <w:t>Occupational health services are available to all staff, but the delivery of the services are different in BSUH and WSHT.</w:t>
      </w:r>
    </w:p>
    <w:p w:rsidR="00BC2B9E" w:rsidRPr="00AE49C8" w:rsidRDefault="00BC2B9E" w:rsidP="00BC2B9E">
      <w:pPr>
        <w:rPr>
          <w:b/>
        </w:rPr>
      </w:pPr>
      <w:r w:rsidRPr="00AE49C8">
        <w:rPr>
          <w:b/>
        </w:rPr>
        <w:t>At BSUH:</w:t>
      </w:r>
    </w:p>
    <w:p w:rsidR="00BA1082" w:rsidRPr="00AE49C8" w:rsidRDefault="00BC2B9E" w:rsidP="00BC2B9E">
      <w:pPr>
        <w:pStyle w:val="Default"/>
        <w:rPr>
          <w:bCs/>
          <w:color w:val="auto"/>
          <w:szCs w:val="22"/>
        </w:rPr>
      </w:pPr>
      <w:r w:rsidRPr="00AE49C8">
        <w:rPr>
          <w:noProof/>
          <w:lang w:eastAsia="en-GB"/>
        </w:rPr>
        <w:drawing>
          <wp:inline distT="0" distB="0" distL="0" distR="0" wp14:anchorId="295ACD69" wp14:editId="1B870386">
            <wp:extent cx="2867025" cy="790575"/>
            <wp:effectExtent l="0" t="0" r="9525" b="9525"/>
            <wp:docPr id="39" name="Picture 39" title="Occupational Health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 Logo -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7025" cy="790575"/>
                    </a:xfrm>
                    <a:prstGeom prst="rect">
                      <a:avLst/>
                    </a:prstGeom>
                    <a:noFill/>
                    <a:ln>
                      <a:noFill/>
                    </a:ln>
                  </pic:spPr>
                </pic:pic>
              </a:graphicData>
            </a:graphic>
          </wp:inline>
        </w:drawing>
      </w:r>
    </w:p>
    <w:p w:rsidR="00BC2B9E" w:rsidRPr="00AE49C8" w:rsidRDefault="00BC2B9E" w:rsidP="00BC2B9E">
      <w:pPr>
        <w:pStyle w:val="Default"/>
        <w:rPr>
          <w:bCs/>
          <w:color w:val="auto"/>
          <w:szCs w:val="22"/>
        </w:rPr>
      </w:pPr>
      <w:r w:rsidRPr="00AE49C8">
        <w:rPr>
          <w:bCs/>
          <w:color w:val="auto"/>
          <w:szCs w:val="22"/>
        </w:rPr>
        <w:t xml:space="preserve">The </w:t>
      </w:r>
      <w:r w:rsidR="008E6F14" w:rsidRPr="00AE49C8">
        <w:rPr>
          <w:bCs/>
          <w:color w:val="auto"/>
          <w:szCs w:val="22"/>
        </w:rPr>
        <w:t>in-house</w:t>
      </w:r>
      <w:r w:rsidRPr="00AE49C8">
        <w:rPr>
          <w:bCs/>
          <w:color w:val="auto"/>
          <w:szCs w:val="22"/>
        </w:rPr>
        <w:t xml:space="preserve"> Occupational Health (OH) offers a range of services are delivered by qualified professionals (nurse specialists, clinic nurses, a physiotherapist and a locum consultant), including: </w:t>
      </w:r>
    </w:p>
    <w:p w:rsidR="00BC2B9E" w:rsidRPr="00AE49C8" w:rsidRDefault="00BC2B9E" w:rsidP="00BC2B9E">
      <w:pPr>
        <w:pStyle w:val="Default"/>
        <w:numPr>
          <w:ilvl w:val="0"/>
          <w:numId w:val="11"/>
        </w:numPr>
        <w:jc w:val="both"/>
        <w:rPr>
          <w:color w:val="auto"/>
          <w:szCs w:val="22"/>
        </w:rPr>
      </w:pPr>
      <w:r w:rsidRPr="00AE49C8">
        <w:rPr>
          <w:color w:val="auto"/>
          <w:szCs w:val="22"/>
        </w:rPr>
        <w:t>Health screening before or on commencement of employment</w:t>
      </w:r>
    </w:p>
    <w:p w:rsidR="00BC2B9E" w:rsidRPr="00AE49C8" w:rsidRDefault="00BC2B9E" w:rsidP="00BC2B9E">
      <w:pPr>
        <w:pStyle w:val="Default"/>
        <w:numPr>
          <w:ilvl w:val="0"/>
          <w:numId w:val="11"/>
        </w:numPr>
        <w:jc w:val="both"/>
        <w:rPr>
          <w:color w:val="auto"/>
          <w:szCs w:val="22"/>
        </w:rPr>
      </w:pPr>
      <w:r w:rsidRPr="00AE49C8">
        <w:rPr>
          <w:color w:val="auto"/>
          <w:szCs w:val="22"/>
        </w:rPr>
        <w:t>Fitness for work assessments and advice</w:t>
      </w:r>
    </w:p>
    <w:p w:rsidR="00BC2B9E" w:rsidRPr="00AE49C8" w:rsidRDefault="00BC2B9E" w:rsidP="00BC2B9E">
      <w:pPr>
        <w:pStyle w:val="Default"/>
        <w:numPr>
          <w:ilvl w:val="0"/>
          <w:numId w:val="11"/>
        </w:numPr>
        <w:jc w:val="both"/>
        <w:rPr>
          <w:color w:val="auto"/>
          <w:szCs w:val="22"/>
        </w:rPr>
      </w:pPr>
      <w:r w:rsidRPr="00AE49C8">
        <w:rPr>
          <w:color w:val="auto"/>
          <w:szCs w:val="22"/>
        </w:rPr>
        <w:t xml:space="preserve">Advice on workplace adjustments due to injury, illness or disability </w:t>
      </w:r>
    </w:p>
    <w:p w:rsidR="00BC2B9E" w:rsidRPr="00AE49C8" w:rsidRDefault="00BC2B9E" w:rsidP="00BC2B9E">
      <w:pPr>
        <w:pStyle w:val="Default"/>
        <w:numPr>
          <w:ilvl w:val="0"/>
          <w:numId w:val="11"/>
        </w:numPr>
        <w:jc w:val="both"/>
        <w:rPr>
          <w:color w:val="auto"/>
          <w:szCs w:val="22"/>
        </w:rPr>
      </w:pPr>
      <w:r w:rsidRPr="00AE49C8">
        <w:rPr>
          <w:color w:val="auto"/>
          <w:szCs w:val="22"/>
        </w:rPr>
        <w:t>Advice on the applicability of the Equality Act 2010 concerning disability</w:t>
      </w:r>
    </w:p>
    <w:p w:rsidR="00BC2B9E" w:rsidRPr="00AE49C8" w:rsidRDefault="00BC2B9E" w:rsidP="00BC2B9E">
      <w:pPr>
        <w:pStyle w:val="Default"/>
        <w:numPr>
          <w:ilvl w:val="0"/>
          <w:numId w:val="11"/>
        </w:numPr>
        <w:jc w:val="both"/>
        <w:rPr>
          <w:color w:val="auto"/>
          <w:szCs w:val="22"/>
        </w:rPr>
      </w:pPr>
      <w:r w:rsidRPr="00AE49C8">
        <w:rPr>
          <w:color w:val="auto"/>
          <w:szCs w:val="22"/>
        </w:rPr>
        <w:t>Work-related vaccination and blood taking service</w:t>
      </w:r>
    </w:p>
    <w:p w:rsidR="00BC2B9E" w:rsidRPr="00AE49C8" w:rsidRDefault="00BC2B9E" w:rsidP="00BC2B9E">
      <w:pPr>
        <w:pStyle w:val="Default"/>
        <w:numPr>
          <w:ilvl w:val="0"/>
          <w:numId w:val="11"/>
        </w:numPr>
        <w:jc w:val="both"/>
        <w:rPr>
          <w:color w:val="auto"/>
          <w:szCs w:val="22"/>
        </w:rPr>
      </w:pPr>
      <w:r w:rsidRPr="00AE49C8">
        <w:rPr>
          <w:color w:val="auto"/>
          <w:szCs w:val="22"/>
        </w:rPr>
        <w:t>Sharps/splash assessment</w:t>
      </w:r>
    </w:p>
    <w:p w:rsidR="00BC2B9E" w:rsidRPr="00AE49C8" w:rsidRDefault="00BC2B9E" w:rsidP="00BC2B9E">
      <w:pPr>
        <w:pStyle w:val="Default"/>
        <w:numPr>
          <w:ilvl w:val="0"/>
          <w:numId w:val="11"/>
        </w:numPr>
        <w:jc w:val="both"/>
        <w:rPr>
          <w:color w:val="auto"/>
          <w:szCs w:val="22"/>
        </w:rPr>
      </w:pPr>
      <w:r w:rsidRPr="00AE49C8">
        <w:rPr>
          <w:color w:val="auto"/>
          <w:szCs w:val="22"/>
        </w:rPr>
        <w:t>Moving and handling training and advice</w:t>
      </w:r>
    </w:p>
    <w:p w:rsidR="00BC2B9E" w:rsidRPr="00AE49C8" w:rsidRDefault="00BC2B9E" w:rsidP="00BC2B9E">
      <w:pPr>
        <w:pStyle w:val="Default"/>
        <w:numPr>
          <w:ilvl w:val="0"/>
          <w:numId w:val="11"/>
        </w:numPr>
        <w:jc w:val="both"/>
        <w:rPr>
          <w:color w:val="auto"/>
          <w:szCs w:val="22"/>
        </w:rPr>
      </w:pPr>
      <w:r w:rsidRPr="00AE49C8">
        <w:rPr>
          <w:color w:val="auto"/>
          <w:szCs w:val="22"/>
        </w:rPr>
        <w:t>Physiotherapy for injuries caused by or affecting work</w:t>
      </w:r>
    </w:p>
    <w:p w:rsidR="00BC2B9E" w:rsidRPr="00AE49C8" w:rsidRDefault="00BC2B9E" w:rsidP="00BC2B9E">
      <w:pPr>
        <w:pStyle w:val="Default"/>
        <w:numPr>
          <w:ilvl w:val="0"/>
          <w:numId w:val="11"/>
        </w:numPr>
        <w:jc w:val="both"/>
        <w:rPr>
          <w:color w:val="auto"/>
          <w:szCs w:val="22"/>
        </w:rPr>
      </w:pPr>
      <w:r w:rsidRPr="00AE49C8">
        <w:rPr>
          <w:color w:val="auto"/>
          <w:szCs w:val="22"/>
        </w:rPr>
        <w:t>Ergonomic workplace assessments for staff with injury or disability</w:t>
      </w:r>
    </w:p>
    <w:p w:rsidR="00BC2B9E" w:rsidRPr="00AE49C8" w:rsidRDefault="00BC2B9E" w:rsidP="00BC2B9E">
      <w:pPr>
        <w:pStyle w:val="Default"/>
        <w:numPr>
          <w:ilvl w:val="0"/>
          <w:numId w:val="11"/>
        </w:numPr>
        <w:jc w:val="both"/>
        <w:rPr>
          <w:color w:val="auto"/>
          <w:szCs w:val="22"/>
        </w:rPr>
      </w:pPr>
      <w:r w:rsidRPr="00AE49C8">
        <w:rPr>
          <w:color w:val="auto"/>
          <w:szCs w:val="22"/>
        </w:rPr>
        <w:t>Health surveillance, including skin assessments</w:t>
      </w:r>
    </w:p>
    <w:p w:rsidR="00BC2B9E" w:rsidRPr="00AE49C8" w:rsidRDefault="00BC2B9E" w:rsidP="00BC2B9E">
      <w:pPr>
        <w:pStyle w:val="Default"/>
        <w:rPr>
          <w:color w:val="auto"/>
          <w:sz w:val="22"/>
          <w:szCs w:val="22"/>
        </w:rPr>
      </w:pPr>
    </w:p>
    <w:p w:rsidR="00BC2B9E" w:rsidRPr="00AE49C8" w:rsidRDefault="00BC2B9E" w:rsidP="00BC2B9E">
      <w:pPr>
        <w:pStyle w:val="Default"/>
        <w:rPr>
          <w:b/>
          <w:color w:val="auto"/>
          <w:szCs w:val="22"/>
        </w:rPr>
      </w:pPr>
      <w:r w:rsidRPr="00AE49C8">
        <w:rPr>
          <w:b/>
          <w:color w:val="auto"/>
          <w:szCs w:val="22"/>
        </w:rPr>
        <w:t>Inclusion</w:t>
      </w:r>
    </w:p>
    <w:p w:rsidR="00BC2B9E" w:rsidRPr="00AE49C8" w:rsidRDefault="00BC2B9E" w:rsidP="00BC2B9E">
      <w:pPr>
        <w:pStyle w:val="Default"/>
        <w:numPr>
          <w:ilvl w:val="0"/>
          <w:numId w:val="11"/>
        </w:numPr>
        <w:jc w:val="both"/>
        <w:rPr>
          <w:color w:val="auto"/>
          <w:szCs w:val="22"/>
        </w:rPr>
      </w:pPr>
      <w:r w:rsidRPr="00AE49C8">
        <w:rPr>
          <w:color w:val="auto"/>
          <w:szCs w:val="22"/>
        </w:rPr>
        <w:t>The vaccination service is available at both RSCH (St Mary's site) and PRH</w:t>
      </w:r>
    </w:p>
    <w:p w:rsidR="00BC2B9E" w:rsidRPr="00AE49C8" w:rsidRDefault="00BC2B9E" w:rsidP="00BC2B9E">
      <w:pPr>
        <w:pStyle w:val="Default"/>
        <w:numPr>
          <w:ilvl w:val="0"/>
          <w:numId w:val="11"/>
        </w:numPr>
        <w:jc w:val="both"/>
        <w:rPr>
          <w:color w:val="auto"/>
          <w:szCs w:val="22"/>
        </w:rPr>
      </w:pPr>
      <w:r w:rsidRPr="00AE49C8">
        <w:rPr>
          <w:color w:val="auto"/>
          <w:szCs w:val="22"/>
        </w:rPr>
        <w:t>Consultations take place face-to-face, phone or video</w:t>
      </w:r>
    </w:p>
    <w:p w:rsidR="00BC2B9E" w:rsidRPr="00AE49C8" w:rsidRDefault="00BC2B9E" w:rsidP="00BC2B9E">
      <w:pPr>
        <w:pStyle w:val="Default"/>
        <w:numPr>
          <w:ilvl w:val="0"/>
          <w:numId w:val="11"/>
        </w:numPr>
        <w:jc w:val="both"/>
        <w:rPr>
          <w:color w:val="auto"/>
          <w:szCs w:val="22"/>
        </w:rPr>
      </w:pPr>
      <w:r w:rsidRPr="00AE49C8">
        <w:rPr>
          <w:color w:val="auto"/>
          <w:szCs w:val="22"/>
        </w:rPr>
        <w:t>The OH department is wheelchair accessible</w:t>
      </w:r>
    </w:p>
    <w:p w:rsidR="00BC2B9E" w:rsidRPr="00AE49C8" w:rsidRDefault="00BC2B9E" w:rsidP="00BC2B9E">
      <w:pPr>
        <w:pStyle w:val="Default"/>
        <w:numPr>
          <w:ilvl w:val="0"/>
          <w:numId w:val="11"/>
        </w:numPr>
        <w:jc w:val="both"/>
        <w:rPr>
          <w:color w:val="auto"/>
          <w:szCs w:val="22"/>
        </w:rPr>
      </w:pPr>
      <w:r w:rsidRPr="00AE49C8">
        <w:rPr>
          <w:color w:val="auto"/>
          <w:szCs w:val="22"/>
        </w:rPr>
        <w:t>Alternative venues can be arranged on a case by case basis</w:t>
      </w:r>
    </w:p>
    <w:p w:rsidR="00BC2B9E" w:rsidRPr="00AE49C8" w:rsidRDefault="00BC2B9E" w:rsidP="00BC2B9E">
      <w:pPr>
        <w:pStyle w:val="Default"/>
        <w:numPr>
          <w:ilvl w:val="0"/>
          <w:numId w:val="11"/>
        </w:numPr>
        <w:jc w:val="both"/>
        <w:rPr>
          <w:color w:val="auto"/>
          <w:szCs w:val="22"/>
        </w:rPr>
      </w:pPr>
      <w:r w:rsidRPr="00AE49C8">
        <w:rPr>
          <w:color w:val="auto"/>
          <w:szCs w:val="22"/>
        </w:rPr>
        <w:t>Hearing induction loop in OH department</w:t>
      </w:r>
    </w:p>
    <w:p w:rsidR="00BC2B9E" w:rsidRPr="00AE49C8" w:rsidRDefault="00BC2B9E" w:rsidP="00BC2B9E">
      <w:pPr>
        <w:pStyle w:val="Default"/>
        <w:numPr>
          <w:ilvl w:val="0"/>
          <w:numId w:val="11"/>
        </w:numPr>
        <w:jc w:val="both"/>
        <w:rPr>
          <w:color w:val="auto"/>
          <w:szCs w:val="22"/>
        </w:rPr>
      </w:pPr>
      <w:r w:rsidRPr="00AE49C8">
        <w:rPr>
          <w:color w:val="auto"/>
          <w:szCs w:val="22"/>
        </w:rPr>
        <w:t xml:space="preserve">Correspondence can be provided in a larger font </w:t>
      </w:r>
    </w:p>
    <w:p w:rsidR="00BC2B9E" w:rsidRPr="00AE49C8" w:rsidRDefault="00BC2B9E" w:rsidP="00BC2B9E">
      <w:pPr>
        <w:pStyle w:val="Default"/>
        <w:numPr>
          <w:ilvl w:val="0"/>
          <w:numId w:val="11"/>
        </w:numPr>
        <w:jc w:val="both"/>
        <w:rPr>
          <w:color w:val="auto"/>
          <w:szCs w:val="22"/>
        </w:rPr>
      </w:pPr>
      <w:r w:rsidRPr="00AE49C8">
        <w:rPr>
          <w:color w:val="auto"/>
          <w:szCs w:val="22"/>
        </w:rPr>
        <w:t>Interpreting and translation services can be requested</w:t>
      </w:r>
    </w:p>
    <w:p w:rsidR="00BC2B9E" w:rsidRPr="00AE49C8" w:rsidRDefault="00BC2B9E" w:rsidP="00BC2B9E">
      <w:pPr>
        <w:pStyle w:val="Default"/>
        <w:numPr>
          <w:ilvl w:val="0"/>
          <w:numId w:val="11"/>
        </w:numPr>
        <w:jc w:val="both"/>
        <w:rPr>
          <w:color w:val="auto"/>
          <w:szCs w:val="22"/>
        </w:rPr>
      </w:pPr>
      <w:r w:rsidRPr="00AE49C8">
        <w:rPr>
          <w:color w:val="auto"/>
          <w:szCs w:val="22"/>
        </w:rPr>
        <w:t>Equality impact statements are completed for all OH policies</w:t>
      </w:r>
    </w:p>
    <w:p w:rsidR="00BC2B9E" w:rsidRPr="00AE49C8" w:rsidRDefault="00BC2B9E" w:rsidP="00BC2B9E">
      <w:pPr>
        <w:pStyle w:val="Default"/>
        <w:rPr>
          <w:color w:val="auto"/>
          <w:szCs w:val="22"/>
        </w:rPr>
      </w:pPr>
    </w:p>
    <w:p w:rsidR="00BC2B9E" w:rsidRPr="00AE49C8" w:rsidRDefault="00BC2B9E" w:rsidP="00BC2B9E">
      <w:pPr>
        <w:pStyle w:val="Default"/>
        <w:rPr>
          <w:b/>
          <w:color w:val="auto"/>
        </w:rPr>
      </w:pPr>
      <w:r w:rsidRPr="00AE49C8">
        <w:rPr>
          <w:b/>
          <w:color w:val="auto"/>
        </w:rPr>
        <w:t>Data Protection</w:t>
      </w:r>
    </w:p>
    <w:p w:rsidR="00BC2B9E" w:rsidRPr="00AE49C8" w:rsidRDefault="00BC2B9E" w:rsidP="00BC2B9E">
      <w:pPr>
        <w:rPr>
          <w:szCs w:val="24"/>
        </w:rPr>
      </w:pPr>
      <w:r w:rsidRPr="00AE49C8">
        <w:rPr>
          <w:szCs w:val="24"/>
        </w:rPr>
        <w:t>Occupational Health Services processes personal and health data in line with the Data Protection Act 2018</w:t>
      </w:r>
      <w:r w:rsidR="00362782" w:rsidRPr="00AE49C8">
        <w:rPr>
          <w:szCs w:val="24"/>
        </w:rPr>
        <w:t>;</w:t>
      </w:r>
      <w:r w:rsidRPr="00AE49C8">
        <w:rPr>
          <w:szCs w:val="24"/>
        </w:rPr>
        <w:t xml:space="preserve"> as per our Privacy Statement</w:t>
      </w:r>
      <w:r w:rsidR="00362782" w:rsidRPr="00AE49C8">
        <w:rPr>
          <w:szCs w:val="24"/>
        </w:rPr>
        <w:t xml:space="preserve">, </w:t>
      </w:r>
      <w:hyperlink r:id="rId34" w:history="1">
        <w:r w:rsidR="00362782" w:rsidRPr="00AE49C8">
          <w:rPr>
            <w:rStyle w:val="Hyperlink"/>
            <w:szCs w:val="24"/>
          </w:rPr>
          <w:t>you can find more information on the Occupational Health Services page</w:t>
        </w:r>
      </w:hyperlink>
      <w:r w:rsidRPr="00AE49C8">
        <w:rPr>
          <w:szCs w:val="24"/>
        </w:rPr>
        <w:t>.</w:t>
      </w:r>
    </w:p>
    <w:p w:rsidR="00BC2B9E" w:rsidRPr="00AE49C8" w:rsidRDefault="00BC2B9E" w:rsidP="00BC2B9E">
      <w:pPr>
        <w:autoSpaceDE w:val="0"/>
        <w:autoSpaceDN w:val="0"/>
        <w:adjustRightInd w:val="0"/>
        <w:rPr>
          <w:color w:val="000000" w:themeColor="text1"/>
          <w:szCs w:val="24"/>
        </w:rPr>
      </w:pPr>
      <w:r w:rsidRPr="00AE49C8">
        <w:rPr>
          <w:color w:val="000000" w:themeColor="text1"/>
          <w:szCs w:val="24"/>
        </w:rPr>
        <w:t xml:space="preserve">The Data Protection Act 2018 allows staff to view or receive a copy of their records.  </w:t>
      </w:r>
    </w:p>
    <w:p w:rsidR="00BA1082" w:rsidRPr="00AE49C8" w:rsidRDefault="00BC2B9E" w:rsidP="00BC2B9E">
      <w:pPr>
        <w:autoSpaceDE w:val="0"/>
        <w:autoSpaceDN w:val="0"/>
        <w:adjustRightInd w:val="0"/>
        <w:rPr>
          <w:b/>
          <w:bCs/>
          <w:color w:val="000000" w:themeColor="text1"/>
          <w:szCs w:val="24"/>
        </w:rPr>
      </w:pPr>
      <w:r w:rsidRPr="00AE49C8">
        <w:rPr>
          <w:noProof/>
          <w:lang w:eastAsia="en-GB"/>
        </w:rPr>
        <w:drawing>
          <wp:inline distT="0" distB="0" distL="0" distR="0" wp14:anchorId="259EDF02" wp14:editId="5ADE1376">
            <wp:extent cx="704850" cy="428625"/>
            <wp:effectExtent l="0" t="0" r="0" b="9525"/>
            <wp:docPr id="40" name="Picture 40" descr="SEQOHS logo" title="SEQO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QOHS logo redraw RG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4850" cy="428625"/>
                    </a:xfrm>
                    <a:prstGeom prst="rect">
                      <a:avLst/>
                    </a:prstGeom>
                    <a:noFill/>
                    <a:ln>
                      <a:noFill/>
                    </a:ln>
                  </pic:spPr>
                </pic:pic>
              </a:graphicData>
            </a:graphic>
          </wp:inline>
        </w:drawing>
      </w:r>
    </w:p>
    <w:p w:rsidR="00BC2B9E" w:rsidRPr="00AE49C8" w:rsidRDefault="00BC2B9E" w:rsidP="00BC2B9E">
      <w:pPr>
        <w:autoSpaceDE w:val="0"/>
        <w:autoSpaceDN w:val="0"/>
        <w:adjustRightInd w:val="0"/>
        <w:rPr>
          <w:b/>
          <w:bCs/>
          <w:color w:val="000000" w:themeColor="text1"/>
          <w:szCs w:val="24"/>
        </w:rPr>
      </w:pPr>
      <w:r w:rsidRPr="00AE49C8">
        <w:rPr>
          <w:b/>
          <w:bCs/>
          <w:color w:val="000000" w:themeColor="text1"/>
          <w:szCs w:val="24"/>
        </w:rPr>
        <w:lastRenderedPageBreak/>
        <w:t>Confidentiality</w:t>
      </w:r>
      <w:r w:rsidRPr="00AE49C8">
        <w:rPr>
          <w:b/>
          <w:bCs/>
          <w:color w:val="000000" w:themeColor="text1"/>
          <w:szCs w:val="24"/>
        </w:rPr>
        <w:br/>
      </w:r>
      <w:r w:rsidRPr="00AE49C8">
        <w:rPr>
          <w:color w:val="000000" w:themeColor="text1"/>
          <w:szCs w:val="24"/>
        </w:rPr>
        <w:t>Information held in staff OH records will only be passed to a third party with the individual's consent.  In exceptional circumstances, OH can breach confidentiality, e.g., withholding information would have a safety implication.  All OH staff are bound by both BSUH Trust and a local confidentiality agreement.</w:t>
      </w:r>
    </w:p>
    <w:p w:rsidR="00BC2B9E" w:rsidRPr="00AE49C8" w:rsidRDefault="00BC2B9E" w:rsidP="00BC2B9E">
      <w:pPr>
        <w:pStyle w:val="Default"/>
        <w:rPr>
          <w:color w:val="000000" w:themeColor="text1"/>
        </w:rPr>
      </w:pPr>
      <w:r w:rsidRPr="00AE49C8">
        <w:rPr>
          <w:b/>
          <w:color w:val="auto"/>
        </w:rPr>
        <w:t xml:space="preserve">Further information about Occupational Health Services </w:t>
      </w:r>
      <w:r w:rsidRPr="00AE49C8">
        <w:rPr>
          <w:color w:val="auto"/>
        </w:rPr>
        <w:t>is available on the Trust's info-net or by contacting Occupational Health Services directly.</w:t>
      </w:r>
    </w:p>
    <w:p w:rsidR="00BC2B9E" w:rsidRPr="00AE49C8" w:rsidRDefault="00BC2B9E">
      <w:pPr>
        <w:widowControl w:val="0"/>
        <w:rPr>
          <w:b/>
        </w:rPr>
      </w:pPr>
    </w:p>
    <w:p w:rsidR="00BC2B9E" w:rsidRPr="00AE49C8" w:rsidRDefault="00BC2B9E" w:rsidP="00BC2B9E">
      <w:pPr>
        <w:rPr>
          <w:b/>
        </w:rPr>
      </w:pPr>
      <w:r w:rsidRPr="00AE49C8">
        <w:rPr>
          <w:b/>
        </w:rPr>
        <w:t>At WSHT:</w:t>
      </w:r>
    </w:p>
    <w:p w:rsidR="00E41E76" w:rsidRPr="00AE49C8" w:rsidRDefault="00E41E76" w:rsidP="00E41E76">
      <w:pPr>
        <w:widowControl w:val="0"/>
      </w:pPr>
      <w:r w:rsidRPr="00AE49C8">
        <w:t>Team Prevent UK Ltd provides the Employee Health and Wellbeing Service.  The Trust works together with Team Prevent to implement a healthy leadership culture to ensure that our employees receive early support in the event of illness or injury and encourage better health and wellbeing.</w:t>
      </w:r>
    </w:p>
    <w:p w:rsidR="00E41E76" w:rsidRPr="00AE49C8" w:rsidRDefault="00E41E76" w:rsidP="00E41E76">
      <w:pPr>
        <w:widowControl w:val="0"/>
      </w:pPr>
      <w:r w:rsidRPr="00AE49C8">
        <w:t>The Employee Health and Wellbeing Service aims to protect and promote employees' health. Ensuring employees are working in a healthy environment and encouraging them to take responsibility for their health and wellbeing, both inside and outside work.</w:t>
      </w:r>
    </w:p>
    <w:p w:rsidR="00E41E76" w:rsidRPr="00AE49C8" w:rsidRDefault="00E41E76" w:rsidP="00E41E76">
      <w:pPr>
        <w:widowControl w:val="0"/>
      </w:pPr>
      <w:r w:rsidRPr="00AE49C8">
        <w:t>The Employee Health and Wellbeing Team are specialists in assessing fitness for work and have a responsibility to both the employer and the employee.  They are required to provide fair and impartial advice based on evidence and clinical opinion.</w:t>
      </w:r>
    </w:p>
    <w:p w:rsidR="00E41E76" w:rsidRPr="00AE49C8" w:rsidRDefault="00E41E76" w:rsidP="00E41E76">
      <w:pPr>
        <w:widowControl w:val="0"/>
      </w:pPr>
      <w:r w:rsidRPr="00AE49C8">
        <w:t>The Employee Health and Wellbeing Team will be involved in the following:</w:t>
      </w:r>
    </w:p>
    <w:p w:rsidR="00E41E76" w:rsidRPr="00AE49C8" w:rsidRDefault="00E41E76" w:rsidP="00E41E76">
      <w:pPr>
        <w:pStyle w:val="ListParagraph"/>
      </w:pPr>
      <w:r w:rsidRPr="00AE49C8">
        <w:t>Medical conditions which may affect work or may be affected by work</w:t>
      </w:r>
    </w:p>
    <w:p w:rsidR="00E41E76" w:rsidRPr="00AE49C8" w:rsidRDefault="00E41E76" w:rsidP="00E41E76">
      <w:pPr>
        <w:pStyle w:val="ListParagraph"/>
      </w:pPr>
      <w:r w:rsidRPr="00AE49C8">
        <w:t>Fitness for work including reasonable adjustments and rehabilitation programmes if necessary</w:t>
      </w:r>
    </w:p>
    <w:p w:rsidR="00E41E76" w:rsidRPr="00AE49C8" w:rsidRDefault="00E41E76" w:rsidP="00E41E76">
      <w:pPr>
        <w:pStyle w:val="ListParagraph"/>
      </w:pPr>
      <w:r w:rsidRPr="00AE49C8">
        <w:t>Health surveillance relevant to an individual's work, for example, skin surveillance, respiratory screening, hand-arm vibration and sight testing (job-specific)</w:t>
      </w:r>
    </w:p>
    <w:p w:rsidR="00E41E76" w:rsidRPr="00AE49C8" w:rsidRDefault="00E41E76" w:rsidP="00E41E76">
      <w:pPr>
        <w:pStyle w:val="ListParagraph"/>
      </w:pPr>
      <w:r w:rsidRPr="00AE49C8">
        <w:t>Immunisation and vaccination programmes</w:t>
      </w:r>
    </w:p>
    <w:p w:rsidR="00E41E76" w:rsidRPr="00AE49C8" w:rsidRDefault="00E41E76" w:rsidP="00E41E76">
      <w:pPr>
        <w:pStyle w:val="ListParagraph"/>
      </w:pPr>
      <w:r w:rsidRPr="00AE49C8">
        <w:t>Needlestick injuries</w:t>
      </w:r>
    </w:p>
    <w:p w:rsidR="00E41E76" w:rsidRPr="00AE49C8" w:rsidRDefault="00E41E76" w:rsidP="00E41E76">
      <w:pPr>
        <w:pStyle w:val="ListParagraph"/>
      </w:pPr>
      <w:r w:rsidRPr="00AE49C8">
        <w:t>Advising on workplace risks including sharps/contamination incidents and liaising with Health and Safety and Infection Control Teams</w:t>
      </w:r>
    </w:p>
    <w:p w:rsidR="00E41E76" w:rsidRPr="00AE49C8" w:rsidRDefault="00E41E76" w:rsidP="00E41E76">
      <w:pPr>
        <w:pStyle w:val="ListParagraph"/>
      </w:pPr>
      <w:r w:rsidRPr="00AE49C8">
        <w:t>Proactive health education and engagement and wellbeing initiatives</w:t>
      </w:r>
    </w:p>
    <w:p w:rsidR="0033755C" w:rsidRPr="00AE49C8" w:rsidRDefault="00E41E76" w:rsidP="00E41E76">
      <w:pPr>
        <w:widowControl w:val="0"/>
      </w:pPr>
      <w:r w:rsidRPr="00AE49C8">
        <w:t>Consultations with the Employee Health and Wellbeing Team can be held face-to-face in the clinic or by telephone or video consultation.  There is significant evidence to show that telephone and video consultations are an efficient and effective way of delivering healthcare.  By utilising this service, waiting times, travel times, and costs are reduced, and employees can access advice quickly and conveniently.</w:t>
      </w:r>
    </w:p>
    <w:p w:rsidR="0033755C" w:rsidRPr="00AE49C8" w:rsidRDefault="0033755C" w:rsidP="0033755C">
      <w:pPr>
        <w:pStyle w:val="Heading2"/>
        <w:rPr>
          <w:rFonts w:cs="Arial"/>
        </w:rPr>
      </w:pPr>
      <w:bookmarkStart w:id="26" w:name="_Toc88633973"/>
      <w:r w:rsidRPr="00AE49C8">
        <w:rPr>
          <w:rFonts w:cs="Arial"/>
        </w:rPr>
        <w:lastRenderedPageBreak/>
        <w:t>Improvements to staff health and wellbeing offer</w:t>
      </w:r>
      <w:bookmarkEnd w:id="26"/>
    </w:p>
    <w:p w:rsidR="0033755C" w:rsidRPr="00AE49C8" w:rsidRDefault="0033755C" w:rsidP="0033755C">
      <w:pPr>
        <w:rPr>
          <w:b/>
        </w:rPr>
      </w:pPr>
      <w:r w:rsidRPr="00AE49C8">
        <w:rPr>
          <w:b/>
        </w:rPr>
        <w:t>Project Wingman</w:t>
      </w:r>
    </w:p>
    <w:p w:rsidR="008A7616" w:rsidRPr="00AE49C8" w:rsidRDefault="0033755C" w:rsidP="0033755C">
      <w:r w:rsidRPr="00AE49C8">
        <w:t>Project wingman has seen staff from the airline industry come together to offer volunteer support to hospital staff by creating incredible 'first-class lounges'. The lounges provide somewhere for staff to take a break from their work and have someone to look after them with a hot drink</w:t>
      </w:r>
      <w:r w:rsidR="008E6F14">
        <w:t>,</w:t>
      </w:r>
      <w:r w:rsidRPr="00AE49C8">
        <w:t xml:space="preserve"> and provide an additional listening ear for staff to decompress and take a moment before returning to work.  Project Wingman teams in their everyday work have training in supporting people in stressful situations, and this service has been incredibly highly thought of and used by staff across the Trust.</w:t>
      </w:r>
    </w:p>
    <w:p w:rsidR="008668C2" w:rsidRPr="00AE49C8" w:rsidRDefault="008668C2" w:rsidP="0033755C">
      <w:pPr>
        <w:rPr>
          <w:b/>
        </w:rPr>
      </w:pPr>
      <w:r w:rsidRPr="00AE49C8">
        <w:rPr>
          <w:b/>
        </w:rPr>
        <w:t>Support for newly recruited international staff at WSHT</w:t>
      </w:r>
    </w:p>
    <w:p w:rsidR="008668C2" w:rsidRPr="00AE49C8" w:rsidRDefault="008668C2" w:rsidP="0033755C">
      <w:r w:rsidRPr="00AE49C8">
        <w:t xml:space="preserve">Welcome packs </w:t>
      </w:r>
      <w:r w:rsidR="008E6F14">
        <w:t>were created for newly recruited arriving overseas staff</w:t>
      </w:r>
      <w:r w:rsidRPr="00AE49C8">
        <w:t xml:space="preserve"> required to </w:t>
      </w:r>
      <w:r w:rsidR="008E6F14" w:rsidRPr="00AE49C8">
        <w:t>self-isolate</w:t>
      </w:r>
      <w:r w:rsidRPr="00AE49C8">
        <w:t>.  The staff were not able to immediately go shopping for supplies.  Packs contained ingredients for meals a</w:t>
      </w:r>
      <w:r w:rsidR="008E6F14">
        <w:t>nd</w:t>
      </w:r>
      <w:r w:rsidRPr="00AE49C8">
        <w:t xml:space="preserve"> comfort provisions such as coffee, tea and biscuits.  The welcome packs were </w:t>
      </w:r>
      <w:r w:rsidR="008E6F14">
        <w:t>highly thought of and</w:t>
      </w:r>
      <w:r w:rsidRPr="00AE49C8">
        <w:t xml:space="preserve"> funded through the Love Your Hospital Charity.</w:t>
      </w:r>
    </w:p>
    <w:p w:rsidR="005B7F53" w:rsidRPr="00AE49C8" w:rsidRDefault="005B7F53" w:rsidP="005B7F53">
      <w:pPr>
        <w:pStyle w:val="Heading2"/>
        <w:rPr>
          <w:rFonts w:cs="Arial"/>
        </w:rPr>
      </w:pPr>
      <w:bookmarkStart w:id="27" w:name="_Toc88633974"/>
      <w:r w:rsidRPr="00AE49C8">
        <w:rPr>
          <w:rFonts w:cs="Arial"/>
        </w:rPr>
        <w:t>Risk Assessment Advisory Panel</w:t>
      </w:r>
      <w:bookmarkEnd w:id="27"/>
    </w:p>
    <w:p w:rsidR="001F6C95" w:rsidRPr="00AE49C8" w:rsidRDefault="001F6C95" w:rsidP="005B7F53">
      <w:r w:rsidRPr="00AE49C8">
        <w:t xml:space="preserve">Both BSUH and WSHT have panels running since May 2020 in response to the COVID-19 pandemic. The panels help support managers and staff with individual risk assessments; they provide expert advice on complex issues or </w:t>
      </w:r>
      <w:r w:rsidR="00334562" w:rsidRPr="00AE49C8">
        <w:t>where</w:t>
      </w:r>
      <w:r w:rsidRPr="00AE49C8">
        <w:t xml:space="preserve"> </w:t>
      </w:r>
      <w:r w:rsidR="00334562" w:rsidRPr="00AE49C8">
        <w:t xml:space="preserve">a </w:t>
      </w:r>
      <w:r w:rsidR="00BF662D" w:rsidRPr="00AE49C8">
        <w:t>staff member</w:t>
      </w:r>
      <w:r w:rsidRPr="00AE49C8">
        <w:t xml:space="preserve"> </w:t>
      </w:r>
      <w:r w:rsidR="00BF662D" w:rsidRPr="00AE49C8">
        <w:t>is identified</w:t>
      </w:r>
      <w:r w:rsidRPr="00AE49C8">
        <w:t xml:space="preserve"> as a high risk.</w:t>
      </w:r>
    </w:p>
    <w:p w:rsidR="005B7F53" w:rsidRPr="00AE49C8" w:rsidRDefault="005B7F53" w:rsidP="005B7F53">
      <w:r w:rsidRPr="00AE49C8">
        <w:t>This</w:t>
      </w:r>
      <w:r w:rsidR="001F6C95" w:rsidRPr="00AE49C8">
        <w:t xml:space="preserve"> assessment and panel help</w:t>
      </w:r>
      <w:r w:rsidR="007B7BD6" w:rsidRPr="00AE49C8">
        <w:t>ed</w:t>
      </w:r>
      <w:r w:rsidR="001F6C95" w:rsidRPr="00AE49C8">
        <w:t xml:space="preserve"> </w:t>
      </w:r>
      <w:r w:rsidR="007B7BD6" w:rsidRPr="00AE49C8">
        <w:t>ensure</w:t>
      </w:r>
      <w:r w:rsidRPr="00AE49C8">
        <w:t xml:space="preserve"> a proper Trustwide undertaking of </w:t>
      </w:r>
      <w:r w:rsidR="001F6C95" w:rsidRPr="00AE49C8">
        <w:t xml:space="preserve">COVID-19 </w:t>
      </w:r>
      <w:r w:rsidRPr="00AE49C8">
        <w:t xml:space="preserve">Risk Assessments and that both managers and staff understood </w:t>
      </w:r>
      <w:r w:rsidR="001F6C95" w:rsidRPr="00AE49C8">
        <w:t>what was needed to work safely during the pandemic.</w:t>
      </w:r>
    </w:p>
    <w:p w:rsidR="005B7F53" w:rsidRPr="00AE49C8" w:rsidRDefault="001F6C95" w:rsidP="005B7F53">
      <w:r w:rsidRPr="00AE49C8">
        <w:t xml:space="preserve">The </w:t>
      </w:r>
      <w:r w:rsidR="005B7F53" w:rsidRPr="00AE49C8">
        <w:t>Risk Assessment Advisory Panel which comprised of the following expertise:-</w:t>
      </w:r>
    </w:p>
    <w:p w:rsidR="005B7F53" w:rsidRPr="00AE49C8" w:rsidRDefault="005B7F53" w:rsidP="00BF662D">
      <w:pPr>
        <w:pStyle w:val="ListParagraph"/>
      </w:pPr>
      <w:r w:rsidRPr="00AE49C8">
        <w:t>HR Representatives</w:t>
      </w:r>
    </w:p>
    <w:p w:rsidR="005B7F53" w:rsidRPr="00AE49C8" w:rsidRDefault="005B7F53" w:rsidP="00BF662D">
      <w:pPr>
        <w:pStyle w:val="ListParagraph"/>
      </w:pPr>
      <w:r w:rsidRPr="00AE49C8">
        <w:t>Paediatric Consultant</w:t>
      </w:r>
    </w:p>
    <w:p w:rsidR="005B7F53" w:rsidRPr="00AE49C8" w:rsidRDefault="005B7F53" w:rsidP="00BF662D">
      <w:pPr>
        <w:pStyle w:val="ListParagraph"/>
      </w:pPr>
      <w:r w:rsidRPr="00AE49C8">
        <w:t>Medical Director</w:t>
      </w:r>
    </w:p>
    <w:p w:rsidR="005B7F53" w:rsidRPr="00AE49C8" w:rsidRDefault="005B7F53" w:rsidP="00BF662D">
      <w:pPr>
        <w:pStyle w:val="ListParagraph"/>
      </w:pPr>
      <w:r w:rsidRPr="00AE49C8">
        <w:t>Occupational Health</w:t>
      </w:r>
    </w:p>
    <w:p w:rsidR="005B7F53" w:rsidRPr="00AE49C8" w:rsidRDefault="005B7F53" w:rsidP="00BF662D">
      <w:pPr>
        <w:pStyle w:val="ListParagraph"/>
      </w:pPr>
      <w:r w:rsidRPr="00AE49C8">
        <w:t>Cardiac Consultant</w:t>
      </w:r>
    </w:p>
    <w:p w:rsidR="005B7F53" w:rsidRPr="00AE49C8" w:rsidRDefault="005B7F53" w:rsidP="00BF662D">
      <w:pPr>
        <w:pStyle w:val="ListParagraph"/>
      </w:pPr>
      <w:r w:rsidRPr="00AE49C8">
        <w:t xml:space="preserve">Deputy Chief Nurse </w:t>
      </w:r>
    </w:p>
    <w:p w:rsidR="005B7F53" w:rsidRPr="00AE49C8" w:rsidRDefault="005B7F53" w:rsidP="00BF662D">
      <w:pPr>
        <w:pStyle w:val="ListParagraph"/>
      </w:pPr>
      <w:r w:rsidRPr="00AE49C8">
        <w:t>Head of Inclusion</w:t>
      </w:r>
    </w:p>
    <w:p w:rsidR="009C7818" w:rsidRPr="00AE49C8" w:rsidRDefault="005B7F53" w:rsidP="00DE433D">
      <w:r w:rsidRPr="00AE49C8">
        <w:t>Expertise from other areas is called upon as is required.  This group has met every week</w:t>
      </w:r>
      <w:r w:rsidR="00BF662D" w:rsidRPr="00AE49C8">
        <w:t xml:space="preserve"> since they were formed.</w:t>
      </w:r>
    </w:p>
    <w:p w:rsidR="009C7818" w:rsidRDefault="009C7818" w:rsidP="00DE433D">
      <w:r w:rsidRPr="00AE49C8">
        <w:t xml:space="preserve">To support the risk assessment process, a trustwide produced and published a video involving staff from BSUH and WSHT.  Staff shared the purpose and benefits of undertaking COVID risk assessments.  The video was aimed at both managers and </w:t>
      </w:r>
      <w:r w:rsidRPr="00AE49C8">
        <w:lastRenderedPageBreak/>
        <w:t>staff and helped share the benefits of the assessments and the opening up of positive conversations.</w:t>
      </w:r>
    </w:p>
    <w:p w:rsidR="00C92A79" w:rsidRPr="00AE49C8" w:rsidRDefault="008E6F14" w:rsidP="00C92A79">
      <w:pPr>
        <w:jc w:val="center"/>
      </w:pPr>
      <w:r>
        <w:pict>
          <v:shape id="_x0000_i1027" type="#_x0000_t75" alt="Member of staff saying hello in PPE" style="width:286.3pt;height:293.15pt">
            <v:imagedata r:id="rId36" o:title="7_Doctor WSHT"/>
          </v:shape>
        </w:pict>
      </w:r>
    </w:p>
    <w:p w:rsidR="000F3AF4" w:rsidRDefault="008E6F14" w:rsidP="00C92A79">
      <w:pPr>
        <w:jc w:val="center"/>
        <w:rPr>
          <w:b/>
        </w:rPr>
      </w:pPr>
      <w:r>
        <w:rPr>
          <w:b/>
        </w:rPr>
        <w:pict>
          <v:shape id="_x0000_i1028" type="#_x0000_t75" alt="Member of staff saying hello in PPE" style="width:230.55pt;height:307.7pt">
            <v:imagedata r:id="rId37" o:title="image010 (1)"/>
          </v:shape>
        </w:pict>
      </w:r>
    </w:p>
    <w:p w:rsidR="00C92A79" w:rsidRDefault="00C92A79">
      <w:pPr>
        <w:widowControl w:val="0"/>
        <w:rPr>
          <w:rFonts w:eastAsiaTheme="majorEastAsia"/>
          <w:b/>
          <w:bCs/>
          <w:color w:val="0070C0"/>
          <w:sz w:val="28"/>
          <w:szCs w:val="28"/>
        </w:rPr>
      </w:pPr>
      <w:r>
        <w:br w:type="page"/>
      </w:r>
    </w:p>
    <w:p w:rsidR="001F6C95" w:rsidRPr="00AE49C8" w:rsidRDefault="00630ECF" w:rsidP="001B5DFA">
      <w:pPr>
        <w:pStyle w:val="Heading2"/>
        <w:rPr>
          <w:rFonts w:cs="Arial"/>
        </w:rPr>
      </w:pPr>
      <w:bookmarkStart w:id="28" w:name="_Toc88633975"/>
      <w:r w:rsidRPr="00AE49C8">
        <w:rPr>
          <w:rFonts w:cs="Arial"/>
        </w:rPr>
        <w:lastRenderedPageBreak/>
        <w:t>Interpretation and Translation Services</w:t>
      </w:r>
      <w:bookmarkEnd w:id="28"/>
    </w:p>
    <w:p w:rsidR="00630ECF" w:rsidRPr="00AE49C8" w:rsidRDefault="00630ECF" w:rsidP="00DE433D">
      <w:r w:rsidRPr="00AE49C8">
        <w:t>During 2020/21, the Trust utilised a range of interpretation and translation services to meet the communication needs of our patients. In this section, we will highlight what was spent by the Trust.</w:t>
      </w:r>
    </w:p>
    <w:p w:rsidR="00630ECF" w:rsidRPr="00AE49C8" w:rsidRDefault="00630ECF" w:rsidP="00DE433D">
      <w:pPr>
        <w:rPr>
          <w:b/>
        </w:rPr>
      </w:pPr>
      <w:r w:rsidRPr="00AE49C8">
        <w:rPr>
          <w:b/>
        </w:rPr>
        <w:t>In Brighton and Sussex University Hospitals NHS Trust:</w:t>
      </w:r>
    </w:p>
    <w:p w:rsidR="00630ECF" w:rsidRPr="00AE49C8" w:rsidRDefault="00630ECF" w:rsidP="00DE433D">
      <w:r w:rsidRPr="00AE49C8">
        <w:t>British Sign Language, Braille and other communication support</w:t>
      </w:r>
    </w:p>
    <w:tbl>
      <w:tblPr>
        <w:tblStyle w:val="TableGrid"/>
        <w:tblW w:w="0" w:type="auto"/>
        <w:tblLook w:val="04A0" w:firstRow="1" w:lastRow="0" w:firstColumn="1" w:lastColumn="0" w:noHBand="0" w:noVBand="1"/>
        <w:tblCaption w:val="Breakdown of British Sign Language and other communication services in BSUH"/>
        <w:tblDescription w:val="There was a total of 330 face-to-face BSL sessions costing £36220. There was a total of 226 remote BSL sessions costing £9825.60 and 7 Braille transcription jobs costing £657.43."/>
      </w:tblPr>
      <w:tblGrid>
        <w:gridCol w:w="3227"/>
        <w:gridCol w:w="2410"/>
        <w:gridCol w:w="1984"/>
        <w:gridCol w:w="1418"/>
      </w:tblGrid>
      <w:tr w:rsidR="00630ECF" w:rsidRPr="00AE49C8" w:rsidTr="00C3359F">
        <w:trPr>
          <w:cantSplit/>
          <w:tblHeader/>
        </w:trPr>
        <w:tc>
          <w:tcPr>
            <w:tcW w:w="3227" w:type="dxa"/>
          </w:tcPr>
          <w:p w:rsidR="00630ECF" w:rsidRPr="00AE49C8" w:rsidRDefault="00630ECF" w:rsidP="00DE433D">
            <w:pPr>
              <w:rPr>
                <w:b/>
              </w:rPr>
            </w:pPr>
            <w:r w:rsidRPr="00AE49C8">
              <w:rPr>
                <w:b/>
              </w:rPr>
              <w:t>Activity</w:t>
            </w:r>
          </w:p>
        </w:tc>
        <w:tc>
          <w:tcPr>
            <w:tcW w:w="2410" w:type="dxa"/>
          </w:tcPr>
          <w:p w:rsidR="00630ECF" w:rsidRPr="00AE49C8" w:rsidRDefault="00630ECF" w:rsidP="00DE433D">
            <w:pPr>
              <w:rPr>
                <w:b/>
              </w:rPr>
            </w:pPr>
            <w:r w:rsidRPr="00AE49C8">
              <w:rPr>
                <w:b/>
              </w:rPr>
              <w:t>Number of sessions or jobs</w:t>
            </w:r>
          </w:p>
        </w:tc>
        <w:tc>
          <w:tcPr>
            <w:tcW w:w="1984" w:type="dxa"/>
          </w:tcPr>
          <w:p w:rsidR="00630ECF" w:rsidRPr="00AE49C8" w:rsidRDefault="00630ECF" w:rsidP="00DE433D">
            <w:pPr>
              <w:rPr>
                <w:b/>
              </w:rPr>
            </w:pPr>
            <w:r w:rsidRPr="00AE49C8">
              <w:rPr>
                <w:b/>
              </w:rPr>
              <w:t>Method of delivery</w:t>
            </w:r>
          </w:p>
        </w:tc>
        <w:tc>
          <w:tcPr>
            <w:tcW w:w="1418" w:type="dxa"/>
          </w:tcPr>
          <w:p w:rsidR="00630ECF" w:rsidRPr="00AE49C8" w:rsidRDefault="00630ECF" w:rsidP="00DE433D">
            <w:pPr>
              <w:rPr>
                <w:b/>
              </w:rPr>
            </w:pPr>
            <w:r w:rsidRPr="00AE49C8">
              <w:rPr>
                <w:b/>
              </w:rPr>
              <w:t>Cost</w:t>
            </w:r>
          </w:p>
        </w:tc>
      </w:tr>
      <w:tr w:rsidR="00630ECF" w:rsidRPr="00AE49C8" w:rsidTr="00C3359F">
        <w:trPr>
          <w:cantSplit/>
          <w:tblHeader/>
        </w:trPr>
        <w:tc>
          <w:tcPr>
            <w:tcW w:w="3227" w:type="dxa"/>
          </w:tcPr>
          <w:p w:rsidR="00630ECF" w:rsidRPr="00AE49C8" w:rsidRDefault="00630ECF" w:rsidP="00DE433D">
            <w:r w:rsidRPr="00AE49C8">
              <w:t xml:space="preserve">British Sign Language </w:t>
            </w:r>
          </w:p>
        </w:tc>
        <w:tc>
          <w:tcPr>
            <w:tcW w:w="2410" w:type="dxa"/>
          </w:tcPr>
          <w:p w:rsidR="00630ECF" w:rsidRPr="00AE49C8" w:rsidRDefault="00630ECF" w:rsidP="00DE433D">
            <w:r w:rsidRPr="00AE49C8">
              <w:t>330</w:t>
            </w:r>
          </w:p>
        </w:tc>
        <w:tc>
          <w:tcPr>
            <w:tcW w:w="1984" w:type="dxa"/>
          </w:tcPr>
          <w:p w:rsidR="00630ECF" w:rsidRPr="00AE49C8" w:rsidRDefault="00630ECF" w:rsidP="00DE433D">
            <w:r w:rsidRPr="00AE49C8">
              <w:t>Face-to-face</w:t>
            </w:r>
          </w:p>
        </w:tc>
        <w:tc>
          <w:tcPr>
            <w:tcW w:w="1418" w:type="dxa"/>
          </w:tcPr>
          <w:p w:rsidR="00630ECF" w:rsidRPr="00AE49C8" w:rsidRDefault="00630ECF" w:rsidP="00DE433D">
            <w:r w:rsidRPr="00AE49C8">
              <w:t>£36,220.00</w:t>
            </w:r>
          </w:p>
        </w:tc>
      </w:tr>
      <w:tr w:rsidR="00630ECF" w:rsidRPr="00AE49C8" w:rsidTr="00C3359F">
        <w:trPr>
          <w:cantSplit/>
          <w:tblHeader/>
        </w:trPr>
        <w:tc>
          <w:tcPr>
            <w:tcW w:w="3227" w:type="dxa"/>
          </w:tcPr>
          <w:p w:rsidR="00630ECF" w:rsidRPr="00AE49C8" w:rsidRDefault="00630ECF" w:rsidP="00DE433D">
            <w:r w:rsidRPr="00AE49C8">
              <w:t>British Sign Language</w:t>
            </w:r>
          </w:p>
        </w:tc>
        <w:tc>
          <w:tcPr>
            <w:tcW w:w="2410" w:type="dxa"/>
          </w:tcPr>
          <w:p w:rsidR="00630ECF" w:rsidRPr="00AE49C8" w:rsidRDefault="00630ECF" w:rsidP="00DE433D">
            <w:r w:rsidRPr="00AE49C8">
              <w:t>226</w:t>
            </w:r>
          </w:p>
        </w:tc>
        <w:tc>
          <w:tcPr>
            <w:tcW w:w="1984" w:type="dxa"/>
          </w:tcPr>
          <w:p w:rsidR="00630ECF" w:rsidRPr="00AE49C8" w:rsidRDefault="00630ECF" w:rsidP="00DE433D">
            <w:r w:rsidRPr="00AE49C8">
              <w:t>Remote (online)</w:t>
            </w:r>
          </w:p>
        </w:tc>
        <w:tc>
          <w:tcPr>
            <w:tcW w:w="1418" w:type="dxa"/>
          </w:tcPr>
          <w:p w:rsidR="00630ECF" w:rsidRPr="00AE49C8" w:rsidRDefault="00630ECF" w:rsidP="00DE433D">
            <w:r w:rsidRPr="00AE49C8">
              <w:t>£ 9,825.60</w:t>
            </w:r>
          </w:p>
        </w:tc>
      </w:tr>
      <w:tr w:rsidR="00630ECF" w:rsidRPr="00AE49C8" w:rsidTr="00C3359F">
        <w:trPr>
          <w:cantSplit/>
          <w:tblHeader/>
        </w:trPr>
        <w:tc>
          <w:tcPr>
            <w:tcW w:w="3227" w:type="dxa"/>
          </w:tcPr>
          <w:p w:rsidR="00630ECF" w:rsidRPr="00AE49C8" w:rsidRDefault="00630ECF" w:rsidP="00630ECF">
            <w:r w:rsidRPr="00AE49C8">
              <w:t>Braille and other communication support</w:t>
            </w:r>
          </w:p>
        </w:tc>
        <w:tc>
          <w:tcPr>
            <w:tcW w:w="2410" w:type="dxa"/>
          </w:tcPr>
          <w:p w:rsidR="00630ECF" w:rsidRPr="00AE49C8" w:rsidRDefault="00630ECF" w:rsidP="00DE433D">
            <w:r w:rsidRPr="00AE49C8">
              <w:t>7</w:t>
            </w:r>
          </w:p>
        </w:tc>
        <w:tc>
          <w:tcPr>
            <w:tcW w:w="1984" w:type="dxa"/>
          </w:tcPr>
          <w:p w:rsidR="00630ECF" w:rsidRPr="00AE49C8" w:rsidRDefault="00630ECF" w:rsidP="00DE433D">
            <w:r w:rsidRPr="00AE49C8">
              <w:t>Transcription and translation</w:t>
            </w:r>
          </w:p>
        </w:tc>
        <w:tc>
          <w:tcPr>
            <w:tcW w:w="1418" w:type="dxa"/>
          </w:tcPr>
          <w:p w:rsidR="00630ECF" w:rsidRPr="00AE49C8" w:rsidRDefault="00630ECF" w:rsidP="00DE433D">
            <w:r w:rsidRPr="00AE49C8">
              <w:t>£   657.43</w:t>
            </w:r>
          </w:p>
        </w:tc>
      </w:tr>
    </w:tbl>
    <w:p w:rsidR="00630ECF" w:rsidRPr="00AE49C8" w:rsidRDefault="00630ECF" w:rsidP="00DE433D">
      <w:r w:rsidRPr="00AE49C8">
        <w:br/>
        <w:t>Overseas Languages</w:t>
      </w:r>
    </w:p>
    <w:tbl>
      <w:tblPr>
        <w:tblStyle w:val="TableGrid"/>
        <w:tblW w:w="0" w:type="auto"/>
        <w:tblLook w:val="04A0" w:firstRow="1" w:lastRow="0" w:firstColumn="1" w:lastColumn="0" w:noHBand="0" w:noVBand="1"/>
        <w:tblCaption w:val="Breakdown of overseas language interpretation in BSUH"/>
        <w:tblDescription w:val="There was a total of 2312 sessions costing £175630.81. There was a total of 2720 remote interpreting sessions costing £73839.68 and 84 translation jobs costing £21,792.45."/>
      </w:tblPr>
      <w:tblGrid>
        <w:gridCol w:w="3227"/>
        <w:gridCol w:w="2410"/>
        <w:gridCol w:w="1984"/>
        <w:gridCol w:w="1551"/>
      </w:tblGrid>
      <w:tr w:rsidR="00630ECF" w:rsidRPr="00AE49C8" w:rsidTr="00C3359F">
        <w:trPr>
          <w:cantSplit/>
          <w:tblHeader/>
        </w:trPr>
        <w:tc>
          <w:tcPr>
            <w:tcW w:w="3227" w:type="dxa"/>
          </w:tcPr>
          <w:p w:rsidR="00630ECF" w:rsidRPr="00AE49C8" w:rsidRDefault="00630ECF" w:rsidP="008A0046">
            <w:pPr>
              <w:rPr>
                <w:b/>
              </w:rPr>
            </w:pPr>
            <w:r w:rsidRPr="00AE49C8">
              <w:rPr>
                <w:b/>
              </w:rPr>
              <w:t>Activity</w:t>
            </w:r>
          </w:p>
        </w:tc>
        <w:tc>
          <w:tcPr>
            <w:tcW w:w="2410" w:type="dxa"/>
          </w:tcPr>
          <w:p w:rsidR="00630ECF" w:rsidRPr="00AE49C8" w:rsidRDefault="00630ECF" w:rsidP="008A0046">
            <w:pPr>
              <w:rPr>
                <w:b/>
              </w:rPr>
            </w:pPr>
            <w:r w:rsidRPr="00AE49C8">
              <w:rPr>
                <w:b/>
              </w:rPr>
              <w:t>Number of sessions or jobs</w:t>
            </w:r>
          </w:p>
        </w:tc>
        <w:tc>
          <w:tcPr>
            <w:tcW w:w="1984" w:type="dxa"/>
          </w:tcPr>
          <w:p w:rsidR="00630ECF" w:rsidRPr="00AE49C8" w:rsidRDefault="00630ECF" w:rsidP="008A0046">
            <w:pPr>
              <w:rPr>
                <w:b/>
              </w:rPr>
            </w:pPr>
            <w:r w:rsidRPr="00AE49C8">
              <w:rPr>
                <w:b/>
              </w:rPr>
              <w:t>Method of delivery</w:t>
            </w:r>
          </w:p>
        </w:tc>
        <w:tc>
          <w:tcPr>
            <w:tcW w:w="1418" w:type="dxa"/>
          </w:tcPr>
          <w:p w:rsidR="00630ECF" w:rsidRPr="00AE49C8" w:rsidRDefault="00630ECF" w:rsidP="008A0046">
            <w:pPr>
              <w:rPr>
                <w:b/>
              </w:rPr>
            </w:pPr>
            <w:r w:rsidRPr="00AE49C8">
              <w:rPr>
                <w:b/>
              </w:rPr>
              <w:t>Cost</w:t>
            </w:r>
          </w:p>
        </w:tc>
      </w:tr>
      <w:tr w:rsidR="00630ECF" w:rsidRPr="00AE49C8" w:rsidTr="00C3359F">
        <w:trPr>
          <w:cantSplit/>
          <w:tblHeader/>
        </w:trPr>
        <w:tc>
          <w:tcPr>
            <w:tcW w:w="3227" w:type="dxa"/>
          </w:tcPr>
          <w:p w:rsidR="00630ECF" w:rsidRPr="00AE49C8" w:rsidRDefault="00630ECF" w:rsidP="008A0046">
            <w:r w:rsidRPr="00AE49C8">
              <w:t>Overseas</w:t>
            </w:r>
            <w:r w:rsidR="00C3359F" w:rsidRPr="00AE49C8">
              <w:t xml:space="preserve"> language</w:t>
            </w:r>
            <w:r w:rsidRPr="00AE49C8">
              <w:t xml:space="preserve"> interpretation</w:t>
            </w:r>
          </w:p>
        </w:tc>
        <w:tc>
          <w:tcPr>
            <w:tcW w:w="2410" w:type="dxa"/>
          </w:tcPr>
          <w:p w:rsidR="00630ECF" w:rsidRPr="00AE49C8" w:rsidRDefault="00630ECF" w:rsidP="008A0046">
            <w:r w:rsidRPr="00AE49C8">
              <w:t>2,312</w:t>
            </w:r>
          </w:p>
        </w:tc>
        <w:tc>
          <w:tcPr>
            <w:tcW w:w="1984" w:type="dxa"/>
          </w:tcPr>
          <w:p w:rsidR="00630ECF" w:rsidRPr="00AE49C8" w:rsidRDefault="00630ECF" w:rsidP="008A0046">
            <w:r w:rsidRPr="00AE49C8">
              <w:t>Face-to-face</w:t>
            </w:r>
          </w:p>
        </w:tc>
        <w:tc>
          <w:tcPr>
            <w:tcW w:w="1418" w:type="dxa"/>
          </w:tcPr>
          <w:p w:rsidR="00630ECF" w:rsidRPr="00AE49C8" w:rsidRDefault="00630ECF" w:rsidP="008A0046">
            <w:r w:rsidRPr="00AE49C8">
              <w:t>£175,630.81</w:t>
            </w:r>
          </w:p>
        </w:tc>
      </w:tr>
      <w:tr w:rsidR="00630ECF" w:rsidRPr="00AE49C8" w:rsidTr="00C3359F">
        <w:trPr>
          <w:cantSplit/>
          <w:tblHeader/>
        </w:trPr>
        <w:tc>
          <w:tcPr>
            <w:tcW w:w="3227" w:type="dxa"/>
          </w:tcPr>
          <w:p w:rsidR="00630ECF" w:rsidRPr="00AE49C8" w:rsidRDefault="00630ECF" w:rsidP="008A0046">
            <w:r w:rsidRPr="00AE49C8">
              <w:t xml:space="preserve">Overseas </w:t>
            </w:r>
            <w:r w:rsidR="00C3359F" w:rsidRPr="00AE49C8">
              <w:t xml:space="preserve">language </w:t>
            </w:r>
            <w:r w:rsidRPr="00AE49C8">
              <w:t>interpretation</w:t>
            </w:r>
          </w:p>
        </w:tc>
        <w:tc>
          <w:tcPr>
            <w:tcW w:w="2410" w:type="dxa"/>
          </w:tcPr>
          <w:p w:rsidR="00630ECF" w:rsidRPr="00AE49C8" w:rsidRDefault="00630ECF" w:rsidP="008A0046">
            <w:r w:rsidRPr="00AE49C8">
              <w:t>2,720</w:t>
            </w:r>
          </w:p>
        </w:tc>
        <w:tc>
          <w:tcPr>
            <w:tcW w:w="1984" w:type="dxa"/>
          </w:tcPr>
          <w:p w:rsidR="00630ECF" w:rsidRPr="00AE49C8" w:rsidRDefault="00630ECF" w:rsidP="008A0046">
            <w:r w:rsidRPr="00AE49C8">
              <w:t>Remote (online and telephone)</w:t>
            </w:r>
          </w:p>
        </w:tc>
        <w:tc>
          <w:tcPr>
            <w:tcW w:w="1418" w:type="dxa"/>
          </w:tcPr>
          <w:p w:rsidR="00630ECF" w:rsidRPr="00AE49C8" w:rsidRDefault="00630ECF" w:rsidP="008A0046">
            <w:r w:rsidRPr="00AE49C8">
              <w:t>£ 73,839.68</w:t>
            </w:r>
          </w:p>
        </w:tc>
      </w:tr>
      <w:tr w:rsidR="00630ECF" w:rsidRPr="00AE49C8" w:rsidTr="00C3359F">
        <w:trPr>
          <w:cantSplit/>
          <w:tblHeader/>
        </w:trPr>
        <w:tc>
          <w:tcPr>
            <w:tcW w:w="3227" w:type="dxa"/>
          </w:tcPr>
          <w:p w:rsidR="00630ECF" w:rsidRPr="00AE49C8" w:rsidRDefault="00630ECF" w:rsidP="008A0046">
            <w:r w:rsidRPr="00AE49C8">
              <w:t xml:space="preserve">Overseas </w:t>
            </w:r>
            <w:r w:rsidR="00C3359F" w:rsidRPr="00AE49C8">
              <w:t xml:space="preserve">language </w:t>
            </w:r>
            <w:r w:rsidRPr="00AE49C8">
              <w:t>translation</w:t>
            </w:r>
          </w:p>
        </w:tc>
        <w:tc>
          <w:tcPr>
            <w:tcW w:w="2410" w:type="dxa"/>
          </w:tcPr>
          <w:p w:rsidR="00630ECF" w:rsidRPr="00AE49C8" w:rsidRDefault="00630ECF" w:rsidP="008A0046">
            <w:r w:rsidRPr="00AE49C8">
              <w:t>84</w:t>
            </w:r>
          </w:p>
        </w:tc>
        <w:tc>
          <w:tcPr>
            <w:tcW w:w="1984" w:type="dxa"/>
          </w:tcPr>
          <w:p w:rsidR="00630ECF" w:rsidRPr="00AE49C8" w:rsidRDefault="00630ECF" w:rsidP="008A0046">
            <w:r w:rsidRPr="00AE49C8">
              <w:t>Translation</w:t>
            </w:r>
          </w:p>
        </w:tc>
        <w:tc>
          <w:tcPr>
            <w:tcW w:w="1418" w:type="dxa"/>
          </w:tcPr>
          <w:p w:rsidR="00630ECF" w:rsidRPr="00AE49C8" w:rsidRDefault="00630ECF" w:rsidP="008A0046">
            <w:r w:rsidRPr="00AE49C8">
              <w:t>£ 21,792.45</w:t>
            </w:r>
          </w:p>
        </w:tc>
      </w:tr>
    </w:tbl>
    <w:p w:rsidR="00630ECF" w:rsidRPr="00AE49C8" w:rsidRDefault="00630ECF" w:rsidP="00DE433D">
      <w:r w:rsidRPr="00AE49C8">
        <w:br/>
        <w:t>During 2020/21, there were interpreting sessions that counted as a late cancellation:</w:t>
      </w:r>
    </w:p>
    <w:p w:rsidR="00630ECF" w:rsidRPr="00AE49C8" w:rsidRDefault="00630ECF" w:rsidP="00630ECF">
      <w:pPr>
        <w:pStyle w:val="ListParagraph"/>
        <w:numPr>
          <w:ilvl w:val="0"/>
          <w:numId w:val="13"/>
        </w:numPr>
      </w:pPr>
      <w:r w:rsidRPr="00AE49C8">
        <w:t>British Sign Language – 56 sessions cancelled, costing £5,890</w:t>
      </w:r>
    </w:p>
    <w:p w:rsidR="00630ECF" w:rsidRPr="00AE49C8" w:rsidRDefault="00630ECF" w:rsidP="00630ECF">
      <w:pPr>
        <w:pStyle w:val="ListParagraph"/>
        <w:numPr>
          <w:ilvl w:val="0"/>
          <w:numId w:val="13"/>
        </w:numPr>
      </w:pPr>
      <w:r w:rsidRPr="00AE49C8">
        <w:t xml:space="preserve">Overseas </w:t>
      </w:r>
      <w:r w:rsidRPr="00B0459B">
        <w:t>Lang</w:t>
      </w:r>
      <w:r w:rsidR="002B1A34" w:rsidRPr="00B0459B">
        <w:t>u</w:t>
      </w:r>
      <w:r w:rsidRPr="00B0459B">
        <w:t>age</w:t>
      </w:r>
      <w:r w:rsidRPr="00AE49C8">
        <w:t xml:space="preserve"> – 1,251 sessions cancelled, costing £52,199.65</w:t>
      </w:r>
    </w:p>
    <w:p w:rsidR="00630ECF" w:rsidRPr="00AE49C8" w:rsidRDefault="00630ECF" w:rsidP="00630ECF">
      <w:r w:rsidRPr="00AE49C8">
        <w:t>The top 10 languages that required interpreter support were:</w:t>
      </w:r>
    </w:p>
    <w:p w:rsidR="00630ECF" w:rsidRPr="00AE49C8" w:rsidRDefault="00630ECF" w:rsidP="00630ECF">
      <w:pPr>
        <w:pStyle w:val="ListParagraph"/>
        <w:numPr>
          <w:ilvl w:val="0"/>
          <w:numId w:val="14"/>
        </w:numPr>
      </w:pPr>
      <w:r w:rsidRPr="00AE49C8">
        <w:t>Arabic (1,710 sessions)</w:t>
      </w:r>
    </w:p>
    <w:p w:rsidR="00630ECF" w:rsidRPr="00AE49C8" w:rsidRDefault="00630ECF" w:rsidP="00630ECF">
      <w:pPr>
        <w:pStyle w:val="ListParagraph"/>
        <w:numPr>
          <w:ilvl w:val="0"/>
          <w:numId w:val="14"/>
        </w:numPr>
      </w:pPr>
      <w:r w:rsidRPr="00AE49C8">
        <w:t>Bengali (515 sessions)</w:t>
      </w:r>
    </w:p>
    <w:p w:rsidR="00630ECF" w:rsidRPr="00AE49C8" w:rsidRDefault="00630ECF" w:rsidP="00630ECF">
      <w:pPr>
        <w:pStyle w:val="ListParagraph"/>
        <w:numPr>
          <w:ilvl w:val="0"/>
          <w:numId w:val="14"/>
        </w:numPr>
      </w:pPr>
      <w:r w:rsidRPr="00AE49C8">
        <w:t>British Sign Language (458 sessions)</w:t>
      </w:r>
    </w:p>
    <w:p w:rsidR="00630ECF" w:rsidRPr="00AE49C8" w:rsidRDefault="00630ECF" w:rsidP="00630ECF">
      <w:pPr>
        <w:pStyle w:val="ListParagraph"/>
        <w:numPr>
          <w:ilvl w:val="0"/>
          <w:numId w:val="14"/>
        </w:numPr>
      </w:pPr>
      <w:r w:rsidRPr="00AE49C8">
        <w:t>Portuguese (408 sessions)</w:t>
      </w:r>
    </w:p>
    <w:p w:rsidR="00630ECF" w:rsidRPr="00AE49C8" w:rsidRDefault="00630ECF" w:rsidP="00630ECF">
      <w:pPr>
        <w:pStyle w:val="ListParagraph"/>
        <w:numPr>
          <w:ilvl w:val="0"/>
          <w:numId w:val="14"/>
        </w:numPr>
      </w:pPr>
      <w:r w:rsidRPr="00AE49C8">
        <w:t>Spanish (381 sessions)</w:t>
      </w:r>
    </w:p>
    <w:p w:rsidR="00630ECF" w:rsidRPr="00AE49C8" w:rsidRDefault="00630ECF" w:rsidP="00630ECF">
      <w:pPr>
        <w:pStyle w:val="ListParagraph"/>
        <w:numPr>
          <w:ilvl w:val="0"/>
          <w:numId w:val="14"/>
        </w:numPr>
      </w:pPr>
      <w:r w:rsidRPr="00AE49C8">
        <w:t>Farsi (353 sessions)</w:t>
      </w:r>
    </w:p>
    <w:p w:rsidR="00630ECF" w:rsidRPr="00AE49C8" w:rsidRDefault="00630ECF" w:rsidP="00630ECF">
      <w:pPr>
        <w:pStyle w:val="ListParagraph"/>
        <w:numPr>
          <w:ilvl w:val="0"/>
          <w:numId w:val="14"/>
        </w:numPr>
      </w:pPr>
      <w:r w:rsidRPr="00AE49C8">
        <w:t>Romanian (313 sessions)</w:t>
      </w:r>
    </w:p>
    <w:p w:rsidR="00630ECF" w:rsidRPr="00AE49C8" w:rsidRDefault="00630ECF" w:rsidP="00630ECF">
      <w:pPr>
        <w:pStyle w:val="ListParagraph"/>
        <w:numPr>
          <w:ilvl w:val="0"/>
          <w:numId w:val="14"/>
        </w:numPr>
      </w:pPr>
      <w:r w:rsidRPr="00AE49C8">
        <w:t>Polish (274 sessions)</w:t>
      </w:r>
    </w:p>
    <w:p w:rsidR="00630ECF" w:rsidRPr="00AE49C8" w:rsidRDefault="00630ECF" w:rsidP="00630ECF">
      <w:pPr>
        <w:pStyle w:val="ListParagraph"/>
        <w:numPr>
          <w:ilvl w:val="0"/>
          <w:numId w:val="14"/>
        </w:numPr>
      </w:pPr>
      <w:r w:rsidRPr="00AE49C8">
        <w:t>Russian (238 sessions)</w:t>
      </w:r>
    </w:p>
    <w:p w:rsidR="00630ECF" w:rsidRPr="00AE49C8" w:rsidRDefault="00630ECF" w:rsidP="00630ECF">
      <w:pPr>
        <w:pStyle w:val="ListParagraph"/>
        <w:numPr>
          <w:ilvl w:val="0"/>
          <w:numId w:val="14"/>
        </w:numPr>
      </w:pPr>
      <w:r w:rsidRPr="00AE49C8">
        <w:t>Albanian (236 sessions)</w:t>
      </w:r>
    </w:p>
    <w:p w:rsidR="00BD4880" w:rsidRPr="00AE49C8" w:rsidRDefault="00BD4880">
      <w:pPr>
        <w:widowControl w:val="0"/>
        <w:rPr>
          <w:b/>
        </w:rPr>
      </w:pPr>
      <w:r w:rsidRPr="00AE49C8">
        <w:rPr>
          <w:b/>
        </w:rPr>
        <w:br w:type="page"/>
      </w:r>
    </w:p>
    <w:p w:rsidR="00BD4880" w:rsidRPr="00AE49C8" w:rsidRDefault="00BD4880" w:rsidP="00BD4880">
      <w:pPr>
        <w:rPr>
          <w:b/>
        </w:rPr>
      </w:pPr>
      <w:r w:rsidRPr="00AE49C8">
        <w:rPr>
          <w:b/>
        </w:rPr>
        <w:lastRenderedPageBreak/>
        <w:t>Western Sussex Hospitals NHS Foundation Trust</w:t>
      </w:r>
    </w:p>
    <w:p w:rsidR="00BD4880" w:rsidRPr="00AE49C8" w:rsidRDefault="00BD4880" w:rsidP="00BD4880">
      <w:r w:rsidRPr="00AE49C8">
        <w:t>Recording</w:t>
      </w:r>
      <w:r w:rsidR="008E6F14">
        <w:t xml:space="preserve"> of</w:t>
      </w:r>
      <w:r w:rsidRPr="00AE49C8">
        <w:t xml:space="preserve"> interpretation and translation services does not follow the same processes as BSUH. The overall spend for these services was £16,350.67.  Post-merger</w:t>
      </w:r>
      <w:r w:rsidR="008E6F14">
        <w:t>,</w:t>
      </w:r>
      <w:r w:rsidRPr="00AE49C8">
        <w:t xml:space="preserve"> all interpretation and translation </w:t>
      </w:r>
      <w:r w:rsidR="007D31EF">
        <w:t>will be monitored under the same processes</w:t>
      </w:r>
      <w:r w:rsidRPr="00AE49C8">
        <w:t>.</w:t>
      </w:r>
    </w:p>
    <w:p w:rsidR="001B5DFA" w:rsidRPr="00AE49C8" w:rsidRDefault="001B5DFA" w:rsidP="001B5DFA">
      <w:pPr>
        <w:pStyle w:val="Heading2"/>
        <w:rPr>
          <w:rFonts w:cs="Arial"/>
        </w:rPr>
      </w:pPr>
      <w:bookmarkStart w:id="29" w:name="_Toc88633976"/>
      <w:r w:rsidRPr="00AE49C8">
        <w:rPr>
          <w:rFonts w:cs="Arial"/>
        </w:rPr>
        <w:t>Recite Me Website Accessibility Toolbar</w:t>
      </w:r>
      <w:bookmarkEnd w:id="29"/>
    </w:p>
    <w:p w:rsidR="001B5DFA" w:rsidRPr="00AE49C8" w:rsidRDefault="001B5DFA" w:rsidP="00BD4880">
      <w:r w:rsidRPr="00AE49C8">
        <w:t>Both Trusts use the Recite Me toolbar to help improve the accessibility of our web pages for all the users to the website.</w:t>
      </w:r>
    </w:p>
    <w:p w:rsidR="001B5DFA" w:rsidRPr="00AE49C8" w:rsidRDefault="001B5DFA" w:rsidP="00BD4880">
      <w:r w:rsidRPr="00AE49C8">
        <w:t>For further details about Recite Me and other accessibility features of our websites:</w:t>
      </w:r>
    </w:p>
    <w:p w:rsidR="001B5DFA" w:rsidRPr="00AE49C8" w:rsidRDefault="001B5DFA" w:rsidP="00BD4880">
      <w:r w:rsidRPr="00AE49C8">
        <w:t xml:space="preserve">For BSUH, please go to </w:t>
      </w:r>
      <w:hyperlink r:id="rId38" w:history="1">
        <w:r w:rsidR="00362782" w:rsidRPr="00AE49C8">
          <w:rPr>
            <w:rStyle w:val="Hyperlink"/>
          </w:rPr>
          <w:t>the BSUH website accessibility page</w:t>
        </w:r>
      </w:hyperlink>
      <w:r w:rsidRPr="00AE49C8">
        <w:br/>
        <w:t xml:space="preserve">For WSHT, please go to </w:t>
      </w:r>
      <w:hyperlink r:id="rId39" w:history="1">
        <w:r w:rsidR="00362782" w:rsidRPr="00AE49C8">
          <w:rPr>
            <w:rStyle w:val="Hyperlink"/>
          </w:rPr>
          <w:t>the WSHT website accessibility page</w:t>
        </w:r>
      </w:hyperlink>
      <w:r w:rsidRPr="00AE49C8">
        <w:t xml:space="preserve"> </w:t>
      </w:r>
    </w:p>
    <w:p w:rsidR="001B5DFA" w:rsidRPr="00AE49C8" w:rsidRDefault="001B5DFA" w:rsidP="00BD4880">
      <w:r w:rsidRPr="00AE49C8">
        <w:t>During 2020/21, the BSUH website:</w:t>
      </w:r>
    </w:p>
    <w:p w:rsidR="001B5DFA" w:rsidRPr="00AE49C8" w:rsidRDefault="001B5DFA" w:rsidP="00BD4880">
      <w:r w:rsidRPr="00AE49C8">
        <w:t xml:space="preserve">Had the Recite Me Toolbar loaded 15,709 times by 5,268 unique users. During the web sessions that </w:t>
      </w:r>
      <w:r w:rsidR="000D2F61">
        <w:t>the toolbar has assisted</w:t>
      </w:r>
      <w:r w:rsidRPr="00AE49C8">
        <w:t>, a total of 37,360 features were used; these include:</w:t>
      </w:r>
    </w:p>
    <w:p w:rsidR="001B5DFA" w:rsidRPr="00AE49C8" w:rsidRDefault="00F70D8C" w:rsidP="001B5DFA">
      <w:pPr>
        <w:pStyle w:val="ListParagraph"/>
        <w:numPr>
          <w:ilvl w:val="0"/>
          <w:numId w:val="15"/>
        </w:numPr>
      </w:pPr>
      <w:r w:rsidRPr="00AE49C8">
        <w:t>Screen reader function (</w:t>
      </w:r>
      <w:r w:rsidR="001B5DFA" w:rsidRPr="00AE49C8">
        <w:t>in English and overseas languages) 35,111 times</w:t>
      </w:r>
    </w:p>
    <w:p w:rsidR="001B5DFA" w:rsidRPr="00AE49C8" w:rsidRDefault="001B5DFA" w:rsidP="001B5DFA">
      <w:pPr>
        <w:pStyle w:val="ListParagraph"/>
        <w:numPr>
          <w:ilvl w:val="0"/>
          <w:numId w:val="15"/>
        </w:numPr>
      </w:pPr>
      <w:r w:rsidRPr="00AE49C8">
        <w:t>Translation of written text on web pages 2,331 times</w:t>
      </w:r>
    </w:p>
    <w:p w:rsidR="001B5DFA" w:rsidRPr="00AE49C8" w:rsidRDefault="001B5DFA" w:rsidP="001B5DFA">
      <w:pPr>
        <w:pStyle w:val="ListParagraph"/>
        <w:numPr>
          <w:ilvl w:val="0"/>
          <w:numId w:val="15"/>
        </w:numPr>
      </w:pPr>
      <w:r w:rsidRPr="00AE49C8">
        <w:t>Style changing function 1,152 times</w:t>
      </w:r>
    </w:p>
    <w:p w:rsidR="001B5DFA" w:rsidRPr="00AE49C8" w:rsidRDefault="001B5DFA" w:rsidP="001B5DFA">
      <w:pPr>
        <w:pStyle w:val="ListParagraph"/>
        <w:numPr>
          <w:ilvl w:val="0"/>
          <w:numId w:val="15"/>
        </w:numPr>
      </w:pPr>
      <w:r w:rsidRPr="00AE49C8">
        <w:t>Text only mode 146 times</w:t>
      </w:r>
    </w:p>
    <w:p w:rsidR="001B5DFA" w:rsidRPr="00AE49C8" w:rsidRDefault="001B5DFA" w:rsidP="001B5DFA">
      <w:pPr>
        <w:pStyle w:val="ListParagraph"/>
        <w:numPr>
          <w:ilvl w:val="0"/>
          <w:numId w:val="15"/>
        </w:numPr>
      </w:pPr>
      <w:r w:rsidRPr="00AE49C8">
        <w:t>Dictionary 61 times</w:t>
      </w:r>
    </w:p>
    <w:p w:rsidR="001B5DFA" w:rsidRPr="00AE49C8" w:rsidRDefault="001B5DFA" w:rsidP="001B5DFA">
      <w:pPr>
        <w:pStyle w:val="ListParagraph"/>
        <w:numPr>
          <w:ilvl w:val="0"/>
          <w:numId w:val="15"/>
        </w:numPr>
      </w:pPr>
      <w:r w:rsidRPr="00AE49C8">
        <w:t>Ruler 48 times</w:t>
      </w:r>
    </w:p>
    <w:p w:rsidR="001B5DFA" w:rsidRPr="00AE49C8" w:rsidRDefault="001B5DFA" w:rsidP="001B5DFA">
      <w:pPr>
        <w:pStyle w:val="ListParagraph"/>
        <w:numPr>
          <w:ilvl w:val="0"/>
          <w:numId w:val="15"/>
        </w:numPr>
      </w:pPr>
      <w:r w:rsidRPr="00AE49C8">
        <w:t>Magnifier function 43 times</w:t>
      </w:r>
    </w:p>
    <w:p w:rsidR="001B5DFA" w:rsidRPr="00AE49C8" w:rsidRDefault="001B5DFA" w:rsidP="001B5DFA">
      <w:pPr>
        <w:pStyle w:val="ListParagraph"/>
        <w:numPr>
          <w:ilvl w:val="0"/>
          <w:numId w:val="15"/>
        </w:numPr>
      </w:pPr>
      <w:r w:rsidRPr="00AE49C8">
        <w:t>Preferences function 31 times</w:t>
      </w:r>
    </w:p>
    <w:p w:rsidR="001B5DFA" w:rsidRPr="00AE49C8" w:rsidRDefault="001B5DFA" w:rsidP="001B5DFA">
      <w:pPr>
        <w:pStyle w:val="ListParagraph"/>
        <w:numPr>
          <w:ilvl w:val="0"/>
          <w:numId w:val="15"/>
        </w:numPr>
      </w:pPr>
      <w:r w:rsidRPr="00AE49C8">
        <w:t>Screen mask function 28 times</w:t>
      </w:r>
    </w:p>
    <w:p w:rsidR="001B5DFA" w:rsidRPr="00AE49C8" w:rsidRDefault="008A0046" w:rsidP="001B5DFA">
      <w:pPr>
        <w:pStyle w:val="ListParagraph"/>
        <w:numPr>
          <w:ilvl w:val="0"/>
          <w:numId w:val="15"/>
        </w:numPr>
      </w:pPr>
      <w:r w:rsidRPr="00AE49C8">
        <w:t>D</w:t>
      </w:r>
      <w:r w:rsidR="001B5DFA" w:rsidRPr="00AE49C8">
        <w:t xml:space="preserve">ownload </w:t>
      </w:r>
      <w:r w:rsidRPr="00AE49C8">
        <w:t xml:space="preserve">web pages </w:t>
      </w:r>
      <w:r w:rsidR="001B5DFA" w:rsidRPr="00AE49C8">
        <w:t>into an audio format 9 times.</w:t>
      </w:r>
    </w:p>
    <w:p w:rsidR="00DC6594" w:rsidRPr="00AE49C8" w:rsidRDefault="00DC6594">
      <w:pPr>
        <w:widowControl w:val="0"/>
      </w:pPr>
      <w:r w:rsidRPr="00AE49C8">
        <w:br w:type="page"/>
      </w:r>
    </w:p>
    <w:p w:rsidR="00DC6594" w:rsidRPr="00AE49C8" w:rsidRDefault="00DC6594" w:rsidP="00DC6594">
      <w:pPr>
        <w:pStyle w:val="Heading1"/>
        <w:rPr>
          <w:rFonts w:cs="Arial"/>
        </w:rPr>
      </w:pPr>
      <w:bookmarkStart w:id="30" w:name="_Toc88633977"/>
      <w:r w:rsidRPr="00AE49C8">
        <w:rPr>
          <w:rFonts w:cs="Arial"/>
        </w:rPr>
        <w:lastRenderedPageBreak/>
        <w:t>The Trusts' Workforces</w:t>
      </w:r>
      <w:bookmarkEnd w:id="30"/>
    </w:p>
    <w:p w:rsidR="00DC6594" w:rsidRPr="00AE49C8" w:rsidRDefault="00DC6594" w:rsidP="00DC6594">
      <w:r w:rsidRPr="00AE49C8">
        <w:t xml:space="preserve">This section will </w:t>
      </w:r>
      <w:r w:rsidR="008E6F14">
        <w:t>review</w:t>
      </w:r>
      <w:r w:rsidRPr="00AE49C8">
        <w:t xml:space="preserve"> </w:t>
      </w:r>
      <w:r w:rsidR="008E6F14">
        <w:t>the BSUH and WSHT workforces</w:t>
      </w:r>
      <w:r w:rsidRPr="00AE49C8">
        <w:t xml:space="preserve"> through various datasets. The data is taken from multiple systems, including Electronic Staff Records (ESR, integrated human resources and payroll system, TRAC (recruitment system), and other local databases.</w:t>
      </w:r>
    </w:p>
    <w:p w:rsidR="00DC6594" w:rsidRPr="00AE49C8" w:rsidRDefault="00DC6594" w:rsidP="00DC6594">
      <w:r w:rsidRPr="00AE49C8">
        <w:t xml:space="preserve">It was impossible to </w:t>
      </w:r>
      <w:r w:rsidR="003204AF" w:rsidRPr="00AE49C8">
        <w:t>break down</w:t>
      </w:r>
      <w:r w:rsidRPr="00AE49C8">
        <w:t xml:space="preserve"> gender identity and pregnancy and maternity during the reporting period</w:t>
      </w:r>
      <w:r w:rsidR="00957803" w:rsidRPr="00AE49C8">
        <w:t>. T</w:t>
      </w:r>
      <w:r w:rsidRPr="00AE49C8">
        <w:t>he ESR system either does not collect the information or cannot report on a range of employee activity.</w:t>
      </w:r>
    </w:p>
    <w:p w:rsidR="00DC6594" w:rsidRPr="00AE49C8" w:rsidRDefault="00DC6594" w:rsidP="00DC6594">
      <w:pPr>
        <w:pStyle w:val="Heading2"/>
        <w:rPr>
          <w:rFonts w:cs="Arial"/>
        </w:rPr>
      </w:pPr>
      <w:bookmarkStart w:id="31" w:name="_Toc88633978"/>
      <w:r w:rsidRPr="00AE49C8">
        <w:rPr>
          <w:rFonts w:cs="Arial"/>
        </w:rPr>
        <w:t>Age</w:t>
      </w:r>
      <w:bookmarkEnd w:id="31"/>
    </w:p>
    <w:p w:rsidR="00DC6594" w:rsidRPr="00AE49C8" w:rsidRDefault="00DC6594" w:rsidP="00A327C3">
      <w:pPr>
        <w:pStyle w:val="Heading3"/>
      </w:pPr>
      <w:bookmarkStart w:id="32" w:name="_Toc88633979"/>
      <w:r w:rsidRPr="00AE49C8">
        <w:t>Representation of staff within the workforce broken down by age</w:t>
      </w:r>
      <w:bookmarkEnd w:id="32"/>
    </w:p>
    <w:tbl>
      <w:tblPr>
        <w:tblW w:w="9603" w:type="dxa"/>
        <w:jc w:val="center"/>
        <w:tblLook w:val="04A0" w:firstRow="1" w:lastRow="0" w:firstColumn="1" w:lastColumn="0" w:noHBand="0" w:noVBand="1"/>
        <w:tblCaption w:val="Breakdown of the workforce by age (table 1 ages &lt;20 to 50)"/>
        <w:tblDescription w:val="The graph shows data for BSUH 2019/20 and 2020/21, WSHT 2019/20 and 2020/21 and from the 2011 Census"/>
      </w:tblPr>
      <w:tblGrid>
        <w:gridCol w:w="2120"/>
        <w:gridCol w:w="1723"/>
        <w:gridCol w:w="960"/>
        <w:gridCol w:w="960"/>
        <w:gridCol w:w="960"/>
        <w:gridCol w:w="960"/>
        <w:gridCol w:w="960"/>
        <w:gridCol w:w="960"/>
      </w:tblGrid>
      <w:tr w:rsidR="00DC6594" w:rsidRPr="00AE49C8" w:rsidTr="00FF494A">
        <w:trPr>
          <w:trHeight w:val="312"/>
          <w:jc w:val="center"/>
        </w:trPr>
        <w:tc>
          <w:tcPr>
            <w:tcW w:w="2120" w:type="dxa"/>
            <w:tcBorders>
              <w:top w:val="nil"/>
              <w:left w:val="nil"/>
              <w:bottom w:val="nil"/>
              <w:right w:val="nil"/>
            </w:tcBorders>
            <w:shd w:val="clear" w:color="auto" w:fill="auto"/>
            <w:noWrap/>
            <w:vAlign w:val="bottom"/>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Age Range</w:t>
            </w:r>
          </w:p>
        </w:tc>
        <w:tc>
          <w:tcPr>
            <w:tcW w:w="1723" w:type="dxa"/>
            <w:tcBorders>
              <w:top w:val="nil"/>
              <w:left w:val="nil"/>
              <w:bottom w:val="nil"/>
              <w:right w:val="nil"/>
            </w:tcBorders>
            <w:shd w:val="clear" w:color="auto" w:fill="auto"/>
            <w:noWrap/>
            <w:vAlign w:val="bottom"/>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&lt;=20 Years</w:t>
            </w:r>
          </w:p>
        </w:tc>
        <w:tc>
          <w:tcPr>
            <w:tcW w:w="960" w:type="dxa"/>
            <w:tcBorders>
              <w:top w:val="nil"/>
              <w:left w:val="nil"/>
              <w:bottom w:val="nil"/>
              <w:right w:val="nil"/>
            </w:tcBorders>
            <w:shd w:val="clear" w:color="auto" w:fill="auto"/>
            <w:noWrap/>
            <w:vAlign w:val="bottom"/>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21-25</w:t>
            </w:r>
          </w:p>
        </w:tc>
        <w:tc>
          <w:tcPr>
            <w:tcW w:w="960" w:type="dxa"/>
            <w:tcBorders>
              <w:top w:val="nil"/>
              <w:left w:val="nil"/>
              <w:bottom w:val="nil"/>
              <w:right w:val="nil"/>
            </w:tcBorders>
            <w:shd w:val="clear" w:color="auto" w:fill="auto"/>
            <w:noWrap/>
            <w:vAlign w:val="bottom"/>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26-30</w:t>
            </w:r>
          </w:p>
        </w:tc>
        <w:tc>
          <w:tcPr>
            <w:tcW w:w="960" w:type="dxa"/>
            <w:tcBorders>
              <w:top w:val="nil"/>
              <w:left w:val="nil"/>
              <w:bottom w:val="nil"/>
              <w:right w:val="nil"/>
            </w:tcBorders>
            <w:shd w:val="clear" w:color="auto" w:fill="auto"/>
            <w:noWrap/>
            <w:vAlign w:val="bottom"/>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31-35</w:t>
            </w:r>
          </w:p>
        </w:tc>
        <w:tc>
          <w:tcPr>
            <w:tcW w:w="960" w:type="dxa"/>
            <w:tcBorders>
              <w:top w:val="nil"/>
              <w:left w:val="nil"/>
              <w:bottom w:val="nil"/>
              <w:right w:val="nil"/>
            </w:tcBorders>
            <w:shd w:val="clear" w:color="auto" w:fill="auto"/>
            <w:noWrap/>
            <w:vAlign w:val="bottom"/>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36-40</w:t>
            </w:r>
          </w:p>
        </w:tc>
        <w:tc>
          <w:tcPr>
            <w:tcW w:w="960" w:type="dxa"/>
            <w:tcBorders>
              <w:top w:val="nil"/>
              <w:left w:val="nil"/>
              <w:bottom w:val="nil"/>
              <w:right w:val="nil"/>
            </w:tcBorders>
            <w:shd w:val="clear" w:color="auto" w:fill="auto"/>
            <w:noWrap/>
            <w:vAlign w:val="bottom"/>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41-45</w:t>
            </w:r>
          </w:p>
        </w:tc>
        <w:tc>
          <w:tcPr>
            <w:tcW w:w="960" w:type="dxa"/>
            <w:tcBorders>
              <w:top w:val="nil"/>
              <w:left w:val="nil"/>
              <w:bottom w:val="nil"/>
              <w:right w:val="nil"/>
            </w:tcBorders>
            <w:shd w:val="clear" w:color="auto" w:fill="auto"/>
            <w:noWrap/>
            <w:vAlign w:val="bottom"/>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46-50</w:t>
            </w:r>
          </w:p>
        </w:tc>
      </w:tr>
      <w:tr w:rsidR="00DC6594" w:rsidRPr="00AE49C8" w:rsidTr="00FF494A">
        <w:trPr>
          <w:trHeight w:val="312"/>
          <w:jc w:val="center"/>
        </w:trPr>
        <w:tc>
          <w:tcPr>
            <w:tcW w:w="2120" w:type="dxa"/>
            <w:tcBorders>
              <w:top w:val="nil"/>
              <w:left w:val="nil"/>
              <w:bottom w:val="nil"/>
              <w:right w:val="nil"/>
            </w:tcBorders>
            <w:shd w:val="clear" w:color="000000" w:fill="C5D9F1"/>
            <w:noWrap/>
            <w:vAlign w:val="bottom"/>
            <w:hideMark/>
          </w:tcPr>
          <w:p w:rsidR="00DC6594" w:rsidRPr="00AE49C8" w:rsidRDefault="00DC6594" w:rsidP="00DC6594">
            <w:pPr>
              <w:spacing w:after="0" w:line="240" w:lineRule="auto"/>
              <w:jc w:val="center"/>
              <w:rPr>
                <w:rFonts w:eastAsia="Times New Roman"/>
                <w:b/>
                <w:bCs/>
                <w:szCs w:val="24"/>
                <w:lang w:eastAsia="en-GB"/>
              </w:rPr>
            </w:pPr>
            <w:r w:rsidRPr="00AE49C8">
              <w:rPr>
                <w:rFonts w:eastAsia="Times New Roman"/>
                <w:b/>
                <w:bCs/>
                <w:szCs w:val="24"/>
                <w:lang w:eastAsia="en-GB"/>
              </w:rPr>
              <w:t>2019/20 (BSUH)</w:t>
            </w:r>
          </w:p>
        </w:tc>
        <w:tc>
          <w:tcPr>
            <w:tcW w:w="1723" w:type="dxa"/>
            <w:tcBorders>
              <w:top w:val="nil"/>
              <w:left w:val="nil"/>
              <w:bottom w:val="nil"/>
              <w:right w:val="nil"/>
            </w:tcBorders>
            <w:shd w:val="clear" w:color="000000" w:fill="C5D9F1"/>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0.6%</w:t>
            </w:r>
          </w:p>
        </w:tc>
        <w:tc>
          <w:tcPr>
            <w:tcW w:w="960" w:type="dxa"/>
            <w:tcBorders>
              <w:top w:val="nil"/>
              <w:left w:val="nil"/>
              <w:bottom w:val="nil"/>
              <w:right w:val="nil"/>
            </w:tcBorders>
            <w:shd w:val="clear" w:color="000000" w:fill="C5D9F1"/>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5.8%</w:t>
            </w:r>
          </w:p>
        </w:tc>
        <w:tc>
          <w:tcPr>
            <w:tcW w:w="960" w:type="dxa"/>
            <w:tcBorders>
              <w:top w:val="nil"/>
              <w:left w:val="nil"/>
              <w:bottom w:val="nil"/>
              <w:right w:val="nil"/>
            </w:tcBorders>
            <w:shd w:val="clear" w:color="000000" w:fill="C5D9F1"/>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13.8%</w:t>
            </w:r>
          </w:p>
        </w:tc>
        <w:tc>
          <w:tcPr>
            <w:tcW w:w="960" w:type="dxa"/>
            <w:tcBorders>
              <w:top w:val="nil"/>
              <w:left w:val="nil"/>
              <w:bottom w:val="nil"/>
              <w:right w:val="nil"/>
            </w:tcBorders>
            <w:shd w:val="clear" w:color="000000" w:fill="C5D9F1"/>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13.4%</w:t>
            </w:r>
          </w:p>
        </w:tc>
        <w:tc>
          <w:tcPr>
            <w:tcW w:w="960" w:type="dxa"/>
            <w:tcBorders>
              <w:top w:val="nil"/>
              <w:left w:val="nil"/>
              <w:bottom w:val="nil"/>
              <w:right w:val="nil"/>
            </w:tcBorders>
            <w:shd w:val="clear" w:color="000000" w:fill="C5D9F1"/>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12.5%</w:t>
            </w:r>
          </w:p>
        </w:tc>
        <w:tc>
          <w:tcPr>
            <w:tcW w:w="960" w:type="dxa"/>
            <w:tcBorders>
              <w:top w:val="nil"/>
              <w:left w:val="nil"/>
              <w:bottom w:val="nil"/>
              <w:right w:val="nil"/>
            </w:tcBorders>
            <w:shd w:val="clear" w:color="000000" w:fill="C5D9F1"/>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12.8%</w:t>
            </w:r>
          </w:p>
        </w:tc>
        <w:tc>
          <w:tcPr>
            <w:tcW w:w="960" w:type="dxa"/>
            <w:tcBorders>
              <w:top w:val="nil"/>
              <w:left w:val="nil"/>
              <w:bottom w:val="nil"/>
              <w:right w:val="nil"/>
            </w:tcBorders>
            <w:shd w:val="clear" w:color="000000" w:fill="C5D9F1"/>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12.5%</w:t>
            </w:r>
          </w:p>
        </w:tc>
      </w:tr>
      <w:tr w:rsidR="00DC6594" w:rsidRPr="00AE49C8" w:rsidTr="00FF494A">
        <w:trPr>
          <w:trHeight w:val="312"/>
          <w:jc w:val="center"/>
        </w:trPr>
        <w:tc>
          <w:tcPr>
            <w:tcW w:w="2120" w:type="dxa"/>
            <w:tcBorders>
              <w:top w:val="nil"/>
              <w:left w:val="nil"/>
              <w:bottom w:val="nil"/>
              <w:right w:val="nil"/>
            </w:tcBorders>
            <w:shd w:val="clear" w:color="000000" w:fill="41B6E6"/>
            <w:noWrap/>
            <w:vAlign w:val="bottom"/>
            <w:hideMark/>
          </w:tcPr>
          <w:p w:rsidR="00DC6594" w:rsidRPr="00AE49C8" w:rsidRDefault="00DC6594" w:rsidP="00DC6594">
            <w:pPr>
              <w:spacing w:after="0" w:line="240" w:lineRule="auto"/>
              <w:jc w:val="center"/>
              <w:rPr>
                <w:rFonts w:eastAsia="Times New Roman"/>
                <w:b/>
                <w:bCs/>
                <w:szCs w:val="24"/>
                <w:lang w:eastAsia="en-GB"/>
              </w:rPr>
            </w:pPr>
            <w:r w:rsidRPr="00AE49C8">
              <w:rPr>
                <w:rFonts w:eastAsia="Times New Roman"/>
                <w:b/>
                <w:bCs/>
                <w:szCs w:val="24"/>
                <w:lang w:eastAsia="en-GB"/>
              </w:rPr>
              <w:t>2020/21 (BSUH)</w:t>
            </w:r>
          </w:p>
        </w:tc>
        <w:tc>
          <w:tcPr>
            <w:tcW w:w="1723" w:type="dxa"/>
            <w:tcBorders>
              <w:top w:val="nil"/>
              <w:left w:val="nil"/>
              <w:bottom w:val="nil"/>
              <w:right w:val="nil"/>
            </w:tcBorders>
            <w:shd w:val="clear" w:color="000000" w:fill="41B6E6"/>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0.5%</w:t>
            </w:r>
          </w:p>
        </w:tc>
        <w:tc>
          <w:tcPr>
            <w:tcW w:w="960" w:type="dxa"/>
            <w:tcBorders>
              <w:top w:val="nil"/>
              <w:left w:val="nil"/>
              <w:bottom w:val="nil"/>
              <w:right w:val="nil"/>
            </w:tcBorders>
            <w:shd w:val="clear" w:color="000000" w:fill="41B6E6"/>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6.3%</w:t>
            </w:r>
          </w:p>
        </w:tc>
        <w:tc>
          <w:tcPr>
            <w:tcW w:w="960" w:type="dxa"/>
            <w:tcBorders>
              <w:top w:val="nil"/>
              <w:left w:val="nil"/>
              <w:bottom w:val="nil"/>
              <w:right w:val="nil"/>
            </w:tcBorders>
            <w:shd w:val="clear" w:color="000000" w:fill="41B6E6"/>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13.3%</w:t>
            </w:r>
          </w:p>
        </w:tc>
        <w:tc>
          <w:tcPr>
            <w:tcW w:w="960" w:type="dxa"/>
            <w:tcBorders>
              <w:top w:val="nil"/>
              <w:left w:val="nil"/>
              <w:bottom w:val="nil"/>
              <w:right w:val="nil"/>
            </w:tcBorders>
            <w:shd w:val="clear" w:color="000000" w:fill="41B6E6"/>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14.2%</w:t>
            </w:r>
          </w:p>
        </w:tc>
        <w:tc>
          <w:tcPr>
            <w:tcW w:w="960" w:type="dxa"/>
            <w:tcBorders>
              <w:top w:val="nil"/>
              <w:left w:val="nil"/>
              <w:bottom w:val="nil"/>
              <w:right w:val="nil"/>
            </w:tcBorders>
            <w:shd w:val="clear" w:color="000000" w:fill="41B6E6"/>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12.1%</w:t>
            </w:r>
          </w:p>
        </w:tc>
        <w:tc>
          <w:tcPr>
            <w:tcW w:w="960" w:type="dxa"/>
            <w:tcBorders>
              <w:top w:val="nil"/>
              <w:left w:val="nil"/>
              <w:bottom w:val="nil"/>
              <w:right w:val="nil"/>
            </w:tcBorders>
            <w:shd w:val="clear" w:color="000000" w:fill="41B6E6"/>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12.3%</w:t>
            </w:r>
          </w:p>
        </w:tc>
        <w:tc>
          <w:tcPr>
            <w:tcW w:w="960" w:type="dxa"/>
            <w:tcBorders>
              <w:top w:val="nil"/>
              <w:left w:val="nil"/>
              <w:bottom w:val="nil"/>
              <w:right w:val="nil"/>
            </w:tcBorders>
            <w:shd w:val="clear" w:color="000000" w:fill="41B6E6"/>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12.8%</w:t>
            </w:r>
          </w:p>
        </w:tc>
      </w:tr>
      <w:tr w:rsidR="00DC6594" w:rsidRPr="00AE49C8" w:rsidTr="00FF494A">
        <w:trPr>
          <w:trHeight w:val="312"/>
          <w:jc w:val="center"/>
        </w:trPr>
        <w:tc>
          <w:tcPr>
            <w:tcW w:w="2120" w:type="dxa"/>
            <w:tcBorders>
              <w:top w:val="nil"/>
              <w:left w:val="nil"/>
              <w:bottom w:val="nil"/>
              <w:right w:val="nil"/>
            </w:tcBorders>
            <w:shd w:val="clear" w:color="000000" w:fill="D8E4BC"/>
            <w:noWrap/>
            <w:vAlign w:val="bottom"/>
            <w:hideMark/>
          </w:tcPr>
          <w:p w:rsidR="00DC6594" w:rsidRPr="00AE49C8" w:rsidRDefault="00DC6594" w:rsidP="00DC6594">
            <w:pPr>
              <w:spacing w:after="0" w:line="240" w:lineRule="auto"/>
              <w:jc w:val="center"/>
              <w:rPr>
                <w:rFonts w:eastAsia="Times New Roman"/>
                <w:b/>
                <w:bCs/>
                <w:szCs w:val="24"/>
                <w:lang w:eastAsia="en-GB"/>
              </w:rPr>
            </w:pPr>
            <w:r w:rsidRPr="00AE49C8">
              <w:rPr>
                <w:rFonts w:eastAsia="Times New Roman"/>
                <w:b/>
                <w:bCs/>
                <w:szCs w:val="24"/>
                <w:lang w:eastAsia="en-GB"/>
              </w:rPr>
              <w:t>2019/20 (WSHT)</w:t>
            </w:r>
          </w:p>
        </w:tc>
        <w:tc>
          <w:tcPr>
            <w:tcW w:w="1723" w:type="dxa"/>
            <w:tcBorders>
              <w:top w:val="nil"/>
              <w:left w:val="nil"/>
              <w:bottom w:val="nil"/>
              <w:right w:val="nil"/>
            </w:tcBorders>
            <w:shd w:val="clear" w:color="000000" w:fill="D8E4BC"/>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0.9%</w:t>
            </w:r>
          </w:p>
        </w:tc>
        <w:tc>
          <w:tcPr>
            <w:tcW w:w="960" w:type="dxa"/>
            <w:tcBorders>
              <w:top w:val="nil"/>
              <w:left w:val="nil"/>
              <w:bottom w:val="nil"/>
              <w:right w:val="nil"/>
            </w:tcBorders>
            <w:shd w:val="clear" w:color="000000" w:fill="D8E4BC"/>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6.1%</w:t>
            </w:r>
          </w:p>
        </w:tc>
        <w:tc>
          <w:tcPr>
            <w:tcW w:w="960" w:type="dxa"/>
            <w:tcBorders>
              <w:top w:val="nil"/>
              <w:left w:val="nil"/>
              <w:bottom w:val="nil"/>
              <w:right w:val="nil"/>
            </w:tcBorders>
            <w:shd w:val="clear" w:color="000000" w:fill="D8E4BC"/>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12.1%</w:t>
            </w:r>
          </w:p>
        </w:tc>
        <w:tc>
          <w:tcPr>
            <w:tcW w:w="960" w:type="dxa"/>
            <w:tcBorders>
              <w:top w:val="nil"/>
              <w:left w:val="nil"/>
              <w:bottom w:val="nil"/>
              <w:right w:val="nil"/>
            </w:tcBorders>
            <w:shd w:val="clear" w:color="000000" w:fill="D8E4BC"/>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13.0%</w:t>
            </w:r>
          </w:p>
        </w:tc>
        <w:tc>
          <w:tcPr>
            <w:tcW w:w="960" w:type="dxa"/>
            <w:tcBorders>
              <w:top w:val="nil"/>
              <w:left w:val="nil"/>
              <w:bottom w:val="nil"/>
              <w:right w:val="nil"/>
            </w:tcBorders>
            <w:shd w:val="clear" w:color="000000" w:fill="D8E4BC"/>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11.4%</w:t>
            </w:r>
          </w:p>
        </w:tc>
        <w:tc>
          <w:tcPr>
            <w:tcW w:w="960" w:type="dxa"/>
            <w:tcBorders>
              <w:top w:val="nil"/>
              <w:left w:val="nil"/>
              <w:bottom w:val="nil"/>
              <w:right w:val="nil"/>
            </w:tcBorders>
            <w:shd w:val="clear" w:color="000000" w:fill="D8E4BC"/>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12.3%</w:t>
            </w:r>
          </w:p>
        </w:tc>
        <w:tc>
          <w:tcPr>
            <w:tcW w:w="960" w:type="dxa"/>
            <w:tcBorders>
              <w:top w:val="nil"/>
              <w:left w:val="nil"/>
              <w:bottom w:val="nil"/>
              <w:right w:val="nil"/>
            </w:tcBorders>
            <w:shd w:val="clear" w:color="000000" w:fill="D8E4BC"/>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13.3%</w:t>
            </w:r>
          </w:p>
        </w:tc>
      </w:tr>
      <w:tr w:rsidR="00DC6594" w:rsidRPr="00AE49C8" w:rsidTr="00FF494A">
        <w:trPr>
          <w:trHeight w:val="312"/>
          <w:jc w:val="center"/>
        </w:trPr>
        <w:tc>
          <w:tcPr>
            <w:tcW w:w="2120" w:type="dxa"/>
            <w:tcBorders>
              <w:top w:val="nil"/>
              <w:left w:val="nil"/>
              <w:bottom w:val="nil"/>
              <w:right w:val="nil"/>
            </w:tcBorders>
            <w:shd w:val="clear" w:color="000000" w:fill="009639"/>
            <w:noWrap/>
            <w:vAlign w:val="bottom"/>
            <w:hideMark/>
          </w:tcPr>
          <w:p w:rsidR="00DC6594" w:rsidRPr="00AE49C8" w:rsidRDefault="00DC6594" w:rsidP="00DC6594">
            <w:pPr>
              <w:spacing w:after="0" w:line="240" w:lineRule="auto"/>
              <w:jc w:val="center"/>
              <w:rPr>
                <w:rFonts w:eastAsia="Times New Roman"/>
                <w:b/>
                <w:bCs/>
                <w:color w:val="FFFFFF"/>
                <w:szCs w:val="24"/>
                <w:lang w:eastAsia="en-GB"/>
              </w:rPr>
            </w:pPr>
            <w:r w:rsidRPr="00AE49C8">
              <w:rPr>
                <w:rFonts w:eastAsia="Times New Roman"/>
                <w:b/>
                <w:bCs/>
                <w:color w:val="FFFFFF"/>
                <w:szCs w:val="24"/>
                <w:lang w:eastAsia="en-GB"/>
              </w:rPr>
              <w:t>2020/21 (WSHT)</w:t>
            </w:r>
          </w:p>
        </w:tc>
        <w:tc>
          <w:tcPr>
            <w:tcW w:w="1723" w:type="dxa"/>
            <w:tcBorders>
              <w:top w:val="nil"/>
              <w:left w:val="nil"/>
              <w:bottom w:val="nil"/>
              <w:right w:val="nil"/>
            </w:tcBorders>
            <w:shd w:val="clear" w:color="000000" w:fill="009639"/>
            <w:noWrap/>
            <w:vAlign w:val="bottom"/>
            <w:hideMark/>
          </w:tcPr>
          <w:p w:rsidR="00DC6594" w:rsidRPr="00AE49C8" w:rsidRDefault="00DC6594" w:rsidP="00DC6594">
            <w:pPr>
              <w:spacing w:after="0" w:line="240" w:lineRule="auto"/>
              <w:jc w:val="center"/>
              <w:rPr>
                <w:rFonts w:eastAsia="Times New Roman"/>
                <w:color w:val="FFFFFF"/>
                <w:szCs w:val="24"/>
                <w:lang w:eastAsia="en-GB"/>
              </w:rPr>
            </w:pPr>
            <w:r w:rsidRPr="00AE49C8">
              <w:rPr>
                <w:rFonts w:eastAsia="Times New Roman"/>
                <w:color w:val="FFFFFF"/>
                <w:szCs w:val="24"/>
                <w:lang w:eastAsia="en-GB"/>
              </w:rPr>
              <w:t>0.8%</w:t>
            </w:r>
          </w:p>
        </w:tc>
        <w:tc>
          <w:tcPr>
            <w:tcW w:w="960" w:type="dxa"/>
            <w:tcBorders>
              <w:top w:val="nil"/>
              <w:left w:val="nil"/>
              <w:bottom w:val="nil"/>
              <w:right w:val="nil"/>
            </w:tcBorders>
            <w:shd w:val="clear" w:color="000000" w:fill="009639"/>
            <w:noWrap/>
            <w:vAlign w:val="bottom"/>
            <w:hideMark/>
          </w:tcPr>
          <w:p w:rsidR="00DC6594" w:rsidRPr="00AE49C8" w:rsidRDefault="00DC6594" w:rsidP="00DC6594">
            <w:pPr>
              <w:spacing w:after="0" w:line="240" w:lineRule="auto"/>
              <w:jc w:val="center"/>
              <w:rPr>
                <w:rFonts w:eastAsia="Times New Roman"/>
                <w:color w:val="FFFFFF"/>
                <w:szCs w:val="24"/>
                <w:lang w:eastAsia="en-GB"/>
              </w:rPr>
            </w:pPr>
            <w:r w:rsidRPr="00AE49C8">
              <w:rPr>
                <w:rFonts w:eastAsia="Times New Roman"/>
                <w:color w:val="FFFFFF"/>
                <w:szCs w:val="24"/>
                <w:lang w:eastAsia="en-GB"/>
              </w:rPr>
              <w:t>5.9%</w:t>
            </w:r>
          </w:p>
        </w:tc>
        <w:tc>
          <w:tcPr>
            <w:tcW w:w="960" w:type="dxa"/>
            <w:tcBorders>
              <w:top w:val="nil"/>
              <w:left w:val="nil"/>
              <w:bottom w:val="nil"/>
              <w:right w:val="nil"/>
            </w:tcBorders>
            <w:shd w:val="clear" w:color="000000" w:fill="009639"/>
            <w:noWrap/>
            <w:vAlign w:val="bottom"/>
            <w:hideMark/>
          </w:tcPr>
          <w:p w:rsidR="00DC6594" w:rsidRPr="00AE49C8" w:rsidRDefault="00DC6594" w:rsidP="00DC6594">
            <w:pPr>
              <w:spacing w:after="0" w:line="240" w:lineRule="auto"/>
              <w:jc w:val="center"/>
              <w:rPr>
                <w:rFonts w:eastAsia="Times New Roman"/>
                <w:color w:val="FFFFFF"/>
                <w:szCs w:val="24"/>
                <w:lang w:eastAsia="en-GB"/>
              </w:rPr>
            </w:pPr>
            <w:r w:rsidRPr="00AE49C8">
              <w:rPr>
                <w:rFonts w:eastAsia="Times New Roman"/>
                <w:color w:val="FFFFFF"/>
                <w:szCs w:val="24"/>
                <w:lang w:eastAsia="en-GB"/>
              </w:rPr>
              <w:t>12.4%</w:t>
            </w:r>
          </w:p>
        </w:tc>
        <w:tc>
          <w:tcPr>
            <w:tcW w:w="960" w:type="dxa"/>
            <w:tcBorders>
              <w:top w:val="nil"/>
              <w:left w:val="nil"/>
              <w:bottom w:val="nil"/>
              <w:right w:val="nil"/>
            </w:tcBorders>
            <w:shd w:val="clear" w:color="000000" w:fill="009639"/>
            <w:noWrap/>
            <w:vAlign w:val="bottom"/>
            <w:hideMark/>
          </w:tcPr>
          <w:p w:rsidR="00DC6594" w:rsidRPr="00AE49C8" w:rsidRDefault="00DC6594" w:rsidP="00DC6594">
            <w:pPr>
              <w:spacing w:after="0" w:line="240" w:lineRule="auto"/>
              <w:jc w:val="center"/>
              <w:rPr>
                <w:rFonts w:eastAsia="Times New Roman"/>
                <w:color w:val="FFFFFF"/>
                <w:szCs w:val="24"/>
                <w:lang w:eastAsia="en-GB"/>
              </w:rPr>
            </w:pPr>
            <w:r w:rsidRPr="00AE49C8">
              <w:rPr>
                <w:rFonts w:eastAsia="Times New Roman"/>
                <w:color w:val="FFFFFF"/>
                <w:szCs w:val="24"/>
                <w:lang w:eastAsia="en-GB"/>
              </w:rPr>
              <w:t>13.6%</w:t>
            </w:r>
          </w:p>
        </w:tc>
        <w:tc>
          <w:tcPr>
            <w:tcW w:w="960" w:type="dxa"/>
            <w:tcBorders>
              <w:top w:val="nil"/>
              <w:left w:val="nil"/>
              <w:bottom w:val="nil"/>
              <w:right w:val="nil"/>
            </w:tcBorders>
            <w:shd w:val="clear" w:color="000000" w:fill="009639"/>
            <w:noWrap/>
            <w:vAlign w:val="bottom"/>
            <w:hideMark/>
          </w:tcPr>
          <w:p w:rsidR="00DC6594" w:rsidRPr="00AE49C8" w:rsidRDefault="00DC6594" w:rsidP="00DC6594">
            <w:pPr>
              <w:spacing w:after="0" w:line="240" w:lineRule="auto"/>
              <w:jc w:val="center"/>
              <w:rPr>
                <w:rFonts w:eastAsia="Times New Roman"/>
                <w:color w:val="FFFFFF"/>
                <w:szCs w:val="24"/>
                <w:lang w:eastAsia="en-GB"/>
              </w:rPr>
            </w:pPr>
            <w:r w:rsidRPr="00AE49C8">
              <w:rPr>
                <w:rFonts w:eastAsia="Times New Roman"/>
                <w:color w:val="FFFFFF"/>
                <w:szCs w:val="24"/>
                <w:lang w:eastAsia="en-GB"/>
              </w:rPr>
              <w:t>11.4%</w:t>
            </w:r>
          </w:p>
        </w:tc>
        <w:tc>
          <w:tcPr>
            <w:tcW w:w="960" w:type="dxa"/>
            <w:tcBorders>
              <w:top w:val="nil"/>
              <w:left w:val="nil"/>
              <w:bottom w:val="nil"/>
              <w:right w:val="nil"/>
            </w:tcBorders>
            <w:shd w:val="clear" w:color="000000" w:fill="009639"/>
            <w:noWrap/>
            <w:vAlign w:val="bottom"/>
            <w:hideMark/>
          </w:tcPr>
          <w:p w:rsidR="00DC6594" w:rsidRPr="00AE49C8" w:rsidRDefault="00DC6594" w:rsidP="00DC6594">
            <w:pPr>
              <w:spacing w:after="0" w:line="240" w:lineRule="auto"/>
              <w:jc w:val="center"/>
              <w:rPr>
                <w:rFonts w:eastAsia="Times New Roman"/>
                <w:color w:val="FFFFFF"/>
                <w:szCs w:val="24"/>
                <w:lang w:eastAsia="en-GB"/>
              </w:rPr>
            </w:pPr>
            <w:r w:rsidRPr="00AE49C8">
              <w:rPr>
                <w:rFonts w:eastAsia="Times New Roman"/>
                <w:color w:val="FFFFFF"/>
                <w:szCs w:val="24"/>
                <w:lang w:eastAsia="en-GB"/>
              </w:rPr>
              <w:t>11.9%</w:t>
            </w:r>
          </w:p>
        </w:tc>
        <w:tc>
          <w:tcPr>
            <w:tcW w:w="960" w:type="dxa"/>
            <w:tcBorders>
              <w:top w:val="nil"/>
              <w:left w:val="nil"/>
              <w:bottom w:val="nil"/>
              <w:right w:val="nil"/>
            </w:tcBorders>
            <w:shd w:val="clear" w:color="000000" w:fill="009639"/>
            <w:noWrap/>
            <w:vAlign w:val="bottom"/>
            <w:hideMark/>
          </w:tcPr>
          <w:p w:rsidR="00DC6594" w:rsidRPr="00AE49C8" w:rsidRDefault="00DC6594" w:rsidP="00DC6594">
            <w:pPr>
              <w:spacing w:after="0" w:line="240" w:lineRule="auto"/>
              <w:jc w:val="center"/>
              <w:rPr>
                <w:rFonts w:eastAsia="Times New Roman"/>
                <w:color w:val="FFFFFF"/>
                <w:szCs w:val="24"/>
                <w:lang w:eastAsia="en-GB"/>
              </w:rPr>
            </w:pPr>
            <w:r w:rsidRPr="00AE49C8">
              <w:rPr>
                <w:rFonts w:eastAsia="Times New Roman"/>
                <w:color w:val="FFFFFF"/>
                <w:szCs w:val="24"/>
                <w:lang w:eastAsia="en-GB"/>
              </w:rPr>
              <w:t>13.2%</w:t>
            </w:r>
          </w:p>
        </w:tc>
      </w:tr>
      <w:tr w:rsidR="00DC6594" w:rsidRPr="00AE49C8" w:rsidTr="00FF494A">
        <w:trPr>
          <w:trHeight w:val="624"/>
          <w:jc w:val="center"/>
        </w:trPr>
        <w:tc>
          <w:tcPr>
            <w:tcW w:w="2120" w:type="dxa"/>
            <w:tcBorders>
              <w:top w:val="nil"/>
              <w:left w:val="nil"/>
              <w:bottom w:val="nil"/>
              <w:right w:val="nil"/>
            </w:tcBorders>
            <w:shd w:val="clear" w:color="000000" w:fill="FFB81C"/>
            <w:vAlign w:val="center"/>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Census 2011 (SE England)</w:t>
            </w:r>
          </w:p>
        </w:tc>
        <w:tc>
          <w:tcPr>
            <w:tcW w:w="1723" w:type="dxa"/>
            <w:tcBorders>
              <w:top w:val="nil"/>
              <w:left w:val="nil"/>
              <w:bottom w:val="nil"/>
              <w:right w:val="nil"/>
            </w:tcBorders>
            <w:shd w:val="clear" w:color="000000" w:fill="FFB81C"/>
            <w:noWrap/>
            <w:vAlign w:val="center"/>
            <w:hideMark/>
          </w:tcPr>
          <w:p w:rsidR="00DC6594" w:rsidRPr="00AE49C8" w:rsidRDefault="00DC6594" w:rsidP="00DC6594">
            <w:pPr>
              <w:spacing w:after="0" w:line="240" w:lineRule="auto"/>
              <w:jc w:val="center"/>
              <w:rPr>
                <w:rFonts w:eastAsia="Times New Roman"/>
                <w:color w:val="000000"/>
                <w:szCs w:val="24"/>
                <w:lang w:eastAsia="en-GB"/>
              </w:rPr>
            </w:pPr>
            <w:r w:rsidRPr="00AE49C8">
              <w:rPr>
                <w:rFonts w:eastAsia="Times New Roman"/>
                <w:color w:val="000000"/>
                <w:szCs w:val="24"/>
                <w:lang w:eastAsia="en-GB"/>
              </w:rPr>
              <w:t>6.4%</w:t>
            </w:r>
          </w:p>
        </w:tc>
        <w:tc>
          <w:tcPr>
            <w:tcW w:w="960" w:type="dxa"/>
            <w:tcBorders>
              <w:top w:val="nil"/>
              <w:left w:val="nil"/>
              <w:bottom w:val="nil"/>
              <w:right w:val="nil"/>
            </w:tcBorders>
            <w:shd w:val="clear" w:color="000000" w:fill="FFB81C"/>
            <w:noWrap/>
            <w:vAlign w:val="center"/>
            <w:hideMark/>
          </w:tcPr>
          <w:p w:rsidR="00DC6594" w:rsidRPr="00AE49C8" w:rsidRDefault="00DC6594" w:rsidP="00DC6594">
            <w:pPr>
              <w:spacing w:after="0" w:line="240" w:lineRule="auto"/>
              <w:jc w:val="center"/>
              <w:rPr>
                <w:rFonts w:eastAsia="Times New Roman"/>
                <w:color w:val="000000"/>
                <w:szCs w:val="24"/>
                <w:lang w:eastAsia="en-GB"/>
              </w:rPr>
            </w:pPr>
            <w:r w:rsidRPr="00AE49C8">
              <w:rPr>
                <w:rFonts w:eastAsia="Times New Roman"/>
                <w:color w:val="000000"/>
                <w:szCs w:val="24"/>
                <w:lang w:eastAsia="en-GB"/>
              </w:rPr>
              <w:t>6.1%</w:t>
            </w:r>
          </w:p>
        </w:tc>
        <w:tc>
          <w:tcPr>
            <w:tcW w:w="960" w:type="dxa"/>
            <w:tcBorders>
              <w:top w:val="nil"/>
              <w:left w:val="nil"/>
              <w:bottom w:val="nil"/>
              <w:right w:val="nil"/>
            </w:tcBorders>
            <w:shd w:val="clear" w:color="000000" w:fill="FFB81C"/>
            <w:noWrap/>
            <w:vAlign w:val="center"/>
            <w:hideMark/>
          </w:tcPr>
          <w:p w:rsidR="00DC6594" w:rsidRPr="00AE49C8" w:rsidRDefault="00DC6594" w:rsidP="00DC6594">
            <w:pPr>
              <w:spacing w:after="0" w:line="240" w:lineRule="auto"/>
              <w:jc w:val="center"/>
              <w:rPr>
                <w:rFonts w:eastAsia="Times New Roman"/>
                <w:color w:val="000000"/>
                <w:szCs w:val="24"/>
                <w:lang w:eastAsia="en-GB"/>
              </w:rPr>
            </w:pPr>
            <w:r w:rsidRPr="00AE49C8">
              <w:rPr>
                <w:rFonts w:eastAsia="Times New Roman"/>
                <w:color w:val="000000"/>
                <w:szCs w:val="24"/>
                <w:lang w:eastAsia="en-GB"/>
              </w:rPr>
              <w:t>6.2%</w:t>
            </w:r>
          </w:p>
        </w:tc>
        <w:tc>
          <w:tcPr>
            <w:tcW w:w="960" w:type="dxa"/>
            <w:tcBorders>
              <w:top w:val="nil"/>
              <w:left w:val="nil"/>
              <w:bottom w:val="nil"/>
              <w:right w:val="nil"/>
            </w:tcBorders>
            <w:shd w:val="clear" w:color="000000" w:fill="FFB81C"/>
            <w:noWrap/>
            <w:vAlign w:val="center"/>
            <w:hideMark/>
          </w:tcPr>
          <w:p w:rsidR="00DC6594" w:rsidRPr="00AE49C8" w:rsidRDefault="00DC6594" w:rsidP="00DC6594">
            <w:pPr>
              <w:spacing w:after="0" w:line="240" w:lineRule="auto"/>
              <w:jc w:val="center"/>
              <w:rPr>
                <w:rFonts w:eastAsia="Times New Roman"/>
                <w:color w:val="000000"/>
                <w:szCs w:val="24"/>
                <w:lang w:eastAsia="en-GB"/>
              </w:rPr>
            </w:pPr>
            <w:r w:rsidRPr="00AE49C8">
              <w:rPr>
                <w:rFonts w:eastAsia="Times New Roman"/>
                <w:color w:val="000000"/>
                <w:szCs w:val="24"/>
                <w:lang w:eastAsia="en-GB"/>
              </w:rPr>
              <w:t>6.2%</w:t>
            </w:r>
          </w:p>
        </w:tc>
        <w:tc>
          <w:tcPr>
            <w:tcW w:w="960" w:type="dxa"/>
            <w:tcBorders>
              <w:top w:val="nil"/>
              <w:left w:val="nil"/>
              <w:bottom w:val="nil"/>
              <w:right w:val="nil"/>
            </w:tcBorders>
            <w:shd w:val="clear" w:color="000000" w:fill="FFB81C"/>
            <w:noWrap/>
            <w:vAlign w:val="center"/>
            <w:hideMark/>
          </w:tcPr>
          <w:p w:rsidR="00DC6594" w:rsidRPr="00AE49C8" w:rsidRDefault="00DC6594" w:rsidP="00DC6594">
            <w:pPr>
              <w:spacing w:after="0" w:line="240" w:lineRule="auto"/>
              <w:jc w:val="center"/>
              <w:rPr>
                <w:rFonts w:eastAsia="Times New Roman"/>
                <w:color w:val="000000"/>
                <w:szCs w:val="24"/>
                <w:lang w:eastAsia="en-GB"/>
              </w:rPr>
            </w:pPr>
            <w:r w:rsidRPr="00AE49C8">
              <w:rPr>
                <w:rFonts w:eastAsia="Times New Roman"/>
                <w:color w:val="000000"/>
                <w:szCs w:val="24"/>
                <w:lang w:eastAsia="en-GB"/>
              </w:rPr>
              <w:t>6.9%</w:t>
            </w:r>
          </w:p>
        </w:tc>
        <w:tc>
          <w:tcPr>
            <w:tcW w:w="960" w:type="dxa"/>
            <w:tcBorders>
              <w:top w:val="nil"/>
              <w:left w:val="nil"/>
              <w:bottom w:val="nil"/>
              <w:right w:val="nil"/>
            </w:tcBorders>
            <w:shd w:val="clear" w:color="000000" w:fill="FFB81C"/>
            <w:noWrap/>
            <w:vAlign w:val="center"/>
            <w:hideMark/>
          </w:tcPr>
          <w:p w:rsidR="00DC6594" w:rsidRPr="00AE49C8" w:rsidRDefault="00DC6594" w:rsidP="00DC6594">
            <w:pPr>
              <w:spacing w:after="0" w:line="240" w:lineRule="auto"/>
              <w:jc w:val="center"/>
              <w:rPr>
                <w:rFonts w:eastAsia="Times New Roman"/>
                <w:color w:val="000000"/>
                <w:szCs w:val="24"/>
                <w:lang w:eastAsia="en-GB"/>
              </w:rPr>
            </w:pPr>
            <w:r w:rsidRPr="00AE49C8">
              <w:rPr>
                <w:rFonts w:eastAsia="Times New Roman"/>
                <w:color w:val="000000"/>
                <w:szCs w:val="24"/>
                <w:lang w:eastAsia="en-GB"/>
              </w:rPr>
              <w:t>7.5%</w:t>
            </w:r>
          </w:p>
        </w:tc>
        <w:tc>
          <w:tcPr>
            <w:tcW w:w="960" w:type="dxa"/>
            <w:tcBorders>
              <w:top w:val="nil"/>
              <w:left w:val="nil"/>
              <w:bottom w:val="nil"/>
              <w:right w:val="nil"/>
            </w:tcBorders>
            <w:shd w:val="clear" w:color="000000" w:fill="FFB81C"/>
            <w:noWrap/>
            <w:vAlign w:val="center"/>
            <w:hideMark/>
          </w:tcPr>
          <w:p w:rsidR="00DC6594" w:rsidRPr="00AE49C8" w:rsidRDefault="00DC6594" w:rsidP="00DC6594">
            <w:pPr>
              <w:spacing w:after="0" w:line="240" w:lineRule="auto"/>
              <w:jc w:val="center"/>
              <w:rPr>
                <w:rFonts w:eastAsia="Times New Roman"/>
                <w:color w:val="000000"/>
                <w:szCs w:val="24"/>
                <w:lang w:eastAsia="en-GB"/>
              </w:rPr>
            </w:pPr>
            <w:r w:rsidRPr="00AE49C8">
              <w:rPr>
                <w:rFonts w:eastAsia="Times New Roman"/>
                <w:color w:val="000000"/>
                <w:szCs w:val="24"/>
                <w:lang w:eastAsia="en-GB"/>
              </w:rPr>
              <w:t>7.4%</w:t>
            </w:r>
          </w:p>
        </w:tc>
      </w:tr>
    </w:tbl>
    <w:p w:rsidR="00DC6594" w:rsidRPr="00AE49C8" w:rsidRDefault="00DC6594" w:rsidP="00DC6594">
      <w:pPr>
        <w:rPr>
          <w:b/>
        </w:rPr>
      </w:pPr>
    </w:p>
    <w:tbl>
      <w:tblPr>
        <w:tblW w:w="7528" w:type="dxa"/>
        <w:jc w:val="center"/>
        <w:tblLook w:val="04A0" w:firstRow="1" w:lastRow="0" w:firstColumn="1" w:lastColumn="0" w:noHBand="0" w:noVBand="1"/>
        <w:tblCaption w:val="Breakdown of the workforce by age (table 2 ages 51 to 71+)"/>
        <w:tblDescription w:val="The graph shows data for BSUH 2019/20 and 2020/21, WSHT 2019/20 and 2020/21 and from the 2011 Census"/>
      </w:tblPr>
      <w:tblGrid>
        <w:gridCol w:w="2120"/>
        <w:gridCol w:w="960"/>
        <w:gridCol w:w="960"/>
        <w:gridCol w:w="960"/>
        <w:gridCol w:w="960"/>
        <w:gridCol w:w="1568"/>
      </w:tblGrid>
      <w:tr w:rsidR="00DC6594" w:rsidRPr="00AE49C8" w:rsidTr="00FF494A">
        <w:trPr>
          <w:trHeight w:val="312"/>
          <w:jc w:val="center"/>
        </w:trPr>
        <w:tc>
          <w:tcPr>
            <w:tcW w:w="2120" w:type="dxa"/>
            <w:tcBorders>
              <w:top w:val="nil"/>
              <w:left w:val="nil"/>
              <w:bottom w:val="nil"/>
              <w:right w:val="nil"/>
            </w:tcBorders>
            <w:shd w:val="clear" w:color="auto" w:fill="auto"/>
            <w:noWrap/>
            <w:vAlign w:val="bottom"/>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Age Range</w:t>
            </w:r>
          </w:p>
        </w:tc>
        <w:tc>
          <w:tcPr>
            <w:tcW w:w="960" w:type="dxa"/>
            <w:tcBorders>
              <w:top w:val="nil"/>
              <w:left w:val="nil"/>
              <w:bottom w:val="nil"/>
              <w:right w:val="nil"/>
            </w:tcBorders>
            <w:shd w:val="clear" w:color="auto" w:fill="auto"/>
            <w:noWrap/>
            <w:vAlign w:val="bottom"/>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51-55</w:t>
            </w:r>
          </w:p>
        </w:tc>
        <w:tc>
          <w:tcPr>
            <w:tcW w:w="960" w:type="dxa"/>
            <w:tcBorders>
              <w:top w:val="nil"/>
              <w:left w:val="nil"/>
              <w:bottom w:val="nil"/>
              <w:right w:val="nil"/>
            </w:tcBorders>
            <w:shd w:val="clear" w:color="auto" w:fill="auto"/>
            <w:noWrap/>
            <w:vAlign w:val="bottom"/>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56-60</w:t>
            </w:r>
          </w:p>
        </w:tc>
        <w:tc>
          <w:tcPr>
            <w:tcW w:w="960" w:type="dxa"/>
            <w:tcBorders>
              <w:top w:val="nil"/>
              <w:left w:val="nil"/>
              <w:bottom w:val="nil"/>
              <w:right w:val="nil"/>
            </w:tcBorders>
            <w:shd w:val="clear" w:color="auto" w:fill="auto"/>
            <w:noWrap/>
            <w:vAlign w:val="bottom"/>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61-65</w:t>
            </w:r>
          </w:p>
        </w:tc>
        <w:tc>
          <w:tcPr>
            <w:tcW w:w="960" w:type="dxa"/>
            <w:tcBorders>
              <w:top w:val="nil"/>
              <w:left w:val="nil"/>
              <w:bottom w:val="nil"/>
              <w:right w:val="nil"/>
            </w:tcBorders>
            <w:shd w:val="clear" w:color="auto" w:fill="auto"/>
            <w:noWrap/>
            <w:vAlign w:val="bottom"/>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66-70</w:t>
            </w:r>
          </w:p>
        </w:tc>
        <w:tc>
          <w:tcPr>
            <w:tcW w:w="1568" w:type="dxa"/>
            <w:tcBorders>
              <w:top w:val="nil"/>
              <w:left w:val="nil"/>
              <w:bottom w:val="nil"/>
              <w:right w:val="nil"/>
            </w:tcBorders>
            <w:shd w:val="clear" w:color="auto" w:fill="auto"/>
            <w:noWrap/>
            <w:vAlign w:val="bottom"/>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&gt;=71 Years</w:t>
            </w:r>
          </w:p>
        </w:tc>
      </w:tr>
      <w:tr w:rsidR="00DC6594" w:rsidRPr="00AE49C8" w:rsidTr="00FF494A">
        <w:trPr>
          <w:trHeight w:val="312"/>
          <w:jc w:val="center"/>
        </w:trPr>
        <w:tc>
          <w:tcPr>
            <w:tcW w:w="2120" w:type="dxa"/>
            <w:tcBorders>
              <w:top w:val="nil"/>
              <w:left w:val="nil"/>
              <w:bottom w:val="nil"/>
              <w:right w:val="nil"/>
            </w:tcBorders>
            <w:shd w:val="clear" w:color="000000" w:fill="C5D9F1"/>
            <w:noWrap/>
            <w:vAlign w:val="bottom"/>
            <w:hideMark/>
          </w:tcPr>
          <w:p w:rsidR="00DC6594" w:rsidRPr="00AE49C8" w:rsidRDefault="00DC6594" w:rsidP="00DC6594">
            <w:pPr>
              <w:spacing w:after="0" w:line="240" w:lineRule="auto"/>
              <w:jc w:val="center"/>
              <w:rPr>
                <w:rFonts w:eastAsia="Times New Roman"/>
                <w:b/>
                <w:bCs/>
                <w:szCs w:val="24"/>
                <w:lang w:eastAsia="en-GB"/>
              </w:rPr>
            </w:pPr>
            <w:r w:rsidRPr="00AE49C8">
              <w:rPr>
                <w:rFonts w:eastAsia="Times New Roman"/>
                <w:b/>
                <w:bCs/>
                <w:szCs w:val="24"/>
                <w:lang w:eastAsia="en-GB"/>
              </w:rPr>
              <w:t>2019/20 (BSUH)</w:t>
            </w:r>
          </w:p>
        </w:tc>
        <w:tc>
          <w:tcPr>
            <w:tcW w:w="960" w:type="dxa"/>
            <w:tcBorders>
              <w:top w:val="nil"/>
              <w:left w:val="nil"/>
              <w:bottom w:val="nil"/>
              <w:right w:val="nil"/>
            </w:tcBorders>
            <w:shd w:val="clear" w:color="000000" w:fill="C5D9F1"/>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12.1%</w:t>
            </w:r>
          </w:p>
        </w:tc>
        <w:tc>
          <w:tcPr>
            <w:tcW w:w="960" w:type="dxa"/>
            <w:tcBorders>
              <w:top w:val="nil"/>
              <w:left w:val="nil"/>
              <w:bottom w:val="nil"/>
              <w:right w:val="nil"/>
            </w:tcBorders>
            <w:shd w:val="clear" w:color="000000" w:fill="C5D9F1"/>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9.7%</w:t>
            </w:r>
          </w:p>
        </w:tc>
        <w:tc>
          <w:tcPr>
            <w:tcW w:w="960" w:type="dxa"/>
            <w:tcBorders>
              <w:top w:val="nil"/>
              <w:left w:val="nil"/>
              <w:bottom w:val="nil"/>
              <w:right w:val="nil"/>
            </w:tcBorders>
            <w:shd w:val="clear" w:color="000000" w:fill="C5D9F1"/>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5.0%</w:t>
            </w:r>
          </w:p>
        </w:tc>
        <w:tc>
          <w:tcPr>
            <w:tcW w:w="960" w:type="dxa"/>
            <w:tcBorders>
              <w:top w:val="nil"/>
              <w:left w:val="nil"/>
              <w:bottom w:val="nil"/>
              <w:right w:val="nil"/>
            </w:tcBorders>
            <w:shd w:val="clear" w:color="000000" w:fill="C5D9F1"/>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1.2%</w:t>
            </w:r>
          </w:p>
        </w:tc>
        <w:tc>
          <w:tcPr>
            <w:tcW w:w="1568" w:type="dxa"/>
            <w:tcBorders>
              <w:top w:val="nil"/>
              <w:left w:val="nil"/>
              <w:bottom w:val="nil"/>
              <w:right w:val="nil"/>
            </w:tcBorders>
            <w:shd w:val="clear" w:color="000000" w:fill="C5D9F1"/>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0.5%</w:t>
            </w:r>
          </w:p>
        </w:tc>
      </w:tr>
      <w:tr w:rsidR="00DC6594" w:rsidRPr="00AE49C8" w:rsidTr="00FF494A">
        <w:trPr>
          <w:trHeight w:val="312"/>
          <w:jc w:val="center"/>
        </w:trPr>
        <w:tc>
          <w:tcPr>
            <w:tcW w:w="2120" w:type="dxa"/>
            <w:tcBorders>
              <w:top w:val="nil"/>
              <w:left w:val="nil"/>
              <w:bottom w:val="nil"/>
              <w:right w:val="nil"/>
            </w:tcBorders>
            <w:shd w:val="clear" w:color="000000" w:fill="41B6E6"/>
            <w:noWrap/>
            <w:vAlign w:val="bottom"/>
            <w:hideMark/>
          </w:tcPr>
          <w:p w:rsidR="00DC6594" w:rsidRPr="00AE49C8" w:rsidRDefault="00DC6594" w:rsidP="00DC6594">
            <w:pPr>
              <w:spacing w:after="0" w:line="240" w:lineRule="auto"/>
              <w:jc w:val="center"/>
              <w:rPr>
                <w:rFonts w:eastAsia="Times New Roman"/>
                <w:b/>
                <w:bCs/>
                <w:szCs w:val="24"/>
                <w:lang w:eastAsia="en-GB"/>
              </w:rPr>
            </w:pPr>
            <w:r w:rsidRPr="00AE49C8">
              <w:rPr>
                <w:rFonts w:eastAsia="Times New Roman"/>
                <w:b/>
                <w:bCs/>
                <w:szCs w:val="24"/>
                <w:lang w:eastAsia="en-GB"/>
              </w:rPr>
              <w:t>2020/21 (BSUH)</w:t>
            </w:r>
          </w:p>
        </w:tc>
        <w:tc>
          <w:tcPr>
            <w:tcW w:w="960" w:type="dxa"/>
            <w:tcBorders>
              <w:top w:val="nil"/>
              <w:left w:val="nil"/>
              <w:bottom w:val="nil"/>
              <w:right w:val="nil"/>
            </w:tcBorders>
            <w:shd w:val="clear" w:color="000000" w:fill="41B6E6"/>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11.9%</w:t>
            </w:r>
          </w:p>
        </w:tc>
        <w:tc>
          <w:tcPr>
            <w:tcW w:w="960" w:type="dxa"/>
            <w:tcBorders>
              <w:top w:val="nil"/>
              <w:left w:val="nil"/>
              <w:bottom w:val="nil"/>
              <w:right w:val="nil"/>
            </w:tcBorders>
            <w:shd w:val="clear" w:color="000000" w:fill="41B6E6"/>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9.5%</w:t>
            </w:r>
          </w:p>
        </w:tc>
        <w:tc>
          <w:tcPr>
            <w:tcW w:w="960" w:type="dxa"/>
            <w:tcBorders>
              <w:top w:val="nil"/>
              <w:left w:val="nil"/>
              <w:bottom w:val="nil"/>
              <w:right w:val="nil"/>
            </w:tcBorders>
            <w:shd w:val="clear" w:color="000000" w:fill="41B6E6"/>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5.5%</w:t>
            </w:r>
          </w:p>
        </w:tc>
        <w:tc>
          <w:tcPr>
            <w:tcW w:w="960" w:type="dxa"/>
            <w:tcBorders>
              <w:top w:val="nil"/>
              <w:left w:val="nil"/>
              <w:bottom w:val="nil"/>
              <w:right w:val="nil"/>
            </w:tcBorders>
            <w:shd w:val="clear" w:color="000000" w:fill="41B6E6"/>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1.2%</w:t>
            </w:r>
          </w:p>
        </w:tc>
        <w:tc>
          <w:tcPr>
            <w:tcW w:w="1568" w:type="dxa"/>
            <w:tcBorders>
              <w:top w:val="nil"/>
              <w:left w:val="nil"/>
              <w:bottom w:val="nil"/>
              <w:right w:val="nil"/>
            </w:tcBorders>
            <w:shd w:val="clear" w:color="000000" w:fill="41B6E6"/>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0.5%</w:t>
            </w:r>
          </w:p>
        </w:tc>
      </w:tr>
      <w:tr w:rsidR="00DC6594" w:rsidRPr="00AE49C8" w:rsidTr="00FF494A">
        <w:trPr>
          <w:trHeight w:val="312"/>
          <w:jc w:val="center"/>
        </w:trPr>
        <w:tc>
          <w:tcPr>
            <w:tcW w:w="2120" w:type="dxa"/>
            <w:tcBorders>
              <w:top w:val="nil"/>
              <w:left w:val="nil"/>
              <w:bottom w:val="nil"/>
              <w:right w:val="nil"/>
            </w:tcBorders>
            <w:shd w:val="clear" w:color="000000" w:fill="D8E4BC"/>
            <w:noWrap/>
            <w:vAlign w:val="bottom"/>
            <w:hideMark/>
          </w:tcPr>
          <w:p w:rsidR="00DC6594" w:rsidRPr="00AE49C8" w:rsidRDefault="00DC6594" w:rsidP="00DC6594">
            <w:pPr>
              <w:spacing w:after="0" w:line="240" w:lineRule="auto"/>
              <w:jc w:val="center"/>
              <w:rPr>
                <w:rFonts w:eastAsia="Times New Roman"/>
                <w:b/>
                <w:bCs/>
                <w:szCs w:val="24"/>
                <w:lang w:eastAsia="en-GB"/>
              </w:rPr>
            </w:pPr>
            <w:r w:rsidRPr="00AE49C8">
              <w:rPr>
                <w:rFonts w:eastAsia="Times New Roman"/>
                <w:b/>
                <w:bCs/>
                <w:szCs w:val="24"/>
                <w:lang w:eastAsia="en-GB"/>
              </w:rPr>
              <w:t>2019/20 (WSHT)</w:t>
            </w:r>
          </w:p>
        </w:tc>
        <w:tc>
          <w:tcPr>
            <w:tcW w:w="960" w:type="dxa"/>
            <w:tcBorders>
              <w:top w:val="nil"/>
              <w:left w:val="nil"/>
              <w:bottom w:val="nil"/>
              <w:right w:val="nil"/>
            </w:tcBorders>
            <w:shd w:val="clear" w:color="000000" w:fill="D8E4BC"/>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12.2%</w:t>
            </w:r>
          </w:p>
        </w:tc>
        <w:tc>
          <w:tcPr>
            <w:tcW w:w="960" w:type="dxa"/>
            <w:tcBorders>
              <w:top w:val="nil"/>
              <w:left w:val="nil"/>
              <w:bottom w:val="nil"/>
              <w:right w:val="nil"/>
            </w:tcBorders>
            <w:shd w:val="clear" w:color="000000" w:fill="D8E4BC"/>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10.4%</w:t>
            </w:r>
          </w:p>
        </w:tc>
        <w:tc>
          <w:tcPr>
            <w:tcW w:w="960" w:type="dxa"/>
            <w:tcBorders>
              <w:top w:val="nil"/>
              <w:left w:val="nil"/>
              <w:bottom w:val="nil"/>
              <w:right w:val="nil"/>
            </w:tcBorders>
            <w:shd w:val="clear" w:color="000000" w:fill="D8E4BC"/>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6.2%</w:t>
            </w:r>
          </w:p>
        </w:tc>
        <w:tc>
          <w:tcPr>
            <w:tcW w:w="960" w:type="dxa"/>
            <w:tcBorders>
              <w:top w:val="nil"/>
              <w:left w:val="nil"/>
              <w:bottom w:val="nil"/>
              <w:right w:val="nil"/>
            </w:tcBorders>
            <w:shd w:val="clear" w:color="000000" w:fill="D8E4BC"/>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1.4%</w:t>
            </w:r>
          </w:p>
        </w:tc>
        <w:tc>
          <w:tcPr>
            <w:tcW w:w="1568" w:type="dxa"/>
            <w:tcBorders>
              <w:top w:val="nil"/>
              <w:left w:val="nil"/>
              <w:bottom w:val="nil"/>
              <w:right w:val="nil"/>
            </w:tcBorders>
            <w:shd w:val="clear" w:color="000000" w:fill="D8E4BC"/>
            <w:noWrap/>
            <w:vAlign w:val="bottom"/>
            <w:hideMark/>
          </w:tcPr>
          <w:p w:rsidR="00DC6594" w:rsidRPr="00AE49C8" w:rsidRDefault="00DC6594" w:rsidP="00DC6594">
            <w:pPr>
              <w:spacing w:after="0" w:line="240" w:lineRule="auto"/>
              <w:jc w:val="center"/>
              <w:rPr>
                <w:rFonts w:eastAsia="Times New Roman"/>
                <w:szCs w:val="24"/>
                <w:lang w:eastAsia="en-GB"/>
              </w:rPr>
            </w:pPr>
            <w:r w:rsidRPr="00AE49C8">
              <w:rPr>
                <w:rFonts w:eastAsia="Times New Roman"/>
                <w:szCs w:val="24"/>
                <w:lang w:eastAsia="en-GB"/>
              </w:rPr>
              <w:t>0.7%</w:t>
            </w:r>
          </w:p>
        </w:tc>
      </w:tr>
      <w:tr w:rsidR="00DC6594" w:rsidRPr="00AE49C8" w:rsidTr="00FF494A">
        <w:trPr>
          <w:trHeight w:val="312"/>
          <w:jc w:val="center"/>
        </w:trPr>
        <w:tc>
          <w:tcPr>
            <w:tcW w:w="2120" w:type="dxa"/>
            <w:tcBorders>
              <w:top w:val="nil"/>
              <w:left w:val="nil"/>
              <w:bottom w:val="nil"/>
              <w:right w:val="nil"/>
            </w:tcBorders>
            <w:shd w:val="clear" w:color="000000" w:fill="009639"/>
            <w:noWrap/>
            <w:vAlign w:val="bottom"/>
            <w:hideMark/>
          </w:tcPr>
          <w:p w:rsidR="00DC6594" w:rsidRPr="00AE49C8" w:rsidRDefault="00DC6594" w:rsidP="00DC6594">
            <w:pPr>
              <w:spacing w:after="0" w:line="240" w:lineRule="auto"/>
              <w:jc w:val="center"/>
              <w:rPr>
                <w:rFonts w:eastAsia="Times New Roman"/>
                <w:b/>
                <w:bCs/>
                <w:color w:val="FFFFFF"/>
                <w:szCs w:val="24"/>
                <w:lang w:eastAsia="en-GB"/>
              </w:rPr>
            </w:pPr>
            <w:r w:rsidRPr="00AE49C8">
              <w:rPr>
                <w:rFonts w:eastAsia="Times New Roman"/>
                <w:b/>
                <w:bCs/>
                <w:color w:val="FFFFFF"/>
                <w:szCs w:val="24"/>
                <w:lang w:eastAsia="en-GB"/>
              </w:rPr>
              <w:t>2020/21 (WSHT)</w:t>
            </w:r>
          </w:p>
        </w:tc>
        <w:tc>
          <w:tcPr>
            <w:tcW w:w="960" w:type="dxa"/>
            <w:tcBorders>
              <w:top w:val="nil"/>
              <w:left w:val="nil"/>
              <w:bottom w:val="nil"/>
              <w:right w:val="nil"/>
            </w:tcBorders>
            <w:shd w:val="clear" w:color="000000" w:fill="009639"/>
            <w:noWrap/>
            <w:vAlign w:val="bottom"/>
            <w:hideMark/>
          </w:tcPr>
          <w:p w:rsidR="00DC6594" w:rsidRPr="00AE49C8" w:rsidRDefault="00DC6594" w:rsidP="00DC6594">
            <w:pPr>
              <w:spacing w:after="0" w:line="240" w:lineRule="auto"/>
              <w:jc w:val="center"/>
              <w:rPr>
                <w:rFonts w:eastAsia="Times New Roman"/>
                <w:color w:val="FFFFFF"/>
                <w:szCs w:val="24"/>
                <w:lang w:eastAsia="en-GB"/>
              </w:rPr>
            </w:pPr>
            <w:r w:rsidRPr="00AE49C8">
              <w:rPr>
                <w:rFonts w:eastAsia="Times New Roman"/>
                <w:color w:val="FFFFFF"/>
                <w:szCs w:val="24"/>
                <w:lang w:eastAsia="en-GB"/>
              </w:rPr>
              <w:t>12.1%</w:t>
            </w:r>
          </w:p>
        </w:tc>
        <w:tc>
          <w:tcPr>
            <w:tcW w:w="960" w:type="dxa"/>
            <w:tcBorders>
              <w:top w:val="nil"/>
              <w:left w:val="nil"/>
              <w:bottom w:val="nil"/>
              <w:right w:val="nil"/>
            </w:tcBorders>
            <w:shd w:val="clear" w:color="000000" w:fill="009639"/>
            <w:noWrap/>
            <w:vAlign w:val="bottom"/>
            <w:hideMark/>
          </w:tcPr>
          <w:p w:rsidR="00DC6594" w:rsidRPr="00AE49C8" w:rsidRDefault="00DC6594" w:rsidP="00DC6594">
            <w:pPr>
              <w:spacing w:after="0" w:line="240" w:lineRule="auto"/>
              <w:jc w:val="center"/>
              <w:rPr>
                <w:rFonts w:eastAsia="Times New Roman"/>
                <w:color w:val="FFFFFF"/>
                <w:szCs w:val="24"/>
                <w:lang w:eastAsia="en-GB"/>
              </w:rPr>
            </w:pPr>
            <w:r w:rsidRPr="00AE49C8">
              <w:rPr>
                <w:rFonts w:eastAsia="Times New Roman"/>
                <w:color w:val="FFFFFF"/>
                <w:szCs w:val="24"/>
                <w:lang w:eastAsia="en-GB"/>
              </w:rPr>
              <w:t>10.5%</w:t>
            </w:r>
          </w:p>
        </w:tc>
        <w:tc>
          <w:tcPr>
            <w:tcW w:w="960" w:type="dxa"/>
            <w:tcBorders>
              <w:top w:val="nil"/>
              <w:left w:val="nil"/>
              <w:bottom w:val="nil"/>
              <w:right w:val="nil"/>
            </w:tcBorders>
            <w:shd w:val="clear" w:color="000000" w:fill="009639"/>
            <w:noWrap/>
            <w:vAlign w:val="bottom"/>
            <w:hideMark/>
          </w:tcPr>
          <w:p w:rsidR="00DC6594" w:rsidRPr="00AE49C8" w:rsidRDefault="00DC6594" w:rsidP="00DC6594">
            <w:pPr>
              <w:spacing w:after="0" w:line="240" w:lineRule="auto"/>
              <w:jc w:val="center"/>
              <w:rPr>
                <w:rFonts w:eastAsia="Times New Roman"/>
                <w:color w:val="FFFFFF"/>
                <w:szCs w:val="24"/>
                <w:lang w:eastAsia="en-GB"/>
              </w:rPr>
            </w:pPr>
            <w:r w:rsidRPr="00AE49C8">
              <w:rPr>
                <w:rFonts w:eastAsia="Times New Roman"/>
                <w:color w:val="FFFFFF"/>
                <w:szCs w:val="24"/>
                <w:lang w:eastAsia="en-GB"/>
              </w:rPr>
              <w:t>6.1%</w:t>
            </w:r>
          </w:p>
        </w:tc>
        <w:tc>
          <w:tcPr>
            <w:tcW w:w="960" w:type="dxa"/>
            <w:tcBorders>
              <w:top w:val="nil"/>
              <w:left w:val="nil"/>
              <w:bottom w:val="nil"/>
              <w:right w:val="nil"/>
            </w:tcBorders>
            <w:shd w:val="clear" w:color="000000" w:fill="009639"/>
            <w:noWrap/>
            <w:vAlign w:val="bottom"/>
            <w:hideMark/>
          </w:tcPr>
          <w:p w:rsidR="00DC6594" w:rsidRPr="00AE49C8" w:rsidRDefault="00DC6594" w:rsidP="00DC6594">
            <w:pPr>
              <w:spacing w:after="0" w:line="240" w:lineRule="auto"/>
              <w:jc w:val="center"/>
              <w:rPr>
                <w:rFonts w:eastAsia="Times New Roman"/>
                <w:color w:val="FFFFFF"/>
                <w:szCs w:val="24"/>
                <w:lang w:eastAsia="en-GB"/>
              </w:rPr>
            </w:pPr>
            <w:r w:rsidRPr="00AE49C8">
              <w:rPr>
                <w:rFonts w:eastAsia="Times New Roman"/>
                <w:color w:val="FFFFFF"/>
                <w:szCs w:val="24"/>
                <w:lang w:eastAsia="en-GB"/>
              </w:rPr>
              <w:t>1.5%</w:t>
            </w:r>
          </w:p>
        </w:tc>
        <w:tc>
          <w:tcPr>
            <w:tcW w:w="1568" w:type="dxa"/>
            <w:tcBorders>
              <w:top w:val="nil"/>
              <w:left w:val="nil"/>
              <w:bottom w:val="nil"/>
              <w:right w:val="nil"/>
            </w:tcBorders>
            <w:shd w:val="clear" w:color="000000" w:fill="009639"/>
            <w:noWrap/>
            <w:vAlign w:val="bottom"/>
            <w:hideMark/>
          </w:tcPr>
          <w:p w:rsidR="00DC6594" w:rsidRPr="00AE49C8" w:rsidRDefault="00DC6594" w:rsidP="00DC6594">
            <w:pPr>
              <w:spacing w:after="0" w:line="240" w:lineRule="auto"/>
              <w:jc w:val="center"/>
              <w:rPr>
                <w:rFonts w:eastAsia="Times New Roman"/>
                <w:color w:val="FFFFFF"/>
                <w:szCs w:val="24"/>
                <w:lang w:eastAsia="en-GB"/>
              </w:rPr>
            </w:pPr>
            <w:r w:rsidRPr="00AE49C8">
              <w:rPr>
                <w:rFonts w:eastAsia="Times New Roman"/>
                <w:color w:val="FFFFFF"/>
                <w:szCs w:val="24"/>
                <w:lang w:eastAsia="en-GB"/>
              </w:rPr>
              <w:t>0.6%</w:t>
            </w:r>
          </w:p>
        </w:tc>
      </w:tr>
      <w:tr w:rsidR="00DC6594" w:rsidRPr="00AE49C8" w:rsidTr="00FF494A">
        <w:trPr>
          <w:trHeight w:val="624"/>
          <w:jc w:val="center"/>
        </w:trPr>
        <w:tc>
          <w:tcPr>
            <w:tcW w:w="2120" w:type="dxa"/>
            <w:tcBorders>
              <w:top w:val="nil"/>
              <w:left w:val="nil"/>
              <w:bottom w:val="nil"/>
              <w:right w:val="nil"/>
            </w:tcBorders>
            <w:shd w:val="clear" w:color="000000" w:fill="FFB81C"/>
            <w:vAlign w:val="center"/>
            <w:hideMark/>
          </w:tcPr>
          <w:p w:rsidR="00DC6594" w:rsidRPr="00AE49C8" w:rsidRDefault="00DC6594" w:rsidP="00DC6594">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Census 2011 (SE England)</w:t>
            </w:r>
          </w:p>
        </w:tc>
        <w:tc>
          <w:tcPr>
            <w:tcW w:w="960" w:type="dxa"/>
            <w:tcBorders>
              <w:top w:val="nil"/>
              <w:left w:val="nil"/>
              <w:bottom w:val="nil"/>
              <w:right w:val="nil"/>
            </w:tcBorders>
            <w:shd w:val="clear" w:color="000000" w:fill="FFB81C"/>
            <w:noWrap/>
            <w:vAlign w:val="center"/>
            <w:hideMark/>
          </w:tcPr>
          <w:p w:rsidR="00DC6594" w:rsidRPr="00AE49C8" w:rsidRDefault="00DC6594" w:rsidP="00DC6594">
            <w:pPr>
              <w:spacing w:after="0" w:line="240" w:lineRule="auto"/>
              <w:jc w:val="center"/>
              <w:rPr>
                <w:rFonts w:eastAsia="Times New Roman"/>
                <w:color w:val="000000"/>
                <w:szCs w:val="24"/>
                <w:lang w:eastAsia="en-GB"/>
              </w:rPr>
            </w:pPr>
            <w:r w:rsidRPr="00AE49C8">
              <w:rPr>
                <w:rFonts w:eastAsia="Times New Roman"/>
                <w:color w:val="000000"/>
                <w:szCs w:val="24"/>
                <w:lang w:eastAsia="en-GB"/>
              </w:rPr>
              <w:t>6.4%</w:t>
            </w:r>
          </w:p>
        </w:tc>
        <w:tc>
          <w:tcPr>
            <w:tcW w:w="960" w:type="dxa"/>
            <w:tcBorders>
              <w:top w:val="nil"/>
              <w:left w:val="nil"/>
              <w:bottom w:val="nil"/>
              <w:right w:val="nil"/>
            </w:tcBorders>
            <w:shd w:val="clear" w:color="000000" w:fill="FFB81C"/>
            <w:noWrap/>
            <w:vAlign w:val="center"/>
            <w:hideMark/>
          </w:tcPr>
          <w:p w:rsidR="00DC6594" w:rsidRPr="00AE49C8" w:rsidRDefault="00DC6594" w:rsidP="00DC6594">
            <w:pPr>
              <w:spacing w:after="0" w:line="240" w:lineRule="auto"/>
              <w:jc w:val="center"/>
              <w:rPr>
                <w:rFonts w:eastAsia="Times New Roman"/>
                <w:color w:val="000000"/>
                <w:szCs w:val="24"/>
                <w:lang w:eastAsia="en-GB"/>
              </w:rPr>
            </w:pPr>
            <w:r w:rsidRPr="00AE49C8">
              <w:rPr>
                <w:rFonts w:eastAsia="Times New Roman"/>
                <w:color w:val="000000"/>
                <w:szCs w:val="24"/>
                <w:lang w:eastAsia="en-GB"/>
              </w:rPr>
              <w:t>5.7%</w:t>
            </w:r>
          </w:p>
        </w:tc>
        <w:tc>
          <w:tcPr>
            <w:tcW w:w="960" w:type="dxa"/>
            <w:tcBorders>
              <w:top w:val="nil"/>
              <w:left w:val="nil"/>
              <w:bottom w:val="nil"/>
              <w:right w:val="nil"/>
            </w:tcBorders>
            <w:shd w:val="clear" w:color="000000" w:fill="FFB81C"/>
            <w:noWrap/>
            <w:vAlign w:val="center"/>
            <w:hideMark/>
          </w:tcPr>
          <w:p w:rsidR="00DC6594" w:rsidRPr="00AE49C8" w:rsidRDefault="00DC6594" w:rsidP="00DC6594">
            <w:pPr>
              <w:spacing w:after="0" w:line="240" w:lineRule="auto"/>
              <w:jc w:val="center"/>
              <w:rPr>
                <w:rFonts w:eastAsia="Times New Roman"/>
                <w:color w:val="000000"/>
                <w:szCs w:val="24"/>
                <w:lang w:eastAsia="en-GB"/>
              </w:rPr>
            </w:pPr>
            <w:r w:rsidRPr="00AE49C8">
              <w:rPr>
                <w:rFonts w:eastAsia="Times New Roman"/>
                <w:color w:val="000000"/>
                <w:szCs w:val="24"/>
                <w:lang w:eastAsia="en-GB"/>
              </w:rPr>
              <w:t>6.1%</w:t>
            </w:r>
          </w:p>
        </w:tc>
        <w:tc>
          <w:tcPr>
            <w:tcW w:w="960" w:type="dxa"/>
            <w:tcBorders>
              <w:top w:val="nil"/>
              <w:left w:val="nil"/>
              <w:bottom w:val="nil"/>
              <w:right w:val="nil"/>
            </w:tcBorders>
            <w:shd w:val="clear" w:color="000000" w:fill="FFB81C"/>
            <w:noWrap/>
            <w:vAlign w:val="center"/>
            <w:hideMark/>
          </w:tcPr>
          <w:p w:rsidR="00DC6594" w:rsidRPr="00AE49C8" w:rsidRDefault="00DC6594" w:rsidP="00DC6594">
            <w:pPr>
              <w:spacing w:after="0" w:line="240" w:lineRule="auto"/>
              <w:jc w:val="center"/>
              <w:rPr>
                <w:rFonts w:eastAsia="Times New Roman"/>
                <w:color w:val="000000"/>
                <w:szCs w:val="24"/>
                <w:lang w:eastAsia="en-GB"/>
              </w:rPr>
            </w:pPr>
            <w:r w:rsidRPr="00AE49C8">
              <w:rPr>
                <w:rFonts w:eastAsia="Times New Roman"/>
                <w:color w:val="000000"/>
                <w:szCs w:val="24"/>
                <w:lang w:eastAsia="en-GB"/>
              </w:rPr>
              <w:t>4.7%</w:t>
            </w:r>
          </w:p>
        </w:tc>
        <w:tc>
          <w:tcPr>
            <w:tcW w:w="1568" w:type="dxa"/>
            <w:tcBorders>
              <w:top w:val="nil"/>
              <w:left w:val="nil"/>
              <w:bottom w:val="nil"/>
              <w:right w:val="nil"/>
            </w:tcBorders>
            <w:shd w:val="clear" w:color="000000" w:fill="FFB81C"/>
            <w:noWrap/>
            <w:vAlign w:val="center"/>
            <w:hideMark/>
          </w:tcPr>
          <w:p w:rsidR="00DC6594" w:rsidRPr="00AE49C8" w:rsidRDefault="00DC6594" w:rsidP="00DC6594">
            <w:pPr>
              <w:spacing w:after="0" w:line="240" w:lineRule="auto"/>
              <w:jc w:val="center"/>
              <w:rPr>
                <w:rFonts w:eastAsia="Times New Roman"/>
                <w:color w:val="000000"/>
                <w:szCs w:val="24"/>
                <w:lang w:eastAsia="en-GB"/>
              </w:rPr>
            </w:pPr>
            <w:r w:rsidRPr="00AE49C8">
              <w:rPr>
                <w:rFonts w:eastAsia="Times New Roman"/>
                <w:color w:val="000000"/>
                <w:szCs w:val="24"/>
                <w:lang w:eastAsia="en-GB"/>
              </w:rPr>
              <w:t>11.5%</w:t>
            </w:r>
          </w:p>
        </w:tc>
      </w:tr>
    </w:tbl>
    <w:p w:rsidR="00DC6594" w:rsidRPr="00AE49C8" w:rsidRDefault="00DC6594" w:rsidP="00DC6594">
      <w:pPr>
        <w:rPr>
          <w:b/>
        </w:rPr>
      </w:pPr>
    </w:p>
    <w:p w:rsidR="00DC6594" w:rsidRPr="00AE49C8" w:rsidRDefault="00DC6594" w:rsidP="00957803">
      <w:r w:rsidRPr="00AE49C8">
        <w:rPr>
          <w:noProof/>
          <w:lang w:eastAsia="en-GB"/>
        </w:rPr>
        <w:drawing>
          <wp:inline distT="0" distB="0" distL="0" distR="0" wp14:anchorId="149D7780" wp14:editId="77FE36F9">
            <wp:extent cx="5351319" cy="2712027"/>
            <wp:effectExtent l="0" t="0" r="1905" b="0"/>
            <wp:docPr id="2" name="Chart 2" descr="The chart shows data for BSUH 2019/20 and 2020/21, WSHT 2019/20 and 2020/21 and from the 2011 Census" title="Chart showing the age breakdown of BSUH and WSHT in 2020/21 compared to the Census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C6594" w:rsidRPr="000D2F61" w:rsidRDefault="00A327C3" w:rsidP="00DC6594">
      <w:r w:rsidRPr="000D2F61">
        <w:lastRenderedPageBreak/>
        <w:t>Observations</w:t>
      </w:r>
    </w:p>
    <w:p w:rsidR="001B2282" w:rsidRPr="00AE49C8" w:rsidRDefault="001B2282" w:rsidP="00FD5583">
      <w:pPr>
        <w:pStyle w:val="ListParagraph"/>
      </w:pPr>
      <w:r w:rsidRPr="00AE49C8">
        <w:t xml:space="preserve">There is generally no correlation between the BSUH or the WSHT workforces compared to the 2011 Census for South East England.  Only in age groups 21-25 and 61-65 for both </w:t>
      </w:r>
      <w:r w:rsidR="008E6F14" w:rsidRPr="00AE49C8">
        <w:t>Trusts</w:t>
      </w:r>
      <w:r w:rsidRPr="00AE49C8">
        <w:t xml:space="preserve"> does the workforce reflect the census data.  It should be noted that the Census 2011 looks across the whole population and not those of working age.</w:t>
      </w:r>
    </w:p>
    <w:p w:rsidR="00957803" w:rsidRPr="00AE49C8" w:rsidRDefault="00957803" w:rsidP="00FD5583">
      <w:pPr>
        <w:pStyle w:val="ListParagraph"/>
      </w:pPr>
      <w:r w:rsidRPr="00AE49C8">
        <w:t>The majority of both workforces are aged 26-60.</w:t>
      </w:r>
    </w:p>
    <w:p w:rsidR="00957803" w:rsidRPr="00AE49C8" w:rsidRDefault="00957803" w:rsidP="00FD5583">
      <w:pPr>
        <w:pStyle w:val="ListParagraph"/>
      </w:pPr>
      <w:r w:rsidRPr="00AE49C8">
        <w:t>Compared to WSHT, BSUH has a larger proportion of staff aged 21-45.</w:t>
      </w:r>
    </w:p>
    <w:p w:rsidR="00957803" w:rsidRPr="00AE49C8" w:rsidRDefault="00957803" w:rsidP="00FD5583">
      <w:pPr>
        <w:pStyle w:val="ListParagraph"/>
      </w:pPr>
      <w:r w:rsidRPr="00AE49C8">
        <w:t>Compared to BSUH, WSHT has a larger proportion of staff aged 46-71+ and under 20 years of age.</w:t>
      </w:r>
    </w:p>
    <w:p w:rsidR="00AE28AA" w:rsidRPr="00AE49C8" w:rsidRDefault="00AE28AA" w:rsidP="00FD5583">
      <w:pPr>
        <w:pStyle w:val="ListParagraph"/>
      </w:pPr>
      <w:r w:rsidRPr="00AE49C8">
        <w:t>Compared to the previous year, there have not been any significant changes in the representation of any age group in either BSUH or WSHT’s workforce.</w:t>
      </w:r>
    </w:p>
    <w:p w:rsidR="00A327C3" w:rsidRPr="00AE49C8" w:rsidRDefault="00DC6594" w:rsidP="00A327C3">
      <w:pPr>
        <w:pStyle w:val="Heading3"/>
      </w:pPr>
      <w:bookmarkStart w:id="33" w:name="_Toc88633980"/>
      <w:r w:rsidRPr="00AE49C8">
        <w:t>Breakdown of age by pay band</w:t>
      </w:r>
      <w:r w:rsidR="00A327C3" w:rsidRPr="00AE49C8">
        <w:t>ing</w:t>
      </w:r>
      <w:bookmarkEnd w:id="33"/>
    </w:p>
    <w:p w:rsidR="001B5DFA" w:rsidRPr="00AE49C8" w:rsidRDefault="00A007D3" w:rsidP="00BD4880">
      <w:r w:rsidRPr="00AE49C8">
        <w:t>T</w:t>
      </w:r>
      <w:r w:rsidR="00DC6594" w:rsidRPr="00AE49C8">
        <w:t>he items in bold highlight where there is a great representation of that particular group compared to the representation in the overall workforce</w:t>
      </w:r>
    </w:p>
    <w:p w:rsidR="00DC6594" w:rsidRPr="00AE49C8" w:rsidRDefault="00DC6594" w:rsidP="00BD4880">
      <w:pPr>
        <w:rPr>
          <w:b/>
        </w:rPr>
      </w:pPr>
      <w:r w:rsidRPr="00AE49C8">
        <w:rPr>
          <w:b/>
        </w:rPr>
        <w:t>BSUH</w:t>
      </w:r>
    </w:p>
    <w:tbl>
      <w:tblPr>
        <w:tblW w:w="11237" w:type="dxa"/>
        <w:jc w:val="center"/>
        <w:tblInd w:w="-1377" w:type="dxa"/>
        <w:tblBorders>
          <w:insideH w:val="dotted" w:sz="4" w:space="0" w:color="auto"/>
        </w:tblBorders>
        <w:tblLook w:val="04A0" w:firstRow="1" w:lastRow="0" w:firstColumn="1" w:lastColumn="0" w:noHBand="0" w:noVBand="1"/>
        <w:tblCaption w:val="Breakdown of BSUH's workforce by pay bands/grades by age"/>
      </w:tblPr>
      <w:tblGrid>
        <w:gridCol w:w="1716"/>
        <w:gridCol w:w="816"/>
        <w:gridCol w:w="784"/>
        <w:gridCol w:w="784"/>
        <w:gridCol w:w="784"/>
        <w:gridCol w:w="895"/>
        <w:gridCol w:w="840"/>
        <w:gridCol w:w="784"/>
        <w:gridCol w:w="784"/>
        <w:gridCol w:w="784"/>
        <w:gridCol w:w="784"/>
        <w:gridCol w:w="871"/>
        <w:gridCol w:w="761"/>
      </w:tblGrid>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szCs w:val="20"/>
                <w:u w:val="single"/>
                <w:lang w:eastAsia="en-GB"/>
              </w:rPr>
            </w:pPr>
            <w:r w:rsidRPr="000C64DA">
              <w:rPr>
                <w:rFonts w:eastAsia="Times New Roman"/>
                <w:b/>
                <w:bCs/>
                <w:color w:val="000000"/>
                <w:sz w:val="20"/>
                <w:szCs w:val="20"/>
                <w:u w:val="single"/>
                <w:lang w:eastAsia="en-GB"/>
              </w:rPr>
              <w:t>Pay Band</w:t>
            </w:r>
          </w:p>
        </w:tc>
        <w:tc>
          <w:tcPr>
            <w:tcW w:w="816"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szCs w:val="20"/>
                <w:u w:val="single"/>
                <w:lang w:eastAsia="en-GB"/>
              </w:rPr>
            </w:pPr>
            <w:r w:rsidRPr="000C64DA">
              <w:rPr>
                <w:rFonts w:eastAsia="Times New Roman"/>
                <w:b/>
                <w:bCs/>
                <w:color w:val="000000"/>
                <w:sz w:val="20"/>
                <w:szCs w:val="20"/>
                <w:u w:val="single"/>
                <w:lang w:eastAsia="en-GB"/>
              </w:rPr>
              <w:t>&lt;=20 Years</w:t>
            </w:r>
          </w:p>
        </w:tc>
        <w:tc>
          <w:tcPr>
            <w:tcW w:w="634"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szCs w:val="20"/>
                <w:u w:val="single"/>
                <w:lang w:eastAsia="en-GB"/>
              </w:rPr>
            </w:pPr>
            <w:r w:rsidRPr="000C64DA">
              <w:rPr>
                <w:rFonts w:eastAsia="Times New Roman"/>
                <w:b/>
                <w:bCs/>
                <w:color w:val="000000"/>
                <w:sz w:val="20"/>
                <w:szCs w:val="20"/>
                <w:u w:val="single"/>
                <w:lang w:eastAsia="en-GB"/>
              </w:rPr>
              <w:t>21-25</w:t>
            </w:r>
          </w:p>
        </w:tc>
        <w:tc>
          <w:tcPr>
            <w:tcW w:w="784"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szCs w:val="20"/>
                <w:u w:val="single"/>
                <w:lang w:eastAsia="en-GB"/>
              </w:rPr>
            </w:pPr>
            <w:r w:rsidRPr="000C64DA">
              <w:rPr>
                <w:rFonts w:eastAsia="Times New Roman"/>
                <w:b/>
                <w:bCs/>
                <w:color w:val="000000"/>
                <w:sz w:val="20"/>
                <w:szCs w:val="20"/>
                <w:u w:val="single"/>
                <w:lang w:eastAsia="en-GB"/>
              </w:rPr>
              <w:t>26-30</w:t>
            </w:r>
          </w:p>
        </w:tc>
        <w:tc>
          <w:tcPr>
            <w:tcW w:w="784"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szCs w:val="20"/>
                <w:u w:val="single"/>
                <w:lang w:eastAsia="en-GB"/>
              </w:rPr>
            </w:pPr>
            <w:r w:rsidRPr="000C64DA">
              <w:rPr>
                <w:rFonts w:eastAsia="Times New Roman"/>
                <w:b/>
                <w:bCs/>
                <w:color w:val="000000"/>
                <w:sz w:val="20"/>
                <w:szCs w:val="20"/>
                <w:u w:val="single"/>
                <w:lang w:eastAsia="en-GB"/>
              </w:rPr>
              <w:t>31-35</w:t>
            </w:r>
          </w:p>
        </w:tc>
        <w:tc>
          <w:tcPr>
            <w:tcW w:w="895"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szCs w:val="20"/>
                <w:u w:val="single"/>
                <w:lang w:eastAsia="en-GB"/>
              </w:rPr>
            </w:pPr>
            <w:r w:rsidRPr="000C64DA">
              <w:rPr>
                <w:rFonts w:eastAsia="Times New Roman"/>
                <w:b/>
                <w:bCs/>
                <w:color w:val="000000"/>
                <w:sz w:val="20"/>
                <w:szCs w:val="20"/>
                <w:u w:val="single"/>
                <w:lang w:eastAsia="en-GB"/>
              </w:rPr>
              <w:t>36-40</w:t>
            </w:r>
          </w:p>
        </w:tc>
        <w:tc>
          <w:tcPr>
            <w:tcW w:w="840"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szCs w:val="20"/>
                <w:u w:val="single"/>
                <w:lang w:eastAsia="en-GB"/>
              </w:rPr>
            </w:pPr>
            <w:r w:rsidRPr="000C64DA">
              <w:rPr>
                <w:rFonts w:eastAsia="Times New Roman"/>
                <w:b/>
                <w:bCs/>
                <w:color w:val="000000"/>
                <w:sz w:val="20"/>
                <w:szCs w:val="20"/>
                <w:u w:val="single"/>
                <w:lang w:eastAsia="en-GB"/>
              </w:rPr>
              <w:t>41-45</w:t>
            </w:r>
          </w:p>
        </w:tc>
        <w:tc>
          <w:tcPr>
            <w:tcW w:w="784"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szCs w:val="20"/>
                <w:u w:val="single"/>
                <w:lang w:eastAsia="en-GB"/>
              </w:rPr>
            </w:pPr>
            <w:r w:rsidRPr="000C64DA">
              <w:rPr>
                <w:rFonts w:eastAsia="Times New Roman"/>
                <w:b/>
                <w:bCs/>
                <w:color w:val="000000"/>
                <w:sz w:val="20"/>
                <w:szCs w:val="20"/>
                <w:u w:val="single"/>
                <w:lang w:eastAsia="en-GB"/>
              </w:rPr>
              <w:t>46-50</w:t>
            </w:r>
          </w:p>
        </w:tc>
        <w:tc>
          <w:tcPr>
            <w:tcW w:w="784"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szCs w:val="20"/>
                <w:u w:val="single"/>
                <w:lang w:eastAsia="en-GB"/>
              </w:rPr>
            </w:pPr>
            <w:r w:rsidRPr="000C64DA">
              <w:rPr>
                <w:rFonts w:eastAsia="Times New Roman"/>
                <w:b/>
                <w:bCs/>
                <w:color w:val="000000"/>
                <w:sz w:val="20"/>
                <w:szCs w:val="20"/>
                <w:u w:val="single"/>
                <w:lang w:eastAsia="en-GB"/>
              </w:rPr>
              <w:t>51-55</w:t>
            </w:r>
          </w:p>
        </w:tc>
        <w:tc>
          <w:tcPr>
            <w:tcW w:w="784"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szCs w:val="20"/>
                <w:u w:val="single"/>
                <w:lang w:eastAsia="en-GB"/>
              </w:rPr>
            </w:pPr>
            <w:r w:rsidRPr="000C64DA">
              <w:rPr>
                <w:rFonts w:eastAsia="Times New Roman"/>
                <w:b/>
                <w:bCs/>
                <w:color w:val="000000"/>
                <w:sz w:val="20"/>
                <w:szCs w:val="20"/>
                <w:u w:val="single"/>
                <w:lang w:eastAsia="en-GB"/>
              </w:rPr>
              <w:t>56-60</w:t>
            </w:r>
          </w:p>
        </w:tc>
        <w:tc>
          <w:tcPr>
            <w:tcW w:w="784"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szCs w:val="20"/>
                <w:u w:val="single"/>
                <w:lang w:eastAsia="en-GB"/>
              </w:rPr>
            </w:pPr>
            <w:r w:rsidRPr="000C64DA">
              <w:rPr>
                <w:rFonts w:eastAsia="Times New Roman"/>
                <w:b/>
                <w:bCs/>
                <w:color w:val="000000"/>
                <w:sz w:val="20"/>
                <w:szCs w:val="20"/>
                <w:u w:val="single"/>
                <w:lang w:eastAsia="en-GB"/>
              </w:rPr>
              <w:t>61-65</w:t>
            </w:r>
          </w:p>
        </w:tc>
        <w:tc>
          <w:tcPr>
            <w:tcW w:w="871"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szCs w:val="20"/>
                <w:u w:val="single"/>
                <w:lang w:eastAsia="en-GB"/>
              </w:rPr>
            </w:pPr>
            <w:r w:rsidRPr="000C64DA">
              <w:rPr>
                <w:rFonts w:eastAsia="Times New Roman"/>
                <w:b/>
                <w:bCs/>
                <w:color w:val="000000"/>
                <w:sz w:val="20"/>
                <w:szCs w:val="20"/>
                <w:u w:val="single"/>
                <w:lang w:eastAsia="en-GB"/>
              </w:rPr>
              <w:t>66-70</w:t>
            </w:r>
          </w:p>
        </w:tc>
        <w:tc>
          <w:tcPr>
            <w:tcW w:w="761"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szCs w:val="20"/>
                <w:u w:val="single"/>
                <w:lang w:eastAsia="en-GB"/>
              </w:rPr>
            </w:pPr>
            <w:r w:rsidRPr="000C64DA">
              <w:rPr>
                <w:rFonts w:eastAsia="Times New Roman"/>
                <w:b/>
                <w:bCs/>
                <w:color w:val="000000"/>
                <w:sz w:val="20"/>
                <w:szCs w:val="20"/>
                <w:u w:val="single"/>
                <w:lang w:eastAsia="en-GB"/>
              </w:rPr>
              <w:t>&gt;=71 Years</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Band 1</w:t>
            </w:r>
          </w:p>
        </w:tc>
        <w:tc>
          <w:tcPr>
            <w:tcW w:w="816"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63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1.1%</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5.6%</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7.9%</w:t>
            </w:r>
          </w:p>
        </w:tc>
        <w:tc>
          <w:tcPr>
            <w:tcW w:w="895"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16.9%</w:t>
            </w:r>
          </w:p>
        </w:tc>
        <w:tc>
          <w:tcPr>
            <w:tcW w:w="840"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19.1%</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11.2%</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15.7%</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7.9%</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11.2%</w:t>
            </w:r>
          </w:p>
        </w:tc>
        <w:tc>
          <w:tcPr>
            <w:tcW w:w="87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1.1%</w:t>
            </w:r>
          </w:p>
        </w:tc>
        <w:tc>
          <w:tcPr>
            <w:tcW w:w="761"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2.2%</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Band 2</w:t>
            </w:r>
          </w:p>
        </w:tc>
        <w:tc>
          <w:tcPr>
            <w:tcW w:w="816"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1.6%</w:t>
            </w:r>
          </w:p>
        </w:tc>
        <w:tc>
          <w:tcPr>
            <w:tcW w:w="63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8.4%</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9.9%</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12.3%</w:t>
            </w:r>
          </w:p>
        </w:tc>
        <w:tc>
          <w:tcPr>
            <w:tcW w:w="895"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10.9%</w:t>
            </w:r>
          </w:p>
        </w:tc>
        <w:tc>
          <w:tcPr>
            <w:tcW w:w="8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11.6%</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11.0%</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13.2%</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10.4%</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7.9%</w:t>
            </w:r>
          </w:p>
        </w:tc>
        <w:tc>
          <w:tcPr>
            <w:tcW w:w="871"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1.7%</w:t>
            </w:r>
          </w:p>
        </w:tc>
        <w:tc>
          <w:tcPr>
            <w:tcW w:w="761"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1.2%</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Band 3</w:t>
            </w:r>
          </w:p>
        </w:tc>
        <w:tc>
          <w:tcPr>
            <w:tcW w:w="816"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1.0%</w:t>
            </w:r>
          </w:p>
        </w:tc>
        <w:tc>
          <w:tcPr>
            <w:tcW w:w="63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7.7%</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11.8%</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9.8%</w:t>
            </w:r>
          </w:p>
        </w:tc>
        <w:tc>
          <w:tcPr>
            <w:tcW w:w="895"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11.9%</w:t>
            </w:r>
          </w:p>
        </w:tc>
        <w:tc>
          <w:tcPr>
            <w:tcW w:w="8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10.8%</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11.4%</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12.0%</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12.2%</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8.6%</w:t>
            </w:r>
          </w:p>
        </w:tc>
        <w:tc>
          <w:tcPr>
            <w:tcW w:w="871"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2.1%</w:t>
            </w:r>
          </w:p>
        </w:tc>
        <w:tc>
          <w:tcPr>
            <w:tcW w:w="761"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0.8%</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Band 4</w:t>
            </w:r>
          </w:p>
        </w:tc>
        <w:tc>
          <w:tcPr>
            <w:tcW w:w="816"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0.9%</w:t>
            </w:r>
          </w:p>
        </w:tc>
        <w:tc>
          <w:tcPr>
            <w:tcW w:w="63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6.3%</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12.4%</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11.1%</w:t>
            </w:r>
          </w:p>
        </w:tc>
        <w:tc>
          <w:tcPr>
            <w:tcW w:w="895"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12.3%</w:t>
            </w:r>
          </w:p>
        </w:tc>
        <w:tc>
          <w:tcPr>
            <w:tcW w:w="8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6.9%</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11.2%</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13.2%</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12.9%</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10.0%</w:t>
            </w:r>
          </w:p>
        </w:tc>
        <w:tc>
          <w:tcPr>
            <w:tcW w:w="871"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2.2%</w:t>
            </w:r>
          </w:p>
        </w:tc>
        <w:tc>
          <w:tcPr>
            <w:tcW w:w="761"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0.6%</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Band 5</w:t>
            </w:r>
          </w:p>
        </w:tc>
        <w:tc>
          <w:tcPr>
            <w:tcW w:w="816"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63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13.0%</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18.7%</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16.7%</w:t>
            </w:r>
          </w:p>
        </w:tc>
        <w:tc>
          <w:tcPr>
            <w:tcW w:w="895"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9.9%</w:t>
            </w:r>
          </w:p>
        </w:tc>
        <w:tc>
          <w:tcPr>
            <w:tcW w:w="8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8.7%</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10.2%</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9.1%</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9.0%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3.8%</w:t>
            </w:r>
          </w:p>
        </w:tc>
        <w:tc>
          <w:tcPr>
            <w:tcW w:w="87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0.6%</w:t>
            </w:r>
          </w:p>
        </w:tc>
        <w:tc>
          <w:tcPr>
            <w:tcW w:w="76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0.3%</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Band 6</w:t>
            </w:r>
          </w:p>
        </w:tc>
        <w:tc>
          <w:tcPr>
            <w:tcW w:w="816"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63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3.1%</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14.8%</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16.3%</w:t>
            </w:r>
          </w:p>
        </w:tc>
        <w:tc>
          <w:tcPr>
            <w:tcW w:w="895"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11.7%</w:t>
            </w:r>
          </w:p>
        </w:tc>
        <w:tc>
          <w:tcPr>
            <w:tcW w:w="840"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14.8%</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15.1%</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11.9%</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7.4%</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3.9%</w:t>
            </w:r>
          </w:p>
        </w:tc>
        <w:tc>
          <w:tcPr>
            <w:tcW w:w="87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0.8%</w:t>
            </w:r>
          </w:p>
        </w:tc>
        <w:tc>
          <w:tcPr>
            <w:tcW w:w="76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0.3%</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Band 7</w:t>
            </w:r>
          </w:p>
        </w:tc>
        <w:tc>
          <w:tcPr>
            <w:tcW w:w="816"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63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0.6%</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5.6%</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14.3%</w:t>
            </w:r>
          </w:p>
        </w:tc>
        <w:tc>
          <w:tcPr>
            <w:tcW w:w="895"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16.1%</w:t>
            </w:r>
          </w:p>
        </w:tc>
        <w:tc>
          <w:tcPr>
            <w:tcW w:w="840"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16.2%</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16.7%</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14.9%</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11.0%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4.0%</w:t>
            </w:r>
          </w:p>
        </w:tc>
        <w:tc>
          <w:tcPr>
            <w:tcW w:w="87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0.6%</w:t>
            </w:r>
          </w:p>
        </w:tc>
        <w:tc>
          <w:tcPr>
            <w:tcW w:w="76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Band 8a</w:t>
            </w:r>
          </w:p>
        </w:tc>
        <w:tc>
          <w:tcPr>
            <w:tcW w:w="816"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63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3.9%</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6.6%</w:t>
            </w:r>
          </w:p>
        </w:tc>
        <w:tc>
          <w:tcPr>
            <w:tcW w:w="895"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12.8%</w:t>
            </w:r>
          </w:p>
        </w:tc>
        <w:tc>
          <w:tcPr>
            <w:tcW w:w="840"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15.9%</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24.8%</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20.5%</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9.3%</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4.7%</w:t>
            </w:r>
          </w:p>
        </w:tc>
        <w:tc>
          <w:tcPr>
            <w:tcW w:w="871"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1.6%</w:t>
            </w:r>
          </w:p>
        </w:tc>
        <w:tc>
          <w:tcPr>
            <w:tcW w:w="76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Band 8b</w:t>
            </w:r>
          </w:p>
        </w:tc>
        <w:tc>
          <w:tcPr>
            <w:tcW w:w="816"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63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1.8%</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2.7%</w:t>
            </w:r>
          </w:p>
        </w:tc>
        <w:tc>
          <w:tcPr>
            <w:tcW w:w="895"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15.2%</w:t>
            </w:r>
          </w:p>
        </w:tc>
        <w:tc>
          <w:tcPr>
            <w:tcW w:w="840"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17.0%</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18.8%</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22.3%</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12.5%</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8.9%</w:t>
            </w:r>
          </w:p>
        </w:tc>
        <w:tc>
          <w:tcPr>
            <w:tcW w:w="87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0.9%</w:t>
            </w:r>
          </w:p>
        </w:tc>
        <w:tc>
          <w:tcPr>
            <w:tcW w:w="76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Band 8c</w:t>
            </w:r>
          </w:p>
        </w:tc>
        <w:tc>
          <w:tcPr>
            <w:tcW w:w="816"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63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5.0%</w:t>
            </w:r>
          </w:p>
        </w:tc>
        <w:tc>
          <w:tcPr>
            <w:tcW w:w="895"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7.5%</w:t>
            </w:r>
          </w:p>
        </w:tc>
        <w:tc>
          <w:tcPr>
            <w:tcW w:w="840"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17.5%</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17.5%</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17.5%</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30.0%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5.0%</w:t>
            </w:r>
          </w:p>
        </w:tc>
        <w:tc>
          <w:tcPr>
            <w:tcW w:w="87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6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Band 8d</w:t>
            </w:r>
          </w:p>
        </w:tc>
        <w:tc>
          <w:tcPr>
            <w:tcW w:w="816"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63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895"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4.8%</w:t>
            </w:r>
          </w:p>
        </w:tc>
        <w:tc>
          <w:tcPr>
            <w:tcW w:w="8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9.5%</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14.3%</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28.6%</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33.3%</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9.5%</w:t>
            </w:r>
          </w:p>
        </w:tc>
        <w:tc>
          <w:tcPr>
            <w:tcW w:w="87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6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Band 9</w:t>
            </w:r>
          </w:p>
        </w:tc>
        <w:tc>
          <w:tcPr>
            <w:tcW w:w="816"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63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6.3%</w:t>
            </w:r>
          </w:p>
        </w:tc>
        <w:tc>
          <w:tcPr>
            <w:tcW w:w="895"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840" w:type="dxa"/>
            <w:shd w:val="clear" w:color="auto" w:fill="auto"/>
            <w:noWrap/>
            <w:vAlign w:val="bottom"/>
            <w:hideMark/>
          </w:tcPr>
          <w:p w:rsidR="00DC6594" w:rsidRPr="000C64DA" w:rsidRDefault="00DC6594" w:rsidP="00DC6594">
            <w:pPr>
              <w:spacing w:after="0" w:line="240" w:lineRule="auto"/>
              <w:jc w:val="center"/>
              <w:rPr>
                <w:rFonts w:eastAsia="Times New Roman"/>
                <w:b/>
                <w:bCs/>
                <w:color w:val="000000"/>
                <w:sz w:val="20"/>
                <w:szCs w:val="20"/>
                <w:lang w:eastAsia="en-GB"/>
              </w:rPr>
            </w:pPr>
            <w:r w:rsidRPr="000C64DA">
              <w:rPr>
                <w:rFonts w:eastAsia="Times New Roman"/>
                <w:b/>
                <w:bCs/>
                <w:color w:val="000000"/>
                <w:sz w:val="20"/>
                <w:szCs w:val="20"/>
                <w:lang w:eastAsia="en-GB"/>
              </w:rPr>
              <w:t>25.0%</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25.0%</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25.0%</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12.5%</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6.3%</w:t>
            </w:r>
          </w:p>
        </w:tc>
        <w:tc>
          <w:tcPr>
            <w:tcW w:w="87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6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Directors</w:t>
            </w:r>
          </w:p>
        </w:tc>
        <w:tc>
          <w:tcPr>
            <w:tcW w:w="816"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63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9.1%</w:t>
            </w:r>
          </w:p>
        </w:tc>
        <w:tc>
          <w:tcPr>
            <w:tcW w:w="895"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8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63.6%</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18.2%</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9.1%</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87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6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Medical &amp; Dental - Consultant</w:t>
            </w:r>
          </w:p>
        </w:tc>
        <w:tc>
          <w:tcPr>
            <w:tcW w:w="816"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63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2.0%</w:t>
            </w:r>
          </w:p>
        </w:tc>
        <w:tc>
          <w:tcPr>
            <w:tcW w:w="895"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15.7%</w:t>
            </w:r>
          </w:p>
        </w:tc>
        <w:tc>
          <w:tcPr>
            <w:tcW w:w="840"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24.5%</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23.9%</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16.0%</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11.7%</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4.3%</w:t>
            </w:r>
          </w:p>
        </w:tc>
        <w:tc>
          <w:tcPr>
            <w:tcW w:w="871"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1.6%</w:t>
            </w:r>
          </w:p>
        </w:tc>
        <w:tc>
          <w:tcPr>
            <w:tcW w:w="76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0.2%</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Medical &amp; Dental - Middle Grade</w:t>
            </w:r>
          </w:p>
        </w:tc>
        <w:tc>
          <w:tcPr>
            <w:tcW w:w="816"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63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1.8%</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1.8%</w:t>
            </w:r>
          </w:p>
        </w:tc>
        <w:tc>
          <w:tcPr>
            <w:tcW w:w="895"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14.5%</w:t>
            </w:r>
          </w:p>
        </w:tc>
        <w:tc>
          <w:tcPr>
            <w:tcW w:w="840"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14.5%</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21.8%</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16.4%</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20.0%</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7.3%</w:t>
            </w:r>
          </w:p>
        </w:tc>
        <w:tc>
          <w:tcPr>
            <w:tcW w:w="871"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1.8%</w:t>
            </w:r>
          </w:p>
        </w:tc>
        <w:tc>
          <w:tcPr>
            <w:tcW w:w="76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Medical &amp; Dental - Training</w:t>
            </w:r>
          </w:p>
        </w:tc>
        <w:tc>
          <w:tcPr>
            <w:tcW w:w="816"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63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9.6%</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35.0%</w:t>
            </w:r>
          </w:p>
        </w:tc>
        <w:tc>
          <w:tcPr>
            <w:tcW w:w="784"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32.6%</w:t>
            </w:r>
          </w:p>
        </w:tc>
        <w:tc>
          <w:tcPr>
            <w:tcW w:w="895"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12.6%</w:t>
            </w:r>
          </w:p>
        </w:tc>
        <w:tc>
          <w:tcPr>
            <w:tcW w:w="8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6.6%</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2.2%</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0.9%</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0.4%</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87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0.1%</w:t>
            </w:r>
          </w:p>
        </w:tc>
        <w:tc>
          <w:tcPr>
            <w:tcW w:w="76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r>
      <w:tr w:rsidR="00DC6594" w:rsidRPr="000C64DA" w:rsidTr="000C64DA">
        <w:trPr>
          <w:cantSplit/>
          <w:trHeight w:val="288"/>
          <w:tblHeader/>
          <w:jc w:val="center"/>
        </w:trPr>
        <w:tc>
          <w:tcPr>
            <w:tcW w:w="1716" w:type="dxa"/>
            <w:shd w:val="clear" w:color="auto" w:fill="auto"/>
            <w:noWrap/>
            <w:vAlign w:val="bottom"/>
            <w:hideMark/>
          </w:tcPr>
          <w:p w:rsidR="00DC6594" w:rsidRPr="000C64DA" w:rsidRDefault="00DC6594" w:rsidP="00DC6594">
            <w:pPr>
              <w:spacing w:after="0" w:line="240" w:lineRule="auto"/>
              <w:rPr>
                <w:rFonts w:eastAsia="Times New Roman"/>
                <w:color w:val="000000"/>
                <w:sz w:val="20"/>
                <w:szCs w:val="20"/>
                <w:lang w:eastAsia="en-GB"/>
              </w:rPr>
            </w:pPr>
            <w:r w:rsidRPr="000C64DA">
              <w:rPr>
                <w:rFonts w:eastAsia="Times New Roman"/>
                <w:color w:val="000000"/>
                <w:sz w:val="20"/>
                <w:szCs w:val="20"/>
                <w:lang w:eastAsia="en-GB"/>
              </w:rPr>
              <w:t>Local Scale</w:t>
            </w:r>
          </w:p>
        </w:tc>
        <w:tc>
          <w:tcPr>
            <w:tcW w:w="816"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63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895" w:type="dxa"/>
            <w:shd w:val="clear" w:color="auto" w:fill="41B6E6"/>
            <w:noWrap/>
            <w:vAlign w:val="bottom"/>
            <w:hideMark/>
          </w:tcPr>
          <w:p w:rsidR="00DC6594" w:rsidRPr="000C64DA" w:rsidRDefault="00DC6594" w:rsidP="00DC6594">
            <w:pPr>
              <w:spacing w:after="0" w:line="240" w:lineRule="auto"/>
              <w:jc w:val="center"/>
              <w:rPr>
                <w:rFonts w:eastAsia="Times New Roman"/>
                <w:b/>
                <w:bCs/>
                <w:color w:val="FFFFFF" w:themeColor="background1"/>
                <w:sz w:val="20"/>
                <w:szCs w:val="20"/>
                <w:lang w:eastAsia="en-GB"/>
              </w:rPr>
            </w:pPr>
            <w:r w:rsidRPr="000C64DA">
              <w:rPr>
                <w:rFonts w:eastAsia="Times New Roman"/>
                <w:b/>
                <w:bCs/>
                <w:color w:val="FFFFFF" w:themeColor="background1"/>
                <w:sz w:val="20"/>
                <w:szCs w:val="20"/>
                <w:lang w:eastAsia="en-GB"/>
              </w:rPr>
              <w:t>100.0%</w:t>
            </w:r>
          </w:p>
        </w:tc>
        <w:tc>
          <w:tcPr>
            <w:tcW w:w="8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84"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87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c>
          <w:tcPr>
            <w:tcW w:w="761"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szCs w:val="20"/>
                <w:lang w:eastAsia="en-GB"/>
              </w:rPr>
            </w:pPr>
            <w:r w:rsidRPr="000C64DA">
              <w:rPr>
                <w:rFonts w:eastAsia="Times New Roman"/>
                <w:color w:val="000000"/>
                <w:sz w:val="20"/>
                <w:szCs w:val="20"/>
                <w:lang w:eastAsia="en-GB"/>
              </w:rPr>
              <w:t>0.0%</w:t>
            </w:r>
          </w:p>
        </w:tc>
      </w:tr>
    </w:tbl>
    <w:p w:rsidR="00DC6594" w:rsidRPr="00AE49C8" w:rsidRDefault="00DC6594" w:rsidP="00BD4880">
      <w:pPr>
        <w:rPr>
          <w:b/>
        </w:rPr>
      </w:pPr>
    </w:p>
    <w:p w:rsidR="00DC6594" w:rsidRPr="000D2F61" w:rsidRDefault="00DC6594" w:rsidP="00BD4880">
      <w:r w:rsidRPr="000D2F61">
        <w:t>Observations</w:t>
      </w:r>
    </w:p>
    <w:p w:rsidR="00DC6594" w:rsidRPr="00AE49C8" w:rsidRDefault="00FD5583" w:rsidP="00FD5583">
      <w:pPr>
        <w:pStyle w:val="ListParagraph"/>
      </w:pPr>
      <w:r w:rsidRPr="00AE49C8">
        <w:lastRenderedPageBreak/>
        <w:t>Great</w:t>
      </w:r>
      <w:r w:rsidR="0048421D" w:rsidRPr="00AE49C8">
        <w:t>est</w:t>
      </w:r>
      <w:r w:rsidRPr="00AE49C8">
        <w:t xml:space="preserve"> representation within pay bands/grades: bands 1-4 staff aged: 26-65, bands 5-7 staff aged 21-60, bands 8a-b staff aged 36-60, bands 8c-9 staff aged 41-60, directors 46-55, consultants (medics) 36-55, middle grade (medics) 46-60 and trainee (medics) 26-35.</w:t>
      </w:r>
    </w:p>
    <w:p w:rsidR="00FD5583" w:rsidRPr="00AE49C8" w:rsidRDefault="00FD5583" w:rsidP="00FD5583">
      <w:pPr>
        <w:pStyle w:val="ListParagraph"/>
      </w:pPr>
      <w:r w:rsidRPr="00AE49C8">
        <w:t>Bands/grades where age groups have a greater representation than overall workforce representation (for that group): under 20 bands 2-4, 21-25 bands 2-5 and trainee (medics), 26-30 bands 5-6 and trainee (medics), 31-35 bands 5-7 and trainee (medics), 36-40 bands 1, 4, 7-8b and all medical and dental grades, 41-45 bands 1, 6-8c, consultants (medics) and middle grade (medics), 46-50 bands 6-9, directors and all medical grades, 51-55 bands 1-4, 5-9, directors, consultants (medics) and middle grade (medics), 56-60 bands 2-4, 7, 8b-9, consultants (medics) and middle grade (medics), 61-65 bands 1-4, 8b, 8d-9 and middle grade (medics), 66-70 bands 2-4, 8a, consultants (medics) and middle grade (medics) and 71+ bands 1-4.</w:t>
      </w:r>
    </w:p>
    <w:p w:rsidR="00DC6594" w:rsidRPr="00AE49C8" w:rsidRDefault="00DC6594" w:rsidP="00BD4880">
      <w:pPr>
        <w:rPr>
          <w:b/>
        </w:rPr>
      </w:pPr>
      <w:r w:rsidRPr="00AE49C8">
        <w:rPr>
          <w:b/>
        </w:rPr>
        <w:t>WSHT</w:t>
      </w:r>
    </w:p>
    <w:tbl>
      <w:tblPr>
        <w:tblW w:w="11109" w:type="dxa"/>
        <w:tblInd w:w="-1043" w:type="dxa"/>
        <w:tblBorders>
          <w:insideH w:val="dotted" w:sz="4" w:space="0" w:color="auto"/>
        </w:tblBorders>
        <w:tblLook w:val="04A0" w:firstRow="1" w:lastRow="0" w:firstColumn="1" w:lastColumn="0" w:noHBand="0" w:noVBand="1"/>
        <w:tblCaption w:val="Breakdown of WSHT's workforce by pay bands/grades by age"/>
      </w:tblPr>
      <w:tblGrid>
        <w:gridCol w:w="1849"/>
        <w:gridCol w:w="820"/>
        <w:gridCol w:w="784"/>
        <w:gridCol w:w="784"/>
        <w:gridCol w:w="784"/>
        <w:gridCol w:w="784"/>
        <w:gridCol w:w="784"/>
        <w:gridCol w:w="784"/>
        <w:gridCol w:w="784"/>
        <w:gridCol w:w="784"/>
        <w:gridCol w:w="784"/>
        <w:gridCol w:w="784"/>
        <w:gridCol w:w="761"/>
      </w:tblGrid>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u w:val="single"/>
                <w:lang w:eastAsia="en-GB"/>
              </w:rPr>
            </w:pPr>
            <w:r w:rsidRPr="000C64DA">
              <w:rPr>
                <w:rFonts w:eastAsia="Times New Roman"/>
                <w:b/>
                <w:bCs/>
                <w:color w:val="000000"/>
                <w:sz w:val="20"/>
                <w:u w:val="single"/>
                <w:lang w:eastAsia="en-GB"/>
              </w:rPr>
              <w:t>Pay Band</w:t>
            </w:r>
          </w:p>
        </w:tc>
        <w:tc>
          <w:tcPr>
            <w:tcW w:w="820"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u w:val="single"/>
                <w:lang w:eastAsia="en-GB"/>
              </w:rPr>
            </w:pPr>
            <w:r w:rsidRPr="000C64DA">
              <w:rPr>
                <w:rFonts w:eastAsia="Times New Roman"/>
                <w:b/>
                <w:bCs/>
                <w:color w:val="000000"/>
                <w:sz w:val="20"/>
                <w:u w:val="single"/>
                <w:lang w:eastAsia="en-GB"/>
              </w:rPr>
              <w:t>&lt;=20 Years</w:t>
            </w:r>
          </w:p>
        </w:tc>
        <w:tc>
          <w:tcPr>
            <w:tcW w:w="770"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u w:val="single"/>
                <w:lang w:eastAsia="en-GB"/>
              </w:rPr>
            </w:pPr>
            <w:r w:rsidRPr="000C64DA">
              <w:rPr>
                <w:rFonts w:eastAsia="Times New Roman"/>
                <w:b/>
                <w:bCs/>
                <w:color w:val="000000"/>
                <w:sz w:val="20"/>
                <w:u w:val="single"/>
                <w:lang w:eastAsia="en-GB"/>
              </w:rPr>
              <w:t>21-25</w:t>
            </w:r>
          </w:p>
        </w:tc>
        <w:tc>
          <w:tcPr>
            <w:tcW w:w="770"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u w:val="single"/>
                <w:lang w:eastAsia="en-GB"/>
              </w:rPr>
            </w:pPr>
            <w:r w:rsidRPr="000C64DA">
              <w:rPr>
                <w:rFonts w:eastAsia="Times New Roman"/>
                <w:b/>
                <w:bCs/>
                <w:color w:val="000000"/>
                <w:sz w:val="20"/>
                <w:u w:val="single"/>
                <w:lang w:eastAsia="en-GB"/>
              </w:rPr>
              <w:t>26-30</w:t>
            </w:r>
          </w:p>
        </w:tc>
        <w:tc>
          <w:tcPr>
            <w:tcW w:w="770"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u w:val="single"/>
                <w:lang w:eastAsia="en-GB"/>
              </w:rPr>
            </w:pPr>
            <w:r w:rsidRPr="000C64DA">
              <w:rPr>
                <w:rFonts w:eastAsia="Times New Roman"/>
                <w:b/>
                <w:bCs/>
                <w:color w:val="000000"/>
                <w:sz w:val="20"/>
                <w:u w:val="single"/>
                <w:lang w:eastAsia="en-GB"/>
              </w:rPr>
              <w:t>31-35</w:t>
            </w:r>
          </w:p>
        </w:tc>
        <w:tc>
          <w:tcPr>
            <w:tcW w:w="770"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u w:val="single"/>
                <w:lang w:eastAsia="en-GB"/>
              </w:rPr>
            </w:pPr>
            <w:r w:rsidRPr="000C64DA">
              <w:rPr>
                <w:rFonts w:eastAsia="Times New Roman"/>
                <w:b/>
                <w:bCs/>
                <w:color w:val="000000"/>
                <w:sz w:val="20"/>
                <w:u w:val="single"/>
                <w:lang w:eastAsia="en-GB"/>
              </w:rPr>
              <w:t>36-40</w:t>
            </w:r>
          </w:p>
        </w:tc>
        <w:tc>
          <w:tcPr>
            <w:tcW w:w="770"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u w:val="single"/>
                <w:lang w:eastAsia="en-GB"/>
              </w:rPr>
            </w:pPr>
            <w:r w:rsidRPr="000C64DA">
              <w:rPr>
                <w:rFonts w:eastAsia="Times New Roman"/>
                <w:b/>
                <w:bCs/>
                <w:color w:val="000000"/>
                <w:sz w:val="20"/>
                <w:u w:val="single"/>
                <w:lang w:eastAsia="en-GB"/>
              </w:rPr>
              <w:t>41-45</w:t>
            </w:r>
          </w:p>
        </w:tc>
        <w:tc>
          <w:tcPr>
            <w:tcW w:w="770"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u w:val="single"/>
                <w:lang w:eastAsia="en-GB"/>
              </w:rPr>
            </w:pPr>
            <w:r w:rsidRPr="000C64DA">
              <w:rPr>
                <w:rFonts w:eastAsia="Times New Roman"/>
                <w:b/>
                <w:bCs/>
                <w:color w:val="000000"/>
                <w:sz w:val="20"/>
                <w:u w:val="single"/>
                <w:lang w:eastAsia="en-GB"/>
              </w:rPr>
              <w:t>46-50</w:t>
            </w:r>
          </w:p>
        </w:tc>
        <w:tc>
          <w:tcPr>
            <w:tcW w:w="770"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u w:val="single"/>
                <w:lang w:eastAsia="en-GB"/>
              </w:rPr>
            </w:pPr>
            <w:r w:rsidRPr="000C64DA">
              <w:rPr>
                <w:rFonts w:eastAsia="Times New Roman"/>
                <w:b/>
                <w:bCs/>
                <w:color w:val="000000"/>
                <w:sz w:val="20"/>
                <w:u w:val="single"/>
                <w:lang w:eastAsia="en-GB"/>
              </w:rPr>
              <w:t>51-55</w:t>
            </w:r>
          </w:p>
        </w:tc>
        <w:tc>
          <w:tcPr>
            <w:tcW w:w="770"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u w:val="single"/>
                <w:lang w:eastAsia="en-GB"/>
              </w:rPr>
            </w:pPr>
            <w:r w:rsidRPr="000C64DA">
              <w:rPr>
                <w:rFonts w:eastAsia="Times New Roman"/>
                <w:b/>
                <w:bCs/>
                <w:color w:val="000000"/>
                <w:sz w:val="20"/>
                <w:u w:val="single"/>
                <w:lang w:eastAsia="en-GB"/>
              </w:rPr>
              <w:t>56-60</w:t>
            </w:r>
          </w:p>
        </w:tc>
        <w:tc>
          <w:tcPr>
            <w:tcW w:w="770"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u w:val="single"/>
                <w:lang w:eastAsia="en-GB"/>
              </w:rPr>
            </w:pPr>
            <w:r w:rsidRPr="000C64DA">
              <w:rPr>
                <w:rFonts w:eastAsia="Times New Roman"/>
                <w:b/>
                <w:bCs/>
                <w:color w:val="000000"/>
                <w:sz w:val="20"/>
                <w:u w:val="single"/>
                <w:lang w:eastAsia="en-GB"/>
              </w:rPr>
              <w:t>61-65</w:t>
            </w:r>
          </w:p>
        </w:tc>
        <w:tc>
          <w:tcPr>
            <w:tcW w:w="770"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u w:val="single"/>
                <w:lang w:eastAsia="en-GB"/>
              </w:rPr>
            </w:pPr>
            <w:r w:rsidRPr="000C64DA">
              <w:rPr>
                <w:rFonts w:eastAsia="Times New Roman"/>
                <w:b/>
                <w:bCs/>
                <w:color w:val="000000"/>
                <w:sz w:val="20"/>
                <w:u w:val="single"/>
                <w:lang w:eastAsia="en-GB"/>
              </w:rPr>
              <w:t>66-70</w:t>
            </w:r>
          </w:p>
        </w:tc>
        <w:tc>
          <w:tcPr>
            <w:tcW w:w="740" w:type="dxa"/>
            <w:shd w:val="clear" w:color="auto" w:fill="auto"/>
            <w:noWrap/>
            <w:vAlign w:val="bottom"/>
            <w:hideMark/>
          </w:tcPr>
          <w:p w:rsidR="00DC6594" w:rsidRPr="000C64DA" w:rsidRDefault="00DC6594" w:rsidP="00DC6594">
            <w:pPr>
              <w:spacing w:after="0" w:line="240" w:lineRule="auto"/>
              <w:rPr>
                <w:rFonts w:eastAsia="Times New Roman"/>
                <w:b/>
                <w:bCs/>
                <w:color w:val="000000"/>
                <w:sz w:val="20"/>
                <w:u w:val="single"/>
                <w:lang w:eastAsia="en-GB"/>
              </w:rPr>
            </w:pPr>
            <w:r w:rsidRPr="000C64DA">
              <w:rPr>
                <w:rFonts w:eastAsia="Times New Roman"/>
                <w:b/>
                <w:bCs/>
                <w:color w:val="000000"/>
                <w:sz w:val="20"/>
                <w:u w:val="single"/>
                <w:lang w:eastAsia="en-GB"/>
              </w:rPr>
              <w:t>&gt;=71 Years</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Band 1</w:t>
            </w:r>
          </w:p>
        </w:tc>
        <w:tc>
          <w:tcPr>
            <w:tcW w:w="82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9.8%</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9.8%</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4.9%</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12.2%</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12.2%</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12.2%</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7.3%</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7.3%</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9.8%</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12.2%</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2.4%</w:t>
            </w:r>
          </w:p>
        </w:tc>
        <w:tc>
          <w:tcPr>
            <w:tcW w:w="7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Band 2</w:t>
            </w:r>
          </w:p>
        </w:tc>
        <w:tc>
          <w:tcPr>
            <w:tcW w:w="82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2.7%</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6.9%</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8.9%</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11.0%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11.0%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11.2%</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11.4%</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11.8%</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13.1%</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8.8%</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2.2%</w:t>
            </w:r>
          </w:p>
        </w:tc>
        <w:tc>
          <w:tcPr>
            <w:tcW w:w="74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0.9%</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Band 3</w:t>
            </w:r>
          </w:p>
        </w:tc>
        <w:tc>
          <w:tcPr>
            <w:tcW w:w="82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0.6%</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8.2%</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11.5%</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12.3%</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9.4%</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10.1%</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11.7%</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12.3%</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12.0%</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8.2%</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2.4%</w:t>
            </w:r>
          </w:p>
        </w:tc>
        <w:tc>
          <w:tcPr>
            <w:tcW w:w="74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1.4%</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Band 4</w:t>
            </w:r>
          </w:p>
        </w:tc>
        <w:tc>
          <w:tcPr>
            <w:tcW w:w="82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0.2%</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6.7%</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9.6%</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10.4%</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7.8%</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9.2%</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13.7%</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14.9%</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16.1%</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8.2%</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2.0%</w:t>
            </w:r>
          </w:p>
        </w:tc>
        <w:tc>
          <w:tcPr>
            <w:tcW w:w="74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1.2%</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Band 5</w:t>
            </w:r>
          </w:p>
        </w:tc>
        <w:tc>
          <w:tcPr>
            <w:tcW w:w="82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8.8%</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19.5%</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17.7%</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10.3%</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9.8%</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11.7%</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9.2%</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7.6%</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4.3%</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0.9%</w:t>
            </w:r>
          </w:p>
        </w:tc>
        <w:tc>
          <w:tcPr>
            <w:tcW w:w="7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0.3%</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Band 6</w:t>
            </w:r>
          </w:p>
        </w:tc>
        <w:tc>
          <w:tcPr>
            <w:tcW w:w="82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3.6%</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12.6%</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15.9%</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13.4%</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14.9%</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14.7%</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11.6%</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8.1%</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4.1%</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0.8%</w:t>
            </w:r>
          </w:p>
        </w:tc>
        <w:tc>
          <w:tcPr>
            <w:tcW w:w="7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0.3%</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Band 7</w:t>
            </w:r>
          </w:p>
        </w:tc>
        <w:tc>
          <w:tcPr>
            <w:tcW w:w="82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0.7%</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5.1%</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9.9%</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12.7%</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16.9%</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19.3%</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18.4%</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10.7%</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5.4%</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0.7%</w:t>
            </w:r>
          </w:p>
        </w:tc>
        <w:tc>
          <w:tcPr>
            <w:tcW w:w="7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0.3%</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Band 8a</w:t>
            </w:r>
          </w:p>
        </w:tc>
        <w:tc>
          <w:tcPr>
            <w:tcW w:w="82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4.8%</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8.9%</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10.7%</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19.6%</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19.6%</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13.7%</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14.9%</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7.7%</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Band 8b</w:t>
            </w:r>
          </w:p>
        </w:tc>
        <w:tc>
          <w:tcPr>
            <w:tcW w:w="82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2.8%</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7.0%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11.3%</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5.6%</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23.9%</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28.2%</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18.3%</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2.8%</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Band 8c</w:t>
            </w:r>
          </w:p>
        </w:tc>
        <w:tc>
          <w:tcPr>
            <w:tcW w:w="82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3.3%</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3.3%</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20.0%</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20.0%</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23.3%</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26.7%</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3.3%</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Band 8d</w:t>
            </w:r>
          </w:p>
        </w:tc>
        <w:tc>
          <w:tcPr>
            <w:tcW w:w="82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12.5%</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12.5%</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62.5%</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12.5%</w:t>
            </w:r>
          </w:p>
        </w:tc>
        <w:tc>
          <w:tcPr>
            <w:tcW w:w="7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Band 9</w:t>
            </w:r>
          </w:p>
        </w:tc>
        <w:tc>
          <w:tcPr>
            <w:tcW w:w="82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28.6%</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28.6%</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14.3%</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28.6%</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Directors</w:t>
            </w:r>
          </w:p>
        </w:tc>
        <w:tc>
          <w:tcPr>
            <w:tcW w:w="82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4.8%</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14.3%</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19.0%</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23.8%</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19.0%</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9.5%</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4.8%</w:t>
            </w:r>
          </w:p>
        </w:tc>
        <w:tc>
          <w:tcPr>
            <w:tcW w:w="74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4.8%</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Medical &amp; Dental - Consultant</w:t>
            </w:r>
          </w:p>
        </w:tc>
        <w:tc>
          <w:tcPr>
            <w:tcW w:w="82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2.5%</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15.2%</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17.7%</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21.7%</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20.6%</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11.8%</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6.8%</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2.8%</w:t>
            </w:r>
          </w:p>
        </w:tc>
        <w:tc>
          <w:tcPr>
            <w:tcW w:w="74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0.8%</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Medical &amp; Dental - Middle Grade</w:t>
            </w:r>
          </w:p>
        </w:tc>
        <w:tc>
          <w:tcPr>
            <w:tcW w:w="82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0.7%</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28.7%</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34.7%</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17.9%</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7.2%</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5.1%</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3.0%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1.2%</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0.9%</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0.2%</w:t>
            </w:r>
          </w:p>
        </w:tc>
        <w:tc>
          <w:tcPr>
            <w:tcW w:w="7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0.2%</w:t>
            </w:r>
          </w:p>
        </w:tc>
      </w:tr>
      <w:tr w:rsidR="00DC6594" w:rsidRPr="000C64DA" w:rsidTr="00AF03DD">
        <w:trPr>
          <w:cantSplit/>
          <w:trHeight w:val="288"/>
          <w:tblHeader/>
        </w:trPr>
        <w:tc>
          <w:tcPr>
            <w:tcW w:w="1849" w:type="dxa"/>
            <w:shd w:val="clear" w:color="auto" w:fill="auto"/>
            <w:noWrap/>
            <w:vAlign w:val="bottom"/>
            <w:hideMark/>
          </w:tcPr>
          <w:p w:rsidR="00DC6594" w:rsidRPr="000C64DA" w:rsidRDefault="00DC6594" w:rsidP="00DC6594">
            <w:pPr>
              <w:spacing w:after="0" w:line="240" w:lineRule="auto"/>
              <w:rPr>
                <w:rFonts w:eastAsia="Times New Roman"/>
                <w:color w:val="000000"/>
                <w:sz w:val="20"/>
                <w:lang w:eastAsia="en-GB"/>
              </w:rPr>
            </w:pPr>
            <w:r w:rsidRPr="000C64DA">
              <w:rPr>
                <w:rFonts w:eastAsia="Times New Roman"/>
                <w:color w:val="000000"/>
                <w:sz w:val="20"/>
                <w:lang w:eastAsia="en-GB"/>
              </w:rPr>
              <w:t>Medical &amp; Dental - Training</w:t>
            </w:r>
          </w:p>
        </w:tc>
        <w:tc>
          <w:tcPr>
            <w:tcW w:w="82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39.8%</w:t>
            </w:r>
          </w:p>
        </w:tc>
        <w:tc>
          <w:tcPr>
            <w:tcW w:w="770" w:type="dxa"/>
            <w:shd w:val="clear" w:color="auto" w:fill="009639"/>
            <w:noWrap/>
            <w:vAlign w:val="bottom"/>
            <w:hideMark/>
          </w:tcPr>
          <w:p w:rsidR="00DC6594" w:rsidRPr="000C64DA" w:rsidRDefault="00DC6594" w:rsidP="00DC6594">
            <w:pPr>
              <w:spacing w:after="0" w:line="240" w:lineRule="auto"/>
              <w:jc w:val="center"/>
              <w:rPr>
                <w:rFonts w:eastAsia="Times New Roman"/>
                <w:b/>
                <w:bCs/>
                <w:color w:val="FFFFFF" w:themeColor="background1"/>
                <w:sz w:val="20"/>
                <w:lang w:eastAsia="en-GB"/>
              </w:rPr>
            </w:pPr>
            <w:r w:rsidRPr="000C64DA">
              <w:rPr>
                <w:rFonts w:eastAsia="Times New Roman"/>
                <w:b/>
                <w:bCs/>
                <w:color w:val="FFFFFF" w:themeColor="background1"/>
                <w:sz w:val="20"/>
                <w:lang w:eastAsia="en-GB"/>
              </w:rPr>
              <w:t>50.0%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5.9%</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0.8%</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2.5%</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0.8%</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7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c>
          <w:tcPr>
            <w:tcW w:w="740" w:type="dxa"/>
            <w:shd w:val="clear" w:color="auto" w:fill="auto"/>
            <w:noWrap/>
            <w:vAlign w:val="bottom"/>
            <w:hideMark/>
          </w:tcPr>
          <w:p w:rsidR="00DC6594" w:rsidRPr="000C64DA" w:rsidRDefault="00DC6594" w:rsidP="00DC6594">
            <w:pPr>
              <w:spacing w:after="0" w:line="240" w:lineRule="auto"/>
              <w:jc w:val="center"/>
              <w:rPr>
                <w:rFonts w:eastAsia="Times New Roman"/>
                <w:color w:val="000000"/>
                <w:sz w:val="20"/>
                <w:lang w:eastAsia="en-GB"/>
              </w:rPr>
            </w:pPr>
            <w:r w:rsidRPr="000C64DA">
              <w:rPr>
                <w:rFonts w:eastAsia="Times New Roman"/>
                <w:color w:val="000000"/>
                <w:sz w:val="20"/>
                <w:lang w:eastAsia="en-GB"/>
              </w:rPr>
              <w:t>0.0%</w:t>
            </w:r>
          </w:p>
        </w:tc>
      </w:tr>
    </w:tbl>
    <w:p w:rsidR="00DC6594" w:rsidRPr="00AE49C8" w:rsidRDefault="00DC6594" w:rsidP="00BD4880">
      <w:pPr>
        <w:rPr>
          <w:b/>
        </w:rPr>
      </w:pPr>
    </w:p>
    <w:p w:rsidR="00DC6594" w:rsidRPr="000D2F61" w:rsidRDefault="00DC6594" w:rsidP="00BD4880">
      <w:r w:rsidRPr="000D2F61">
        <w:t>Observations</w:t>
      </w:r>
      <w:r w:rsidR="0048421D" w:rsidRPr="000D2F61">
        <w:t xml:space="preserve">  </w:t>
      </w:r>
    </w:p>
    <w:p w:rsidR="0048421D" w:rsidRPr="00AE49C8" w:rsidRDefault="0048421D" w:rsidP="0048421D">
      <w:pPr>
        <w:pStyle w:val="ListParagraph"/>
      </w:pPr>
      <w:r w:rsidRPr="00AE49C8">
        <w:t>Greatest representation within pay bands/grades: bands 1-4 staff aged: 31-60, bands 5-7 staff aged 26-55, bands 8a-b staff aged 41-60, bands 8c-9 staff aged 41-60, directors 41-55, consultants (medics) 36-60, middle grade (medics) 26-40 and trainee (medics) 21-30.</w:t>
      </w:r>
    </w:p>
    <w:p w:rsidR="008C0572" w:rsidRPr="00AE49C8" w:rsidRDefault="008C0572" w:rsidP="008C0572">
      <w:pPr>
        <w:pStyle w:val="ListParagraph"/>
      </w:pPr>
      <w:r w:rsidRPr="00AE49C8">
        <w:t>Bands/grades where age groups have a greater representation than overall workforce representation (for that group): under 20 bands 1-3, 21-25 bands 1-</w:t>
      </w:r>
      <w:r w:rsidRPr="00AE49C8">
        <w:lastRenderedPageBreak/>
        <w:t>5 and trainee (medics), 26-30 bands 3, 5-6, middle grade (medics) and trainee (medics), 31-35 bands 5-6 and middle grade (medics), 36-40 bands 1, 6-7, consultant (medics) and middle grade (medics), 41-45 bands 1, 6-8a, 8c, 9, directors and consultants (medics), 46-50 bands 4, 6-8c, 9, directors and consultants (medics), 51-55 bands 4-5, 7-9, directors and consultants (medics), 56-60 bands 2-4, 8a-8d, directors and consultants (medics), 61-65 bands 1-4, 8a, 9 and directors, 66-70 bands 1, 3, 8d, directors and consultants (medics). 71+ bands 2-4, directors and consultants.</w:t>
      </w:r>
    </w:p>
    <w:p w:rsidR="00DC6594" w:rsidRPr="00AE49C8" w:rsidRDefault="00DC6594" w:rsidP="00BD4880">
      <w:pPr>
        <w:rPr>
          <w:b/>
        </w:rPr>
      </w:pPr>
    </w:p>
    <w:p w:rsidR="00A327C3" w:rsidRPr="00AE49C8" w:rsidRDefault="00DC6594" w:rsidP="00A327C3">
      <w:pPr>
        <w:pStyle w:val="Heading3"/>
      </w:pPr>
      <w:bookmarkStart w:id="34" w:name="_Toc88633981"/>
      <w:r w:rsidRPr="00AE49C8">
        <w:rPr>
          <w:rStyle w:val="Heading3Char"/>
          <w:b/>
          <w:bCs/>
        </w:rPr>
        <w:t>Breakdown of age in recruitment processes</w:t>
      </w:r>
      <w:bookmarkEnd w:id="34"/>
      <w:r w:rsidRPr="00AE49C8">
        <w:t xml:space="preserve"> </w:t>
      </w:r>
    </w:p>
    <w:p w:rsidR="00DC6594" w:rsidRPr="00AE49C8" w:rsidRDefault="00DC6594" w:rsidP="00BD4880">
      <w:r w:rsidRPr="00AE49C8">
        <w:t>the data compares the three stages of recruitment compared to the workforce representation within the organisation.</w:t>
      </w:r>
    </w:p>
    <w:p w:rsidR="00DC6594" w:rsidRPr="00AE49C8" w:rsidRDefault="00DC6594" w:rsidP="00DC6594">
      <w:pPr>
        <w:spacing w:line="240" w:lineRule="auto"/>
      </w:pPr>
      <w:r w:rsidRPr="00AE49C8">
        <w:rPr>
          <w:b/>
        </w:rPr>
        <w:t>BSUH</w:t>
      </w:r>
    </w:p>
    <w:tbl>
      <w:tblPr>
        <w:tblW w:w="6818" w:type="dxa"/>
        <w:jc w:val="center"/>
        <w:tblBorders>
          <w:insideH w:val="dotted" w:sz="4" w:space="0" w:color="auto"/>
        </w:tblBorders>
        <w:tblLook w:val="04A0" w:firstRow="1" w:lastRow="0" w:firstColumn="1" w:lastColumn="0" w:noHBand="0" w:noVBand="1"/>
        <w:tblCaption w:val="Table showing the representation of age groups in the stages of recruitment."/>
        <w:tblDescription w:val="The table shows data from application, shortlisting and appointment stages. There is also data about the workforce to aid comparison."/>
      </w:tblPr>
      <w:tblGrid>
        <w:gridCol w:w="1632"/>
        <w:gridCol w:w="1657"/>
        <w:gridCol w:w="1470"/>
        <w:gridCol w:w="1403"/>
        <w:gridCol w:w="1403"/>
      </w:tblGrid>
      <w:tr w:rsidR="00DC6594" w:rsidRPr="00AE49C8" w:rsidTr="00AF03DD">
        <w:trPr>
          <w:cantSplit/>
          <w:trHeight w:val="864"/>
          <w:tblHeader/>
          <w:jc w:val="center"/>
        </w:trPr>
        <w:tc>
          <w:tcPr>
            <w:tcW w:w="1632" w:type="dxa"/>
            <w:shd w:val="clear" w:color="auto" w:fill="auto"/>
            <w:vAlign w:val="bottom"/>
            <w:hideMark/>
          </w:tcPr>
          <w:p w:rsidR="00DC6594" w:rsidRPr="00AE49C8" w:rsidRDefault="00DC6594" w:rsidP="00DC6594">
            <w:pPr>
              <w:spacing w:after="0" w:line="240" w:lineRule="auto"/>
              <w:rPr>
                <w:rFonts w:eastAsia="Times New Roman"/>
                <w:b/>
                <w:color w:val="000000"/>
                <w:szCs w:val="24"/>
                <w:lang w:eastAsia="en-GB"/>
              </w:rPr>
            </w:pPr>
            <w:r w:rsidRPr="00AE49C8">
              <w:rPr>
                <w:rFonts w:eastAsia="Times New Roman"/>
                <w:b/>
                <w:color w:val="000000"/>
                <w:szCs w:val="24"/>
                <w:lang w:eastAsia="en-GB"/>
              </w:rPr>
              <w:t>Age Band</w:t>
            </w:r>
          </w:p>
        </w:tc>
        <w:tc>
          <w:tcPr>
            <w:tcW w:w="1418" w:type="dxa"/>
            <w:shd w:val="clear" w:color="auto" w:fill="auto"/>
            <w:vAlign w:val="bottom"/>
            <w:hideMark/>
          </w:tcPr>
          <w:p w:rsidR="00DC6594" w:rsidRPr="00AE49C8" w:rsidRDefault="00DC6594" w:rsidP="00DC6594">
            <w:pPr>
              <w:spacing w:after="0" w:line="240" w:lineRule="auto"/>
              <w:rPr>
                <w:rFonts w:eastAsia="Times New Roman"/>
                <w:b/>
                <w:color w:val="000000"/>
                <w:szCs w:val="24"/>
                <w:lang w:eastAsia="en-GB"/>
              </w:rPr>
            </w:pPr>
            <w:r w:rsidRPr="00AE49C8">
              <w:rPr>
                <w:rFonts w:eastAsia="Times New Roman"/>
                <w:b/>
                <w:color w:val="000000"/>
                <w:szCs w:val="24"/>
                <w:lang w:eastAsia="en-GB"/>
              </w:rPr>
              <w:t>Applications</w:t>
            </w:r>
          </w:p>
        </w:tc>
        <w:tc>
          <w:tcPr>
            <w:tcW w:w="1273" w:type="dxa"/>
            <w:shd w:val="clear" w:color="auto" w:fill="auto"/>
            <w:vAlign w:val="bottom"/>
            <w:hideMark/>
          </w:tcPr>
          <w:p w:rsidR="00DC6594" w:rsidRPr="00AE49C8" w:rsidRDefault="00DC6594" w:rsidP="00DC6594">
            <w:pPr>
              <w:spacing w:after="0" w:line="240" w:lineRule="auto"/>
              <w:rPr>
                <w:rFonts w:eastAsia="Times New Roman"/>
                <w:b/>
                <w:color w:val="000000"/>
                <w:szCs w:val="24"/>
                <w:lang w:eastAsia="en-GB"/>
              </w:rPr>
            </w:pPr>
            <w:r w:rsidRPr="00AE49C8">
              <w:rPr>
                <w:rFonts w:eastAsia="Times New Roman"/>
                <w:b/>
                <w:color w:val="000000"/>
                <w:szCs w:val="24"/>
                <w:lang w:eastAsia="en-GB"/>
              </w:rPr>
              <w:t>Shortlisted</w:t>
            </w:r>
          </w:p>
        </w:tc>
        <w:tc>
          <w:tcPr>
            <w:tcW w:w="1241" w:type="dxa"/>
            <w:shd w:val="clear" w:color="auto" w:fill="auto"/>
            <w:vAlign w:val="bottom"/>
            <w:hideMark/>
          </w:tcPr>
          <w:p w:rsidR="00DC6594" w:rsidRPr="00AE49C8" w:rsidRDefault="00DC6594" w:rsidP="00DC6594">
            <w:pPr>
              <w:spacing w:after="0" w:line="240" w:lineRule="auto"/>
              <w:rPr>
                <w:rFonts w:eastAsia="Times New Roman"/>
                <w:b/>
                <w:color w:val="000000"/>
                <w:szCs w:val="24"/>
                <w:lang w:eastAsia="en-GB"/>
              </w:rPr>
            </w:pPr>
            <w:r w:rsidRPr="00AE49C8">
              <w:rPr>
                <w:rFonts w:eastAsia="Times New Roman"/>
                <w:b/>
                <w:color w:val="000000"/>
                <w:szCs w:val="24"/>
                <w:lang w:eastAsia="en-GB"/>
              </w:rPr>
              <w:t>Appointed</w:t>
            </w:r>
          </w:p>
        </w:tc>
        <w:tc>
          <w:tcPr>
            <w:tcW w:w="1254" w:type="dxa"/>
            <w:shd w:val="clear" w:color="auto" w:fill="auto"/>
            <w:vAlign w:val="bottom"/>
            <w:hideMark/>
          </w:tcPr>
          <w:p w:rsidR="00DC6594" w:rsidRPr="00AE49C8" w:rsidRDefault="00DC6594" w:rsidP="00DC6594">
            <w:pPr>
              <w:spacing w:after="0" w:line="240" w:lineRule="auto"/>
              <w:rPr>
                <w:rFonts w:eastAsia="Times New Roman"/>
                <w:b/>
                <w:color w:val="000000"/>
                <w:szCs w:val="24"/>
                <w:lang w:eastAsia="en-GB"/>
              </w:rPr>
            </w:pPr>
            <w:r w:rsidRPr="00AE49C8">
              <w:rPr>
                <w:rFonts w:eastAsia="Times New Roman"/>
                <w:b/>
                <w:color w:val="000000"/>
                <w:szCs w:val="24"/>
                <w:lang w:eastAsia="en-GB"/>
              </w:rPr>
              <w:t>Workforce</w:t>
            </w:r>
          </w:p>
        </w:tc>
      </w:tr>
      <w:tr w:rsidR="00DC6594" w:rsidRPr="00AE49C8" w:rsidTr="00AF03DD">
        <w:trPr>
          <w:cantSplit/>
          <w:trHeight w:val="288"/>
          <w:tblHeader/>
          <w:jc w:val="center"/>
        </w:trPr>
        <w:tc>
          <w:tcPr>
            <w:tcW w:w="1632"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Under 20</w:t>
            </w:r>
          </w:p>
        </w:tc>
        <w:tc>
          <w:tcPr>
            <w:tcW w:w="1418"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2.7%</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2.7%</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2.0%</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0.5%</w:t>
            </w:r>
          </w:p>
        </w:tc>
      </w:tr>
      <w:tr w:rsidR="00DC6594" w:rsidRPr="00AE49C8" w:rsidTr="00AF03DD">
        <w:trPr>
          <w:cantSplit/>
          <w:trHeight w:val="288"/>
          <w:tblHeader/>
          <w:jc w:val="center"/>
        </w:trPr>
        <w:tc>
          <w:tcPr>
            <w:tcW w:w="1632"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20 - 24</w:t>
            </w:r>
          </w:p>
        </w:tc>
        <w:tc>
          <w:tcPr>
            <w:tcW w:w="1418"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17.6%</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18.8%</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21.6%</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6.3%</w:t>
            </w:r>
          </w:p>
        </w:tc>
      </w:tr>
      <w:tr w:rsidR="00DC6594" w:rsidRPr="00AE49C8" w:rsidTr="00AF03DD">
        <w:trPr>
          <w:cantSplit/>
          <w:trHeight w:val="288"/>
          <w:tblHeader/>
          <w:jc w:val="center"/>
        </w:trPr>
        <w:tc>
          <w:tcPr>
            <w:tcW w:w="1632"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25 - 29</w:t>
            </w:r>
          </w:p>
        </w:tc>
        <w:tc>
          <w:tcPr>
            <w:tcW w:w="1418"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25.0%</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19.6%</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22.3%</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13.3%</w:t>
            </w:r>
          </w:p>
        </w:tc>
      </w:tr>
      <w:tr w:rsidR="00DC6594" w:rsidRPr="00AE49C8" w:rsidTr="00AF03DD">
        <w:trPr>
          <w:cantSplit/>
          <w:trHeight w:val="288"/>
          <w:tblHeader/>
          <w:jc w:val="center"/>
        </w:trPr>
        <w:tc>
          <w:tcPr>
            <w:tcW w:w="1632"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30 - 34</w:t>
            </w:r>
          </w:p>
        </w:tc>
        <w:tc>
          <w:tcPr>
            <w:tcW w:w="1418"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18.2%</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15.4%</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16.5%</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14.2%</w:t>
            </w:r>
          </w:p>
        </w:tc>
      </w:tr>
      <w:tr w:rsidR="00DC6594" w:rsidRPr="00AE49C8" w:rsidTr="00AF03DD">
        <w:trPr>
          <w:cantSplit/>
          <w:trHeight w:val="288"/>
          <w:tblHeader/>
          <w:jc w:val="center"/>
        </w:trPr>
        <w:tc>
          <w:tcPr>
            <w:tcW w:w="1632"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35 - 39</w:t>
            </w:r>
          </w:p>
        </w:tc>
        <w:tc>
          <w:tcPr>
            <w:tcW w:w="1418"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11.0%</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11.3%</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11.4%</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12.1%</w:t>
            </w:r>
          </w:p>
        </w:tc>
      </w:tr>
      <w:tr w:rsidR="00DC6594" w:rsidRPr="00AE49C8" w:rsidTr="00AF03DD">
        <w:trPr>
          <w:cantSplit/>
          <w:trHeight w:val="288"/>
          <w:tblHeader/>
          <w:jc w:val="center"/>
        </w:trPr>
        <w:tc>
          <w:tcPr>
            <w:tcW w:w="1632"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40 - 44</w:t>
            </w:r>
          </w:p>
        </w:tc>
        <w:tc>
          <w:tcPr>
            <w:tcW w:w="1418"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7.9%</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9.1%</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8.3%</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12.3%</w:t>
            </w:r>
          </w:p>
        </w:tc>
      </w:tr>
      <w:tr w:rsidR="00DC6594" w:rsidRPr="00AE49C8" w:rsidTr="00AF03DD">
        <w:trPr>
          <w:cantSplit/>
          <w:trHeight w:val="288"/>
          <w:tblHeader/>
          <w:jc w:val="center"/>
        </w:trPr>
        <w:tc>
          <w:tcPr>
            <w:tcW w:w="1632"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45 - 49</w:t>
            </w:r>
          </w:p>
        </w:tc>
        <w:tc>
          <w:tcPr>
            <w:tcW w:w="1418"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6.4%</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8.2%</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5.8%</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12.8%</w:t>
            </w:r>
          </w:p>
        </w:tc>
      </w:tr>
      <w:tr w:rsidR="00DC6594" w:rsidRPr="00AE49C8" w:rsidTr="00AF03DD">
        <w:trPr>
          <w:cantSplit/>
          <w:trHeight w:val="288"/>
          <w:tblHeader/>
          <w:jc w:val="center"/>
        </w:trPr>
        <w:tc>
          <w:tcPr>
            <w:tcW w:w="1632"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50 - 54</w:t>
            </w:r>
          </w:p>
        </w:tc>
        <w:tc>
          <w:tcPr>
            <w:tcW w:w="1418"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5.5%</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7.3%</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5.8%</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11.9%</w:t>
            </w:r>
          </w:p>
        </w:tc>
      </w:tr>
      <w:tr w:rsidR="00DC6594" w:rsidRPr="00AE49C8" w:rsidTr="00AF03DD">
        <w:trPr>
          <w:cantSplit/>
          <w:trHeight w:val="288"/>
          <w:tblHeader/>
          <w:jc w:val="center"/>
        </w:trPr>
        <w:tc>
          <w:tcPr>
            <w:tcW w:w="1632"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55 - 59</w:t>
            </w:r>
          </w:p>
        </w:tc>
        <w:tc>
          <w:tcPr>
            <w:tcW w:w="1418"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3.4%</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4.8%</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4.0%</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9.5%</w:t>
            </w:r>
          </w:p>
        </w:tc>
      </w:tr>
      <w:tr w:rsidR="00DC6594" w:rsidRPr="00AE49C8" w:rsidTr="00AF03DD">
        <w:trPr>
          <w:cantSplit/>
          <w:trHeight w:val="288"/>
          <w:tblHeader/>
          <w:jc w:val="center"/>
        </w:trPr>
        <w:tc>
          <w:tcPr>
            <w:tcW w:w="1632"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60 - 64</w:t>
            </w:r>
          </w:p>
        </w:tc>
        <w:tc>
          <w:tcPr>
            <w:tcW w:w="1418"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2.0%</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2.2%</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1.6%</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5.5%</w:t>
            </w:r>
          </w:p>
        </w:tc>
      </w:tr>
      <w:tr w:rsidR="00DC6594" w:rsidRPr="00AE49C8" w:rsidTr="00AF03DD">
        <w:trPr>
          <w:cantSplit/>
          <w:trHeight w:val="288"/>
          <w:tblHeader/>
          <w:jc w:val="center"/>
        </w:trPr>
        <w:tc>
          <w:tcPr>
            <w:tcW w:w="1632"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65+</w:t>
            </w:r>
          </w:p>
        </w:tc>
        <w:tc>
          <w:tcPr>
            <w:tcW w:w="1418"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0.3%</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0.9%</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1.7%</w:t>
            </w:r>
          </w:p>
        </w:tc>
      </w:tr>
      <w:tr w:rsidR="00DC6594" w:rsidRPr="00AE49C8" w:rsidTr="00AF03DD">
        <w:trPr>
          <w:cantSplit/>
          <w:trHeight w:val="288"/>
          <w:tblHeader/>
          <w:jc w:val="center"/>
        </w:trPr>
        <w:tc>
          <w:tcPr>
            <w:tcW w:w="1632"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Not stated</w:t>
            </w:r>
          </w:p>
        </w:tc>
        <w:tc>
          <w:tcPr>
            <w:tcW w:w="1418"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p>
        </w:tc>
      </w:tr>
    </w:tbl>
    <w:p w:rsidR="00DC6594" w:rsidRPr="00AE49C8" w:rsidRDefault="00DC6594" w:rsidP="00BD4880">
      <w:pPr>
        <w:rPr>
          <w:b/>
        </w:rPr>
      </w:pPr>
      <w:r w:rsidRPr="00AE49C8">
        <w:rPr>
          <w:noProof/>
          <w:lang w:eastAsia="en-GB"/>
        </w:rPr>
        <w:drawing>
          <wp:inline distT="0" distB="0" distL="0" distR="0" wp14:anchorId="6E8FE79D" wp14:editId="21B5674D">
            <wp:extent cx="5731510" cy="2690148"/>
            <wp:effectExtent l="0" t="0" r="2540" b="0"/>
            <wp:docPr id="3" name="Chart 3" title="Chart showing the represenation of age groups in recruitment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C6594" w:rsidRPr="000D2F61" w:rsidRDefault="00DC6594" w:rsidP="00BD4880">
      <w:r w:rsidRPr="000D2F61">
        <w:lastRenderedPageBreak/>
        <w:t>Observations</w:t>
      </w:r>
    </w:p>
    <w:p w:rsidR="00DC6594" w:rsidRPr="00AE49C8" w:rsidRDefault="000C2D15" w:rsidP="000C2D15">
      <w:pPr>
        <w:pStyle w:val="ListParagraph"/>
      </w:pPr>
      <w:r w:rsidRPr="00AE49C8">
        <w:t>When reviewing the representation of candidates through all stages of recruitment to the workforce representation, there is a higher representation of candidates aged &lt;20 to 34 but a lower representation of candidates aged 35+.</w:t>
      </w:r>
    </w:p>
    <w:p w:rsidR="009028A9" w:rsidRPr="00AE49C8" w:rsidRDefault="009028A9" w:rsidP="000C2D15">
      <w:pPr>
        <w:pStyle w:val="ListParagraph"/>
      </w:pPr>
      <w:r w:rsidRPr="00AE49C8">
        <w:t xml:space="preserve">When comparing groups progression from appointment to shortlisting stage; a decrease in representation can be seen in 25-34 and 45-49, broadly </w:t>
      </w:r>
      <w:r w:rsidR="001E6A94" w:rsidRPr="00AE49C8">
        <w:t xml:space="preserve">similar </w:t>
      </w:r>
      <w:r w:rsidRPr="00AE49C8">
        <w:t>representation: &lt;20, 35-39 and 60+ and lastly an increase can be seen in 20-24, 40-44 and 50-59.</w:t>
      </w:r>
    </w:p>
    <w:p w:rsidR="009028A9" w:rsidRPr="00AE49C8" w:rsidRDefault="009028A9" w:rsidP="009028A9">
      <w:pPr>
        <w:pStyle w:val="ListParagraph"/>
      </w:pPr>
      <w:r w:rsidRPr="00AE49C8">
        <w:t>When comparing progression from shortlisting to appointment stage</w:t>
      </w:r>
      <w:r w:rsidR="001E6A94" w:rsidRPr="00AE49C8">
        <w:t>,</w:t>
      </w:r>
      <w:r w:rsidRPr="00AE49C8">
        <w:t xml:space="preserve"> a decrease in representation can be seen in &lt;20 and 40-64, broadly the same representation: 35-39</w:t>
      </w:r>
      <w:r w:rsidR="001E6A94" w:rsidRPr="00AE49C8">
        <w:t>.  Lastly,</w:t>
      </w:r>
      <w:r w:rsidRPr="00AE49C8">
        <w:t xml:space="preserve"> an increase can be seen in 20-34 and candidates aged 65+.</w:t>
      </w:r>
    </w:p>
    <w:p w:rsidR="001E6A94" w:rsidRPr="00AE49C8" w:rsidRDefault="001E6A94" w:rsidP="009028A9">
      <w:pPr>
        <w:pStyle w:val="ListParagraph"/>
      </w:pPr>
      <w:r w:rsidRPr="00AE49C8">
        <w:t>There does not appear to be any groups that have seen a significant advantage or disadvantage through the Trust’s recruitment processes.  There has been a moderate advantage for candidates aged 65+.</w:t>
      </w:r>
    </w:p>
    <w:p w:rsidR="009028A9" w:rsidRPr="00AE49C8" w:rsidRDefault="009028A9" w:rsidP="009028A9">
      <w:pPr>
        <w:pStyle w:val="ListParagraph"/>
        <w:numPr>
          <w:ilvl w:val="0"/>
          <w:numId w:val="0"/>
        </w:numPr>
        <w:ind w:left="720"/>
      </w:pPr>
    </w:p>
    <w:p w:rsidR="00DC6594" w:rsidRPr="00AE49C8" w:rsidRDefault="00DC6594" w:rsidP="00DC6594">
      <w:pPr>
        <w:spacing w:line="240" w:lineRule="auto"/>
        <w:rPr>
          <w:b/>
        </w:rPr>
      </w:pPr>
      <w:r w:rsidRPr="00AE49C8">
        <w:rPr>
          <w:b/>
        </w:rPr>
        <w:t>WSHT</w:t>
      </w:r>
    </w:p>
    <w:tbl>
      <w:tblPr>
        <w:tblW w:w="6671" w:type="dxa"/>
        <w:jc w:val="center"/>
        <w:tblBorders>
          <w:insideH w:val="dotted" w:sz="4" w:space="0" w:color="auto"/>
        </w:tblBorders>
        <w:tblLook w:val="04A0" w:firstRow="1" w:lastRow="0" w:firstColumn="1" w:lastColumn="0" w:noHBand="0" w:noVBand="1"/>
        <w:tblCaption w:val="Table showing the breakdown of represenation by age in recruitment processes."/>
        <w:tblDescription w:val="The table shows data from application, shortlisting and appointment stages. There is also data about the workforce to aid comparison."/>
      </w:tblPr>
      <w:tblGrid>
        <w:gridCol w:w="1487"/>
        <w:gridCol w:w="1657"/>
        <w:gridCol w:w="1470"/>
        <w:gridCol w:w="1403"/>
        <w:gridCol w:w="1403"/>
      </w:tblGrid>
      <w:tr w:rsidR="00DC6594" w:rsidRPr="00AE49C8" w:rsidTr="00AF03DD">
        <w:trPr>
          <w:cantSplit/>
          <w:trHeight w:val="864"/>
          <w:tblHeader/>
          <w:jc w:val="center"/>
        </w:trPr>
        <w:tc>
          <w:tcPr>
            <w:tcW w:w="1487" w:type="dxa"/>
            <w:shd w:val="clear" w:color="auto" w:fill="auto"/>
            <w:vAlign w:val="bottom"/>
            <w:hideMark/>
          </w:tcPr>
          <w:p w:rsidR="00DC6594" w:rsidRPr="00AE49C8" w:rsidRDefault="00DC6594" w:rsidP="00DC6594">
            <w:pPr>
              <w:spacing w:after="0" w:line="240" w:lineRule="auto"/>
              <w:rPr>
                <w:rFonts w:eastAsia="Times New Roman"/>
                <w:b/>
                <w:color w:val="000000"/>
                <w:szCs w:val="24"/>
                <w:lang w:eastAsia="en-GB"/>
              </w:rPr>
            </w:pPr>
            <w:r w:rsidRPr="00AE49C8">
              <w:rPr>
                <w:rFonts w:eastAsia="Times New Roman"/>
                <w:b/>
                <w:color w:val="000000"/>
                <w:szCs w:val="24"/>
                <w:lang w:eastAsia="en-GB"/>
              </w:rPr>
              <w:t>Age Band</w:t>
            </w:r>
          </w:p>
        </w:tc>
        <w:tc>
          <w:tcPr>
            <w:tcW w:w="1416" w:type="dxa"/>
            <w:shd w:val="clear" w:color="auto" w:fill="auto"/>
            <w:vAlign w:val="bottom"/>
            <w:hideMark/>
          </w:tcPr>
          <w:p w:rsidR="00DC6594" w:rsidRPr="00AE49C8" w:rsidRDefault="00DC6594" w:rsidP="00DC6594">
            <w:pPr>
              <w:spacing w:after="0" w:line="240" w:lineRule="auto"/>
              <w:rPr>
                <w:rFonts w:eastAsia="Times New Roman"/>
                <w:b/>
                <w:color w:val="000000"/>
                <w:szCs w:val="24"/>
                <w:lang w:eastAsia="en-GB"/>
              </w:rPr>
            </w:pPr>
            <w:r w:rsidRPr="00AE49C8">
              <w:rPr>
                <w:rFonts w:eastAsia="Times New Roman"/>
                <w:b/>
                <w:color w:val="000000"/>
                <w:szCs w:val="24"/>
                <w:lang w:eastAsia="en-GB"/>
              </w:rPr>
              <w:t>Applications</w:t>
            </w:r>
          </w:p>
        </w:tc>
        <w:tc>
          <w:tcPr>
            <w:tcW w:w="1273" w:type="dxa"/>
            <w:shd w:val="clear" w:color="auto" w:fill="auto"/>
            <w:vAlign w:val="bottom"/>
            <w:hideMark/>
          </w:tcPr>
          <w:p w:rsidR="00DC6594" w:rsidRPr="00AE49C8" w:rsidRDefault="00DC6594" w:rsidP="00DC6594">
            <w:pPr>
              <w:spacing w:after="0" w:line="240" w:lineRule="auto"/>
              <w:rPr>
                <w:rFonts w:eastAsia="Times New Roman"/>
                <w:b/>
                <w:color w:val="000000"/>
                <w:szCs w:val="24"/>
                <w:lang w:eastAsia="en-GB"/>
              </w:rPr>
            </w:pPr>
            <w:r w:rsidRPr="00AE49C8">
              <w:rPr>
                <w:rFonts w:eastAsia="Times New Roman"/>
                <w:b/>
                <w:color w:val="000000"/>
                <w:szCs w:val="24"/>
                <w:lang w:eastAsia="en-GB"/>
              </w:rPr>
              <w:t>Shortlisted</w:t>
            </w:r>
          </w:p>
        </w:tc>
        <w:tc>
          <w:tcPr>
            <w:tcW w:w="1241" w:type="dxa"/>
            <w:shd w:val="clear" w:color="auto" w:fill="auto"/>
            <w:vAlign w:val="bottom"/>
            <w:hideMark/>
          </w:tcPr>
          <w:p w:rsidR="00DC6594" w:rsidRPr="00AE49C8" w:rsidRDefault="00DC6594" w:rsidP="00DC6594">
            <w:pPr>
              <w:spacing w:after="0" w:line="240" w:lineRule="auto"/>
              <w:rPr>
                <w:rFonts w:eastAsia="Times New Roman"/>
                <w:b/>
                <w:color w:val="000000"/>
                <w:szCs w:val="24"/>
                <w:lang w:eastAsia="en-GB"/>
              </w:rPr>
            </w:pPr>
            <w:r w:rsidRPr="00AE49C8">
              <w:rPr>
                <w:rFonts w:eastAsia="Times New Roman"/>
                <w:b/>
                <w:color w:val="000000"/>
                <w:szCs w:val="24"/>
                <w:lang w:eastAsia="en-GB"/>
              </w:rPr>
              <w:t>Appointed</w:t>
            </w:r>
          </w:p>
        </w:tc>
        <w:tc>
          <w:tcPr>
            <w:tcW w:w="1254" w:type="dxa"/>
            <w:shd w:val="clear" w:color="auto" w:fill="auto"/>
            <w:vAlign w:val="bottom"/>
            <w:hideMark/>
          </w:tcPr>
          <w:p w:rsidR="00DC6594" w:rsidRPr="00AE49C8" w:rsidRDefault="00DC6594" w:rsidP="00DC6594">
            <w:pPr>
              <w:spacing w:after="0" w:line="240" w:lineRule="auto"/>
              <w:rPr>
                <w:rFonts w:eastAsia="Times New Roman"/>
                <w:b/>
                <w:color w:val="000000"/>
                <w:szCs w:val="24"/>
                <w:lang w:eastAsia="en-GB"/>
              </w:rPr>
            </w:pPr>
            <w:r w:rsidRPr="00AE49C8">
              <w:rPr>
                <w:rFonts w:eastAsia="Times New Roman"/>
                <w:b/>
                <w:color w:val="000000"/>
                <w:szCs w:val="24"/>
                <w:lang w:eastAsia="en-GB"/>
              </w:rPr>
              <w:t>Workforce</w:t>
            </w:r>
          </w:p>
        </w:tc>
      </w:tr>
      <w:tr w:rsidR="00DC6594" w:rsidRPr="00AE49C8" w:rsidTr="00AF03DD">
        <w:trPr>
          <w:cantSplit/>
          <w:trHeight w:val="288"/>
          <w:tblHeader/>
          <w:jc w:val="center"/>
        </w:trPr>
        <w:tc>
          <w:tcPr>
            <w:tcW w:w="1487"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Under 20</w:t>
            </w:r>
          </w:p>
        </w:tc>
        <w:tc>
          <w:tcPr>
            <w:tcW w:w="1416"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2.3%</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3.1%</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3.0%</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0.8%</w:t>
            </w:r>
          </w:p>
        </w:tc>
      </w:tr>
      <w:tr w:rsidR="00DC6594" w:rsidRPr="00AE49C8" w:rsidTr="00AF03DD">
        <w:trPr>
          <w:cantSplit/>
          <w:trHeight w:val="288"/>
          <w:tblHeader/>
          <w:jc w:val="center"/>
        </w:trPr>
        <w:tc>
          <w:tcPr>
            <w:tcW w:w="1487"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20 - 24</w:t>
            </w:r>
          </w:p>
        </w:tc>
        <w:tc>
          <w:tcPr>
            <w:tcW w:w="1416"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12.1%</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12.7%</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14.1%</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5.9%</w:t>
            </w:r>
          </w:p>
        </w:tc>
      </w:tr>
      <w:tr w:rsidR="00DC6594" w:rsidRPr="00AE49C8" w:rsidTr="00AF03DD">
        <w:trPr>
          <w:cantSplit/>
          <w:trHeight w:val="288"/>
          <w:tblHeader/>
          <w:jc w:val="center"/>
        </w:trPr>
        <w:tc>
          <w:tcPr>
            <w:tcW w:w="1487"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25 - 29</w:t>
            </w:r>
          </w:p>
        </w:tc>
        <w:tc>
          <w:tcPr>
            <w:tcW w:w="1416"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25.8%</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17.2%</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20.8%</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12.4%</w:t>
            </w:r>
          </w:p>
        </w:tc>
      </w:tr>
      <w:tr w:rsidR="00DC6594" w:rsidRPr="00AE49C8" w:rsidTr="00AF03DD">
        <w:trPr>
          <w:cantSplit/>
          <w:trHeight w:val="288"/>
          <w:tblHeader/>
          <w:jc w:val="center"/>
        </w:trPr>
        <w:tc>
          <w:tcPr>
            <w:tcW w:w="1487"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30 - 34</w:t>
            </w:r>
          </w:p>
        </w:tc>
        <w:tc>
          <w:tcPr>
            <w:tcW w:w="1416"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19.1%</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14.9%</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15.7%</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13.6%</w:t>
            </w:r>
          </w:p>
        </w:tc>
      </w:tr>
      <w:tr w:rsidR="00DC6594" w:rsidRPr="00AE49C8" w:rsidTr="00AF03DD">
        <w:trPr>
          <w:cantSplit/>
          <w:trHeight w:val="288"/>
          <w:tblHeader/>
          <w:jc w:val="center"/>
        </w:trPr>
        <w:tc>
          <w:tcPr>
            <w:tcW w:w="1487"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35 - 39</w:t>
            </w:r>
          </w:p>
        </w:tc>
        <w:tc>
          <w:tcPr>
            <w:tcW w:w="1416"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11.3%</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11.5%</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11.4%</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11.4%</w:t>
            </w:r>
          </w:p>
        </w:tc>
      </w:tr>
      <w:tr w:rsidR="00DC6594" w:rsidRPr="00AE49C8" w:rsidTr="00AF03DD">
        <w:trPr>
          <w:cantSplit/>
          <w:trHeight w:val="288"/>
          <w:tblHeader/>
          <w:jc w:val="center"/>
        </w:trPr>
        <w:tc>
          <w:tcPr>
            <w:tcW w:w="1487"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40 - 44</w:t>
            </w:r>
          </w:p>
        </w:tc>
        <w:tc>
          <w:tcPr>
            <w:tcW w:w="1416"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7.6%</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9.1%</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8.2%</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11.9%</w:t>
            </w:r>
          </w:p>
        </w:tc>
      </w:tr>
      <w:tr w:rsidR="00DC6594" w:rsidRPr="00AE49C8" w:rsidTr="00AF03DD">
        <w:trPr>
          <w:cantSplit/>
          <w:trHeight w:val="288"/>
          <w:tblHeader/>
          <w:jc w:val="center"/>
        </w:trPr>
        <w:tc>
          <w:tcPr>
            <w:tcW w:w="1487"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45 - 49</w:t>
            </w:r>
          </w:p>
        </w:tc>
        <w:tc>
          <w:tcPr>
            <w:tcW w:w="1416"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6.8%</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10.6%</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10.7%</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13.2%</w:t>
            </w:r>
          </w:p>
        </w:tc>
      </w:tr>
      <w:tr w:rsidR="00DC6594" w:rsidRPr="00AE49C8" w:rsidTr="00AF03DD">
        <w:trPr>
          <w:cantSplit/>
          <w:trHeight w:val="288"/>
          <w:tblHeader/>
          <w:jc w:val="center"/>
        </w:trPr>
        <w:tc>
          <w:tcPr>
            <w:tcW w:w="1487"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50 - 54</w:t>
            </w:r>
          </w:p>
        </w:tc>
        <w:tc>
          <w:tcPr>
            <w:tcW w:w="1416"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6.3%</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8.9%</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7.3%</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12.1%</w:t>
            </w:r>
          </w:p>
        </w:tc>
      </w:tr>
      <w:tr w:rsidR="00DC6594" w:rsidRPr="00AE49C8" w:rsidTr="00AF03DD">
        <w:trPr>
          <w:cantSplit/>
          <w:trHeight w:val="288"/>
          <w:tblHeader/>
          <w:jc w:val="center"/>
        </w:trPr>
        <w:tc>
          <w:tcPr>
            <w:tcW w:w="1487"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55 - 59</w:t>
            </w:r>
          </w:p>
        </w:tc>
        <w:tc>
          <w:tcPr>
            <w:tcW w:w="1416"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5.3%</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7.3%</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4.1%</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10.5%</w:t>
            </w:r>
          </w:p>
        </w:tc>
      </w:tr>
      <w:tr w:rsidR="00DC6594" w:rsidRPr="00AE49C8" w:rsidTr="00AF03DD">
        <w:trPr>
          <w:cantSplit/>
          <w:trHeight w:val="288"/>
          <w:tblHeader/>
          <w:jc w:val="center"/>
        </w:trPr>
        <w:tc>
          <w:tcPr>
            <w:tcW w:w="1487"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60 - 64</w:t>
            </w:r>
          </w:p>
        </w:tc>
        <w:tc>
          <w:tcPr>
            <w:tcW w:w="1416"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2.8%</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3.6%</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3.8%</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6.1%</w:t>
            </w:r>
          </w:p>
        </w:tc>
      </w:tr>
      <w:tr w:rsidR="00DC6594" w:rsidRPr="00AE49C8" w:rsidTr="00AF03DD">
        <w:trPr>
          <w:cantSplit/>
          <w:trHeight w:val="288"/>
          <w:tblHeader/>
          <w:jc w:val="center"/>
        </w:trPr>
        <w:tc>
          <w:tcPr>
            <w:tcW w:w="1487"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65+</w:t>
            </w:r>
          </w:p>
        </w:tc>
        <w:tc>
          <w:tcPr>
            <w:tcW w:w="1416"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273"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0.8%</w:t>
            </w:r>
          </w:p>
        </w:tc>
        <w:tc>
          <w:tcPr>
            <w:tcW w:w="1241"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0.7%</w:t>
            </w:r>
          </w:p>
        </w:tc>
        <w:tc>
          <w:tcPr>
            <w:tcW w:w="1254" w:type="dxa"/>
            <w:shd w:val="clear" w:color="auto" w:fill="auto"/>
            <w:noWrap/>
            <w:vAlign w:val="bottom"/>
            <w:hideMark/>
          </w:tcPr>
          <w:p w:rsidR="00DC6594" w:rsidRPr="00AE49C8" w:rsidRDefault="00DC6594" w:rsidP="00DC6594">
            <w:pPr>
              <w:spacing w:after="0" w:line="240" w:lineRule="auto"/>
              <w:rPr>
                <w:rFonts w:eastAsia="Times New Roman"/>
                <w:color w:val="000000"/>
                <w:szCs w:val="24"/>
                <w:lang w:eastAsia="en-GB"/>
              </w:rPr>
            </w:pPr>
            <w:r w:rsidRPr="00AE49C8">
              <w:rPr>
                <w:rFonts w:eastAsia="Times New Roman"/>
                <w:color w:val="000000"/>
                <w:szCs w:val="24"/>
                <w:lang w:eastAsia="en-GB"/>
              </w:rPr>
              <w:t>2.1%</w:t>
            </w:r>
          </w:p>
        </w:tc>
      </w:tr>
    </w:tbl>
    <w:p w:rsidR="00DC6594" w:rsidRPr="00AE49C8" w:rsidRDefault="00DC6594" w:rsidP="00BD4880">
      <w:pPr>
        <w:rPr>
          <w:b/>
        </w:rPr>
      </w:pPr>
      <w:r w:rsidRPr="00AE49C8">
        <w:rPr>
          <w:noProof/>
          <w:lang w:eastAsia="en-GB"/>
        </w:rPr>
        <w:lastRenderedPageBreak/>
        <w:drawing>
          <wp:inline distT="0" distB="0" distL="0" distR="0" wp14:anchorId="4748B2CA" wp14:editId="4AFFC39A">
            <wp:extent cx="5731510" cy="2690148"/>
            <wp:effectExtent l="0" t="0" r="2540" b="0"/>
            <wp:docPr id="7" name="Chart 7" title="Chart showing the age represenation in recruitment processes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C6594" w:rsidRPr="000D2F61" w:rsidRDefault="00DC6594" w:rsidP="00BD4880">
      <w:r w:rsidRPr="000D2F61">
        <w:t>Observations</w:t>
      </w:r>
    </w:p>
    <w:p w:rsidR="001E6A94" w:rsidRPr="00AE49C8" w:rsidRDefault="001E6A94" w:rsidP="001E6A94">
      <w:pPr>
        <w:pStyle w:val="ListParagraph"/>
      </w:pPr>
      <w:r w:rsidRPr="00AE49C8">
        <w:t>When comparing to the overall workforce representation, the following groups can see an overall greater representation &lt;20-34, groups with a broadly similar representation 35-39, and the groups with a lower representation are candidates aged 40+.</w:t>
      </w:r>
    </w:p>
    <w:p w:rsidR="001E6A94" w:rsidRPr="00AE49C8" w:rsidRDefault="001E6A94" w:rsidP="001E6A94">
      <w:pPr>
        <w:pStyle w:val="ListParagraph"/>
      </w:pPr>
      <w:r w:rsidRPr="00AE49C8">
        <w:t>Comparing progression from application to shortlisting stage, groups that have a decrease in representation are those aged 25-34, groups that have a broadly similar representation are those aged 35-39, and those with, and an increase can be seen in those aged &lt;20-24 and 40+.</w:t>
      </w:r>
    </w:p>
    <w:p w:rsidR="001E6A94" w:rsidRPr="00AE49C8" w:rsidRDefault="001E6A94" w:rsidP="001E6A94">
      <w:pPr>
        <w:pStyle w:val="ListParagraph"/>
      </w:pPr>
      <w:r w:rsidRPr="00AE49C8">
        <w:t xml:space="preserve">Comparing progression from shortlisting to appointment stage, groups that have a decrease in representation are those aged 40-44 and 50-59, groups that have a broadly similar representation are those aged &lt;20, 35-39, 45-49 and 60+.  Age groups with </w:t>
      </w:r>
      <w:r w:rsidR="008E6F14">
        <w:t>increased</w:t>
      </w:r>
      <w:r w:rsidRPr="00AE49C8">
        <w:t xml:space="preserve"> representation can be seen in those aged &lt;20-34.</w:t>
      </w:r>
    </w:p>
    <w:p w:rsidR="001E6A94" w:rsidRPr="00AE49C8" w:rsidRDefault="001E6A94" w:rsidP="001E6A94">
      <w:pPr>
        <w:pStyle w:val="ListParagraph"/>
      </w:pPr>
      <w:r w:rsidRPr="00AE49C8">
        <w:t>Overall, it would appear that those aged 45-49 appear to benefit from the Trust’s recruitment processes, whilst those age groups between 25-29 may experience a disadvantage.</w:t>
      </w:r>
    </w:p>
    <w:p w:rsidR="00DC6594" w:rsidRPr="00AE49C8" w:rsidRDefault="00DC6594" w:rsidP="00BD4880">
      <w:pPr>
        <w:rPr>
          <w:b/>
        </w:rPr>
      </w:pPr>
    </w:p>
    <w:p w:rsidR="0024716C" w:rsidRPr="00AE49C8" w:rsidRDefault="008506E3" w:rsidP="001E6A94">
      <w:pPr>
        <w:pStyle w:val="Heading3"/>
      </w:pPr>
      <w:bookmarkStart w:id="35" w:name="_Toc88633982"/>
      <w:r w:rsidRPr="00AE49C8">
        <w:t>Uptake of</w:t>
      </w:r>
      <w:r w:rsidR="0024716C" w:rsidRPr="00AE49C8">
        <w:t xml:space="preserve"> non-mandatory training or continuing professional development</w:t>
      </w:r>
      <w:bookmarkEnd w:id="35"/>
    </w:p>
    <w:p w:rsidR="0024716C" w:rsidRPr="00AE49C8" w:rsidRDefault="0024716C" w:rsidP="00BD4880">
      <w:pPr>
        <w:rPr>
          <w:b/>
        </w:rPr>
      </w:pPr>
      <w:r w:rsidRPr="00AE49C8">
        <w:rPr>
          <w:b/>
        </w:rPr>
        <w:t>BSUH</w:t>
      </w:r>
    </w:p>
    <w:tbl>
      <w:tblPr>
        <w:tblW w:w="8761" w:type="dxa"/>
        <w:jc w:val="center"/>
        <w:tblBorders>
          <w:insideH w:val="dotted" w:sz="4" w:space="0" w:color="auto"/>
        </w:tblBorders>
        <w:tblLook w:val="04A0" w:firstRow="1" w:lastRow="0" w:firstColumn="1" w:lastColumn="0" w:noHBand="0" w:noVBand="1"/>
        <w:tblCaption w:val="Table showing the uptake of non-mandatory/CPD training brokendown by age groups compared to the overall workforce."/>
      </w:tblPr>
      <w:tblGrid>
        <w:gridCol w:w="1715"/>
        <w:gridCol w:w="2345"/>
        <w:gridCol w:w="2421"/>
        <w:gridCol w:w="2280"/>
      </w:tblGrid>
      <w:tr w:rsidR="00565954" w:rsidRPr="00AE49C8" w:rsidTr="00AF03DD">
        <w:trPr>
          <w:cantSplit/>
          <w:trHeight w:val="288"/>
          <w:tblHeader/>
          <w:jc w:val="center"/>
        </w:trPr>
        <w:tc>
          <w:tcPr>
            <w:tcW w:w="1715" w:type="dxa"/>
            <w:shd w:val="clear" w:color="auto" w:fill="auto"/>
            <w:noWrap/>
            <w:hideMark/>
          </w:tcPr>
          <w:p w:rsidR="0024716C" w:rsidRPr="00AE49C8" w:rsidRDefault="0024716C"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Age Band</w:t>
            </w:r>
          </w:p>
        </w:tc>
        <w:tc>
          <w:tcPr>
            <w:tcW w:w="2345" w:type="dxa"/>
            <w:shd w:val="clear" w:color="auto" w:fill="auto"/>
            <w:noWrap/>
            <w:hideMark/>
          </w:tcPr>
          <w:p w:rsidR="0024716C" w:rsidRPr="00AE49C8" w:rsidRDefault="0024716C"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Number of staff attending training</w:t>
            </w:r>
          </w:p>
        </w:tc>
        <w:tc>
          <w:tcPr>
            <w:tcW w:w="2421" w:type="dxa"/>
            <w:shd w:val="clear" w:color="auto" w:fill="auto"/>
            <w:noWrap/>
            <w:hideMark/>
          </w:tcPr>
          <w:p w:rsidR="0024716C" w:rsidRPr="00AE49C8" w:rsidRDefault="0024716C"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 of staff attending training</w:t>
            </w:r>
          </w:p>
        </w:tc>
        <w:tc>
          <w:tcPr>
            <w:tcW w:w="2280" w:type="dxa"/>
            <w:shd w:val="clear" w:color="auto" w:fill="auto"/>
            <w:noWrap/>
            <w:hideMark/>
          </w:tcPr>
          <w:p w:rsidR="0024716C" w:rsidRPr="00AE49C8" w:rsidRDefault="0024716C"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Representation in the workforce</w:t>
            </w:r>
          </w:p>
        </w:tc>
      </w:tr>
      <w:tr w:rsidR="00565954" w:rsidRPr="00AE49C8" w:rsidTr="00AF03DD">
        <w:trPr>
          <w:cantSplit/>
          <w:trHeight w:val="288"/>
          <w:tblHeader/>
          <w:jc w:val="center"/>
        </w:trPr>
        <w:tc>
          <w:tcPr>
            <w:tcW w:w="171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21-25</w:t>
            </w:r>
          </w:p>
        </w:tc>
        <w:tc>
          <w:tcPr>
            <w:tcW w:w="234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18</w:t>
            </w:r>
          </w:p>
        </w:tc>
        <w:tc>
          <w:tcPr>
            <w:tcW w:w="2421"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5.4%</w:t>
            </w:r>
          </w:p>
        </w:tc>
        <w:tc>
          <w:tcPr>
            <w:tcW w:w="2280"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6.3%</w:t>
            </w:r>
          </w:p>
        </w:tc>
      </w:tr>
      <w:tr w:rsidR="00565954" w:rsidRPr="00AE49C8" w:rsidTr="00AF03DD">
        <w:trPr>
          <w:cantSplit/>
          <w:trHeight w:val="288"/>
          <w:tblHeader/>
          <w:jc w:val="center"/>
        </w:trPr>
        <w:tc>
          <w:tcPr>
            <w:tcW w:w="171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26-30</w:t>
            </w:r>
          </w:p>
        </w:tc>
        <w:tc>
          <w:tcPr>
            <w:tcW w:w="234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76</w:t>
            </w:r>
          </w:p>
        </w:tc>
        <w:tc>
          <w:tcPr>
            <w:tcW w:w="2421"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22.8%</w:t>
            </w:r>
          </w:p>
        </w:tc>
        <w:tc>
          <w:tcPr>
            <w:tcW w:w="2280"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13.3%</w:t>
            </w:r>
          </w:p>
        </w:tc>
      </w:tr>
      <w:tr w:rsidR="00565954" w:rsidRPr="00AE49C8" w:rsidTr="00AF03DD">
        <w:trPr>
          <w:cantSplit/>
          <w:trHeight w:val="288"/>
          <w:tblHeader/>
          <w:jc w:val="center"/>
        </w:trPr>
        <w:tc>
          <w:tcPr>
            <w:tcW w:w="171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31-35</w:t>
            </w:r>
          </w:p>
        </w:tc>
        <w:tc>
          <w:tcPr>
            <w:tcW w:w="234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71</w:t>
            </w:r>
          </w:p>
        </w:tc>
        <w:tc>
          <w:tcPr>
            <w:tcW w:w="2421"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21.3%</w:t>
            </w:r>
          </w:p>
        </w:tc>
        <w:tc>
          <w:tcPr>
            <w:tcW w:w="2280"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14.2%</w:t>
            </w:r>
          </w:p>
        </w:tc>
      </w:tr>
      <w:tr w:rsidR="00565954" w:rsidRPr="00AE49C8" w:rsidTr="00AF03DD">
        <w:trPr>
          <w:cantSplit/>
          <w:trHeight w:val="288"/>
          <w:tblHeader/>
          <w:jc w:val="center"/>
        </w:trPr>
        <w:tc>
          <w:tcPr>
            <w:tcW w:w="171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36-40</w:t>
            </w:r>
          </w:p>
        </w:tc>
        <w:tc>
          <w:tcPr>
            <w:tcW w:w="234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42</w:t>
            </w:r>
          </w:p>
        </w:tc>
        <w:tc>
          <w:tcPr>
            <w:tcW w:w="2421"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12.6%</w:t>
            </w:r>
          </w:p>
        </w:tc>
        <w:tc>
          <w:tcPr>
            <w:tcW w:w="2280"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12.1%</w:t>
            </w:r>
          </w:p>
        </w:tc>
      </w:tr>
      <w:tr w:rsidR="00565954" w:rsidRPr="00AE49C8" w:rsidTr="00AF03DD">
        <w:trPr>
          <w:cantSplit/>
          <w:trHeight w:val="288"/>
          <w:tblHeader/>
          <w:jc w:val="center"/>
        </w:trPr>
        <w:tc>
          <w:tcPr>
            <w:tcW w:w="171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41-45</w:t>
            </w:r>
          </w:p>
        </w:tc>
        <w:tc>
          <w:tcPr>
            <w:tcW w:w="234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40</w:t>
            </w:r>
          </w:p>
        </w:tc>
        <w:tc>
          <w:tcPr>
            <w:tcW w:w="2421"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12.0%</w:t>
            </w:r>
          </w:p>
        </w:tc>
        <w:tc>
          <w:tcPr>
            <w:tcW w:w="2280"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12.3%</w:t>
            </w:r>
          </w:p>
        </w:tc>
      </w:tr>
      <w:tr w:rsidR="00565954" w:rsidRPr="00AE49C8" w:rsidTr="00AF03DD">
        <w:trPr>
          <w:cantSplit/>
          <w:trHeight w:val="288"/>
          <w:tblHeader/>
          <w:jc w:val="center"/>
        </w:trPr>
        <w:tc>
          <w:tcPr>
            <w:tcW w:w="171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lastRenderedPageBreak/>
              <w:t>46-50</w:t>
            </w:r>
          </w:p>
        </w:tc>
        <w:tc>
          <w:tcPr>
            <w:tcW w:w="234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41</w:t>
            </w:r>
          </w:p>
        </w:tc>
        <w:tc>
          <w:tcPr>
            <w:tcW w:w="2421"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12.3%</w:t>
            </w:r>
          </w:p>
        </w:tc>
        <w:tc>
          <w:tcPr>
            <w:tcW w:w="2280"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12.8%</w:t>
            </w:r>
          </w:p>
        </w:tc>
      </w:tr>
      <w:tr w:rsidR="00565954" w:rsidRPr="00AE49C8" w:rsidTr="00AF03DD">
        <w:trPr>
          <w:cantSplit/>
          <w:trHeight w:val="288"/>
          <w:tblHeader/>
          <w:jc w:val="center"/>
        </w:trPr>
        <w:tc>
          <w:tcPr>
            <w:tcW w:w="171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51-55</w:t>
            </w:r>
          </w:p>
        </w:tc>
        <w:tc>
          <w:tcPr>
            <w:tcW w:w="234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17</w:t>
            </w:r>
          </w:p>
        </w:tc>
        <w:tc>
          <w:tcPr>
            <w:tcW w:w="2421"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5.1%</w:t>
            </w:r>
          </w:p>
        </w:tc>
        <w:tc>
          <w:tcPr>
            <w:tcW w:w="2280"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11.9%</w:t>
            </w:r>
          </w:p>
        </w:tc>
      </w:tr>
      <w:tr w:rsidR="00565954" w:rsidRPr="00AE49C8" w:rsidTr="00AF03DD">
        <w:trPr>
          <w:cantSplit/>
          <w:trHeight w:val="288"/>
          <w:tblHeader/>
          <w:jc w:val="center"/>
        </w:trPr>
        <w:tc>
          <w:tcPr>
            <w:tcW w:w="171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56-60</w:t>
            </w:r>
          </w:p>
        </w:tc>
        <w:tc>
          <w:tcPr>
            <w:tcW w:w="234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11</w:t>
            </w:r>
          </w:p>
        </w:tc>
        <w:tc>
          <w:tcPr>
            <w:tcW w:w="2421"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3.3%</w:t>
            </w:r>
          </w:p>
        </w:tc>
        <w:tc>
          <w:tcPr>
            <w:tcW w:w="2280"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9.5%</w:t>
            </w:r>
          </w:p>
        </w:tc>
      </w:tr>
      <w:tr w:rsidR="00565954" w:rsidRPr="00AE49C8" w:rsidTr="00AF03DD">
        <w:trPr>
          <w:cantSplit/>
          <w:trHeight w:val="288"/>
          <w:tblHeader/>
          <w:jc w:val="center"/>
        </w:trPr>
        <w:tc>
          <w:tcPr>
            <w:tcW w:w="171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61-65</w:t>
            </w:r>
          </w:p>
        </w:tc>
        <w:tc>
          <w:tcPr>
            <w:tcW w:w="234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2421"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1.2%</w:t>
            </w:r>
          </w:p>
        </w:tc>
        <w:tc>
          <w:tcPr>
            <w:tcW w:w="2280"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5.5%</w:t>
            </w:r>
          </w:p>
        </w:tc>
      </w:tr>
      <w:tr w:rsidR="00565954" w:rsidRPr="00AE49C8" w:rsidTr="00AF03DD">
        <w:trPr>
          <w:cantSplit/>
          <w:trHeight w:val="288"/>
          <w:tblHeader/>
          <w:jc w:val="center"/>
        </w:trPr>
        <w:tc>
          <w:tcPr>
            <w:tcW w:w="171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234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14</w:t>
            </w:r>
          </w:p>
        </w:tc>
        <w:tc>
          <w:tcPr>
            <w:tcW w:w="2421"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4.2%</w:t>
            </w:r>
          </w:p>
        </w:tc>
        <w:tc>
          <w:tcPr>
            <w:tcW w:w="2280"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p>
        </w:tc>
      </w:tr>
      <w:tr w:rsidR="00565954" w:rsidRPr="00AE49C8" w:rsidTr="00AF03DD">
        <w:trPr>
          <w:cantSplit/>
          <w:trHeight w:val="288"/>
          <w:tblHeader/>
          <w:jc w:val="center"/>
        </w:trPr>
        <w:tc>
          <w:tcPr>
            <w:tcW w:w="171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Total</w:t>
            </w:r>
          </w:p>
        </w:tc>
        <w:tc>
          <w:tcPr>
            <w:tcW w:w="234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334</w:t>
            </w:r>
          </w:p>
        </w:tc>
        <w:tc>
          <w:tcPr>
            <w:tcW w:w="2421"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2280"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p>
        </w:tc>
      </w:tr>
    </w:tbl>
    <w:p w:rsidR="0024716C" w:rsidRPr="00AE49C8" w:rsidRDefault="0096180E" w:rsidP="0024716C">
      <w:pPr>
        <w:jc w:val="center"/>
        <w:rPr>
          <w:b/>
        </w:rPr>
      </w:pPr>
      <w:r w:rsidRPr="00AE49C8">
        <w:rPr>
          <w:noProof/>
          <w:lang w:eastAsia="en-GB"/>
        </w:rPr>
        <w:drawing>
          <wp:inline distT="0" distB="0" distL="0" distR="0" wp14:anchorId="50FFCB14" wp14:editId="001E99D5">
            <wp:extent cx="5351318" cy="1943100"/>
            <wp:effectExtent l="0" t="0" r="1905" b="0"/>
            <wp:docPr id="61" name="Chart 61" title="Bar graph showing the uptake of non-mandatory/CPD training by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4716C" w:rsidRPr="000D2F61" w:rsidRDefault="0024716C" w:rsidP="0024716C">
      <w:r w:rsidRPr="000D2F61">
        <w:t>Observations</w:t>
      </w:r>
    </w:p>
    <w:p w:rsidR="00AF03DD" w:rsidRPr="00AE49C8" w:rsidRDefault="00AF03DD" w:rsidP="00AF03DD">
      <w:pPr>
        <w:ind w:left="720" w:hanging="360"/>
      </w:pPr>
      <w:r w:rsidRPr="00AE49C8">
        <w:t>When comparing those that attended training to the workforce representation:</w:t>
      </w:r>
    </w:p>
    <w:p w:rsidR="00AF03DD" w:rsidRPr="00AE49C8" w:rsidRDefault="00AF03DD" w:rsidP="00AF03DD">
      <w:pPr>
        <w:pStyle w:val="ListParagraph"/>
      </w:pPr>
      <w:r w:rsidRPr="00AE49C8">
        <w:t xml:space="preserve">those aged 26-35 have a higher than expected representation, </w:t>
      </w:r>
    </w:p>
    <w:p w:rsidR="00AF03DD" w:rsidRPr="00AE49C8" w:rsidRDefault="00AF03DD" w:rsidP="00AF03DD">
      <w:pPr>
        <w:pStyle w:val="ListParagraph"/>
      </w:pPr>
      <w:r w:rsidRPr="00AE49C8">
        <w:t xml:space="preserve">those aged 36-50 has a broadly similar representation, and </w:t>
      </w:r>
    </w:p>
    <w:p w:rsidR="0024716C" w:rsidRPr="00AE49C8" w:rsidRDefault="00AF03DD" w:rsidP="00AF03DD">
      <w:pPr>
        <w:pStyle w:val="ListParagraph"/>
      </w:pPr>
      <w:r w:rsidRPr="00AE49C8">
        <w:t>those aged 21-25 and 51+ have a lower than expected representation.</w:t>
      </w:r>
    </w:p>
    <w:p w:rsidR="0024716C" w:rsidRPr="00AE49C8" w:rsidRDefault="0024716C" w:rsidP="0024716C">
      <w:pPr>
        <w:rPr>
          <w:b/>
        </w:rPr>
      </w:pPr>
      <w:r w:rsidRPr="00AE49C8">
        <w:rPr>
          <w:b/>
        </w:rPr>
        <w:t>WSHT</w:t>
      </w:r>
    </w:p>
    <w:tbl>
      <w:tblPr>
        <w:tblW w:w="9229" w:type="dxa"/>
        <w:tblInd w:w="93" w:type="dxa"/>
        <w:tblBorders>
          <w:insideH w:val="dotted" w:sz="4" w:space="0" w:color="auto"/>
        </w:tblBorders>
        <w:tblLook w:val="04A0" w:firstRow="1" w:lastRow="0" w:firstColumn="1" w:lastColumn="0" w:noHBand="0" w:noVBand="1"/>
        <w:tblCaption w:val="Table showing the uptake of non-mandatory/CPD training brokendown by age groups compared to the overall workforce."/>
      </w:tblPr>
      <w:tblGrid>
        <w:gridCol w:w="1575"/>
        <w:gridCol w:w="2693"/>
        <w:gridCol w:w="2693"/>
        <w:gridCol w:w="2268"/>
      </w:tblGrid>
      <w:tr w:rsidR="0024716C" w:rsidRPr="00AE49C8" w:rsidTr="00AF03DD">
        <w:trPr>
          <w:cantSplit/>
          <w:trHeight w:val="288"/>
          <w:tblHeader/>
        </w:trPr>
        <w:tc>
          <w:tcPr>
            <w:tcW w:w="1575" w:type="dxa"/>
            <w:shd w:val="clear" w:color="auto" w:fill="auto"/>
            <w:noWrap/>
            <w:hideMark/>
          </w:tcPr>
          <w:p w:rsidR="0024716C" w:rsidRPr="00AE49C8" w:rsidRDefault="0024716C"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Age Band</w:t>
            </w:r>
          </w:p>
        </w:tc>
        <w:tc>
          <w:tcPr>
            <w:tcW w:w="2693" w:type="dxa"/>
            <w:shd w:val="clear" w:color="auto" w:fill="auto"/>
            <w:noWrap/>
            <w:hideMark/>
          </w:tcPr>
          <w:p w:rsidR="0024716C" w:rsidRPr="00AE49C8" w:rsidRDefault="0024716C"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Number of staff attending training</w:t>
            </w:r>
          </w:p>
        </w:tc>
        <w:tc>
          <w:tcPr>
            <w:tcW w:w="2693" w:type="dxa"/>
            <w:shd w:val="clear" w:color="auto" w:fill="auto"/>
            <w:noWrap/>
            <w:hideMark/>
          </w:tcPr>
          <w:p w:rsidR="0024716C" w:rsidRPr="00AE49C8" w:rsidRDefault="0024716C"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 of staff attending training</w:t>
            </w:r>
          </w:p>
        </w:tc>
        <w:tc>
          <w:tcPr>
            <w:tcW w:w="2268" w:type="dxa"/>
            <w:shd w:val="clear" w:color="auto" w:fill="auto"/>
            <w:noWrap/>
            <w:hideMark/>
          </w:tcPr>
          <w:p w:rsidR="0024716C" w:rsidRPr="00AE49C8" w:rsidRDefault="0024716C"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Representation in the workforce</w:t>
            </w:r>
          </w:p>
        </w:tc>
      </w:tr>
      <w:tr w:rsidR="0024716C" w:rsidRPr="00AE49C8" w:rsidTr="00AF03DD">
        <w:trPr>
          <w:cantSplit/>
          <w:trHeight w:val="288"/>
          <w:tblHeader/>
        </w:trPr>
        <w:tc>
          <w:tcPr>
            <w:tcW w:w="157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Under 20</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28</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2268"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0.8%</w:t>
            </w:r>
          </w:p>
        </w:tc>
      </w:tr>
      <w:tr w:rsidR="0024716C" w:rsidRPr="00AE49C8" w:rsidTr="00AF03DD">
        <w:trPr>
          <w:cantSplit/>
          <w:trHeight w:val="288"/>
          <w:tblHeader/>
        </w:trPr>
        <w:tc>
          <w:tcPr>
            <w:tcW w:w="157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21-25</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219</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8.0%</w:t>
            </w:r>
          </w:p>
        </w:tc>
        <w:tc>
          <w:tcPr>
            <w:tcW w:w="2268"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5.9%</w:t>
            </w:r>
          </w:p>
        </w:tc>
      </w:tr>
      <w:tr w:rsidR="0024716C" w:rsidRPr="00AE49C8" w:rsidTr="00AF03DD">
        <w:trPr>
          <w:cantSplit/>
          <w:trHeight w:val="288"/>
          <w:tblHeader/>
        </w:trPr>
        <w:tc>
          <w:tcPr>
            <w:tcW w:w="157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26-30</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458</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16.7%</w:t>
            </w:r>
          </w:p>
        </w:tc>
        <w:tc>
          <w:tcPr>
            <w:tcW w:w="2268"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12.4%</w:t>
            </w:r>
          </w:p>
        </w:tc>
      </w:tr>
      <w:tr w:rsidR="0024716C" w:rsidRPr="00AE49C8" w:rsidTr="00AF03DD">
        <w:trPr>
          <w:cantSplit/>
          <w:trHeight w:val="288"/>
          <w:tblHeader/>
        </w:trPr>
        <w:tc>
          <w:tcPr>
            <w:tcW w:w="157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31-35</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398</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14.5%</w:t>
            </w:r>
          </w:p>
        </w:tc>
        <w:tc>
          <w:tcPr>
            <w:tcW w:w="2268"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13.6%</w:t>
            </w:r>
          </w:p>
        </w:tc>
      </w:tr>
      <w:tr w:rsidR="0024716C" w:rsidRPr="00AE49C8" w:rsidTr="00AF03DD">
        <w:trPr>
          <w:cantSplit/>
          <w:trHeight w:val="288"/>
          <w:tblHeader/>
        </w:trPr>
        <w:tc>
          <w:tcPr>
            <w:tcW w:w="157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36-40</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305</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11.1%</w:t>
            </w:r>
          </w:p>
        </w:tc>
        <w:tc>
          <w:tcPr>
            <w:tcW w:w="2268"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11.4%</w:t>
            </w:r>
          </w:p>
        </w:tc>
      </w:tr>
      <w:tr w:rsidR="0024716C" w:rsidRPr="00AE49C8" w:rsidTr="00AF03DD">
        <w:trPr>
          <w:cantSplit/>
          <w:trHeight w:val="288"/>
          <w:tblHeader/>
        </w:trPr>
        <w:tc>
          <w:tcPr>
            <w:tcW w:w="157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41-45</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342</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12.5%</w:t>
            </w:r>
          </w:p>
        </w:tc>
        <w:tc>
          <w:tcPr>
            <w:tcW w:w="2268"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11.9%</w:t>
            </w:r>
          </w:p>
        </w:tc>
      </w:tr>
      <w:tr w:rsidR="0024716C" w:rsidRPr="00AE49C8" w:rsidTr="00AF03DD">
        <w:trPr>
          <w:cantSplit/>
          <w:trHeight w:val="288"/>
          <w:tblHeader/>
        </w:trPr>
        <w:tc>
          <w:tcPr>
            <w:tcW w:w="157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46-50</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330</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12.0%</w:t>
            </w:r>
          </w:p>
        </w:tc>
        <w:tc>
          <w:tcPr>
            <w:tcW w:w="2268"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13.2%</w:t>
            </w:r>
          </w:p>
        </w:tc>
      </w:tr>
      <w:tr w:rsidR="0024716C" w:rsidRPr="00AE49C8" w:rsidTr="00AF03DD">
        <w:trPr>
          <w:cantSplit/>
          <w:trHeight w:val="288"/>
          <w:tblHeader/>
        </w:trPr>
        <w:tc>
          <w:tcPr>
            <w:tcW w:w="157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51-55</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310</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11.3%</w:t>
            </w:r>
          </w:p>
        </w:tc>
        <w:tc>
          <w:tcPr>
            <w:tcW w:w="2268"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12.1%</w:t>
            </w:r>
          </w:p>
        </w:tc>
      </w:tr>
      <w:tr w:rsidR="0024716C" w:rsidRPr="00AE49C8" w:rsidTr="00AF03DD">
        <w:trPr>
          <w:cantSplit/>
          <w:trHeight w:val="288"/>
          <w:tblHeader/>
        </w:trPr>
        <w:tc>
          <w:tcPr>
            <w:tcW w:w="157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56-60</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212</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7.7%</w:t>
            </w:r>
          </w:p>
        </w:tc>
        <w:tc>
          <w:tcPr>
            <w:tcW w:w="2268"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10.5%</w:t>
            </w:r>
          </w:p>
        </w:tc>
      </w:tr>
      <w:tr w:rsidR="0024716C" w:rsidRPr="00AE49C8" w:rsidTr="00AF03DD">
        <w:trPr>
          <w:cantSplit/>
          <w:trHeight w:val="288"/>
          <w:tblHeader/>
        </w:trPr>
        <w:tc>
          <w:tcPr>
            <w:tcW w:w="157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61-65</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112</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4.1%</w:t>
            </w:r>
          </w:p>
        </w:tc>
        <w:tc>
          <w:tcPr>
            <w:tcW w:w="2268"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6.1%</w:t>
            </w:r>
          </w:p>
        </w:tc>
      </w:tr>
      <w:tr w:rsidR="0024716C" w:rsidRPr="00AE49C8" w:rsidTr="00AF03DD">
        <w:trPr>
          <w:cantSplit/>
          <w:trHeight w:val="288"/>
          <w:tblHeader/>
        </w:trPr>
        <w:tc>
          <w:tcPr>
            <w:tcW w:w="157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66-70</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17</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2268"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1.5%</w:t>
            </w:r>
          </w:p>
        </w:tc>
      </w:tr>
      <w:tr w:rsidR="0024716C" w:rsidRPr="00AE49C8" w:rsidTr="00AF03DD">
        <w:trPr>
          <w:cantSplit/>
          <w:trHeight w:val="288"/>
          <w:tblHeader/>
        </w:trPr>
        <w:tc>
          <w:tcPr>
            <w:tcW w:w="157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71 and Over</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2268"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0.6%</w:t>
            </w:r>
          </w:p>
        </w:tc>
      </w:tr>
      <w:tr w:rsidR="0024716C" w:rsidRPr="00AE49C8" w:rsidTr="00AF03DD">
        <w:trPr>
          <w:cantSplit/>
          <w:trHeight w:val="288"/>
          <w:tblHeader/>
        </w:trPr>
        <w:tc>
          <w:tcPr>
            <w:tcW w:w="1575"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Total</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2741</w:t>
            </w:r>
          </w:p>
        </w:tc>
        <w:tc>
          <w:tcPr>
            <w:tcW w:w="2693"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2268" w:type="dxa"/>
            <w:shd w:val="clear" w:color="auto" w:fill="auto"/>
            <w:noWrap/>
            <w:vAlign w:val="bottom"/>
            <w:hideMark/>
          </w:tcPr>
          <w:p w:rsidR="0024716C" w:rsidRPr="00AE49C8" w:rsidRDefault="0024716C" w:rsidP="0024716C">
            <w:pPr>
              <w:spacing w:after="0" w:line="240" w:lineRule="auto"/>
              <w:rPr>
                <w:rFonts w:eastAsia="Times New Roman"/>
                <w:color w:val="000000"/>
                <w:szCs w:val="24"/>
                <w:lang w:eastAsia="en-GB"/>
              </w:rPr>
            </w:pPr>
          </w:p>
        </w:tc>
      </w:tr>
    </w:tbl>
    <w:p w:rsidR="0024716C" w:rsidRPr="00AE49C8" w:rsidRDefault="0024716C" w:rsidP="0024716C">
      <w:pPr>
        <w:rPr>
          <w:b/>
        </w:rPr>
      </w:pPr>
    </w:p>
    <w:p w:rsidR="0024716C" w:rsidRPr="00AE49C8" w:rsidRDefault="0096180E" w:rsidP="0024716C">
      <w:pPr>
        <w:jc w:val="center"/>
        <w:rPr>
          <w:b/>
        </w:rPr>
      </w:pPr>
      <w:r w:rsidRPr="00AE49C8">
        <w:rPr>
          <w:noProof/>
          <w:lang w:eastAsia="en-GB"/>
        </w:rPr>
        <w:lastRenderedPageBreak/>
        <w:drawing>
          <wp:inline distT="0" distB="0" distL="0" distR="0" wp14:anchorId="31003282" wp14:editId="6F9E6C8F">
            <wp:extent cx="4572000" cy="2743200"/>
            <wp:effectExtent l="0" t="0" r="0" b="0"/>
            <wp:docPr id="62" name="Chart 62" title="Bar graph showing the uptake of non-mandatory/CPD training by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4716C" w:rsidRPr="000D2F61" w:rsidRDefault="008506E3" w:rsidP="0024716C">
      <w:r w:rsidRPr="000D2F61">
        <w:t>Observation</w:t>
      </w:r>
      <w:r w:rsidR="00AF03DD" w:rsidRPr="000D2F61">
        <w:t>s</w:t>
      </w:r>
    </w:p>
    <w:p w:rsidR="00AF03DD" w:rsidRPr="00AE49C8" w:rsidRDefault="00AF03DD" w:rsidP="00AF03DD">
      <w:pPr>
        <w:ind w:left="720" w:hanging="360"/>
      </w:pPr>
      <w:r w:rsidRPr="00AE49C8">
        <w:t>When comparing those that attended training to the workforce representation:</w:t>
      </w:r>
    </w:p>
    <w:p w:rsidR="00AF03DD" w:rsidRPr="00AE49C8" w:rsidRDefault="00AF03DD" w:rsidP="00AF03DD">
      <w:pPr>
        <w:pStyle w:val="ListParagraph"/>
      </w:pPr>
      <w:r w:rsidRPr="00AE49C8">
        <w:t>those aged 2</w:t>
      </w:r>
      <w:r w:rsidR="00E7596C" w:rsidRPr="00AE49C8">
        <w:t>1</w:t>
      </w:r>
      <w:r w:rsidRPr="00AE49C8">
        <w:t xml:space="preserve">-35 and 41-45  have a higher than expected representation, </w:t>
      </w:r>
    </w:p>
    <w:p w:rsidR="00AF03DD" w:rsidRPr="00AE49C8" w:rsidRDefault="00AF03DD" w:rsidP="00AF03DD">
      <w:pPr>
        <w:pStyle w:val="ListParagraph"/>
      </w:pPr>
      <w:r w:rsidRPr="00AE49C8">
        <w:t xml:space="preserve">those aged &lt;20 and 36-40 has a broadly similar representation, and </w:t>
      </w:r>
    </w:p>
    <w:p w:rsidR="00AF03DD" w:rsidRPr="00AE49C8" w:rsidRDefault="00AF03DD" w:rsidP="00AF03DD">
      <w:pPr>
        <w:pStyle w:val="ListParagraph"/>
      </w:pPr>
      <w:r w:rsidRPr="00AE49C8">
        <w:t>those aged 46+ have a lower than expected representation.</w:t>
      </w:r>
    </w:p>
    <w:p w:rsidR="00AF03DD" w:rsidRPr="00AE49C8" w:rsidRDefault="00AF03DD" w:rsidP="0024716C">
      <w:pPr>
        <w:rPr>
          <w:b/>
        </w:rPr>
      </w:pPr>
    </w:p>
    <w:p w:rsidR="008506E3" w:rsidRPr="00AE49C8" w:rsidRDefault="008506E3" w:rsidP="001578FF">
      <w:pPr>
        <w:pStyle w:val="Heading3"/>
      </w:pPr>
      <w:bookmarkStart w:id="36" w:name="_Toc88633983"/>
      <w:r w:rsidRPr="00AE49C8">
        <w:t>Employee relations processes broken down by age</w:t>
      </w:r>
      <w:bookmarkEnd w:id="36"/>
    </w:p>
    <w:p w:rsidR="008506E3" w:rsidRPr="00AE49C8" w:rsidRDefault="008506E3" w:rsidP="0024716C">
      <w:pPr>
        <w:rPr>
          <w:b/>
        </w:rPr>
      </w:pPr>
      <w:r w:rsidRPr="00AE49C8">
        <w:rPr>
          <w:b/>
        </w:rPr>
        <w:t>BSUH</w:t>
      </w:r>
    </w:p>
    <w:tbl>
      <w:tblPr>
        <w:tblW w:w="9084" w:type="dxa"/>
        <w:jc w:val="center"/>
        <w:tblBorders>
          <w:insideH w:val="dotted" w:sz="4" w:space="0" w:color="auto"/>
        </w:tblBorders>
        <w:tblLook w:val="04A0" w:firstRow="1" w:lastRow="0" w:firstColumn="1" w:lastColumn="0" w:noHBand="0" w:noVBand="1"/>
        <w:tblCaption w:val="Table showing the representation in capability processes by age group"/>
      </w:tblPr>
      <w:tblGrid>
        <w:gridCol w:w="1190"/>
        <w:gridCol w:w="1528"/>
        <w:gridCol w:w="1685"/>
        <w:gridCol w:w="1363"/>
        <w:gridCol w:w="1363"/>
        <w:gridCol w:w="1964"/>
      </w:tblGrid>
      <w:tr w:rsidR="008506E3" w:rsidRPr="00AE49C8" w:rsidTr="000C64DA">
        <w:trPr>
          <w:cantSplit/>
          <w:trHeight w:val="288"/>
          <w:tblHeader/>
          <w:jc w:val="center"/>
        </w:trPr>
        <w:tc>
          <w:tcPr>
            <w:tcW w:w="1190"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 xml:space="preserve">Age Band </w:t>
            </w:r>
          </w:p>
        </w:tc>
        <w:tc>
          <w:tcPr>
            <w:tcW w:w="1528"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(Non-UHR)</w:t>
            </w:r>
          </w:p>
        </w:tc>
        <w:tc>
          <w:tcPr>
            <w:tcW w:w="1685"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(Non-UHR) %</w:t>
            </w:r>
          </w:p>
        </w:tc>
        <w:tc>
          <w:tcPr>
            <w:tcW w:w="1363"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(UHR)</w:t>
            </w:r>
          </w:p>
        </w:tc>
        <w:tc>
          <w:tcPr>
            <w:tcW w:w="1363"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(UHR) %</w:t>
            </w:r>
          </w:p>
        </w:tc>
        <w:tc>
          <w:tcPr>
            <w:tcW w:w="1955"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 xml:space="preserve">Workforce </w:t>
            </w:r>
            <w:r w:rsidR="008E6F14" w:rsidRPr="00AE49C8">
              <w:rPr>
                <w:rFonts w:eastAsia="Times New Roman"/>
                <w:b/>
                <w:bCs/>
                <w:color w:val="000000"/>
                <w:szCs w:val="24"/>
                <w:lang w:eastAsia="en-GB"/>
              </w:rPr>
              <w:t>Representation</w:t>
            </w:r>
            <w:r w:rsidRPr="00AE49C8">
              <w:rPr>
                <w:rFonts w:eastAsia="Times New Roman"/>
                <w:b/>
                <w:bCs/>
                <w:color w:val="000000"/>
                <w:szCs w:val="24"/>
                <w:lang w:eastAsia="en-GB"/>
              </w:rPr>
              <w:t xml:space="preserve"> %</w:t>
            </w:r>
          </w:p>
        </w:tc>
      </w:tr>
      <w:tr w:rsidR="008506E3" w:rsidRPr="00AE49C8" w:rsidTr="000C64DA">
        <w:trPr>
          <w:cantSplit/>
          <w:trHeight w:val="288"/>
          <w:tblHeader/>
          <w:jc w:val="center"/>
        </w:trPr>
        <w:tc>
          <w:tcPr>
            <w:tcW w:w="119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26 - 30</w:t>
            </w:r>
          </w:p>
        </w:tc>
        <w:tc>
          <w:tcPr>
            <w:tcW w:w="152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68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25.0%</w:t>
            </w:r>
          </w:p>
        </w:tc>
        <w:tc>
          <w:tcPr>
            <w:tcW w:w="195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13.3%</w:t>
            </w:r>
          </w:p>
        </w:tc>
      </w:tr>
      <w:tr w:rsidR="008506E3" w:rsidRPr="00AE49C8" w:rsidTr="000C64DA">
        <w:trPr>
          <w:cantSplit/>
          <w:trHeight w:val="288"/>
          <w:tblHeader/>
          <w:jc w:val="center"/>
        </w:trPr>
        <w:tc>
          <w:tcPr>
            <w:tcW w:w="119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31 - 35</w:t>
            </w:r>
          </w:p>
        </w:tc>
        <w:tc>
          <w:tcPr>
            <w:tcW w:w="152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68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9.4%</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95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14.2%</w:t>
            </w:r>
          </w:p>
        </w:tc>
      </w:tr>
      <w:tr w:rsidR="008506E3" w:rsidRPr="00AE49C8" w:rsidTr="000C64DA">
        <w:trPr>
          <w:cantSplit/>
          <w:trHeight w:val="288"/>
          <w:tblHeader/>
          <w:jc w:val="center"/>
        </w:trPr>
        <w:tc>
          <w:tcPr>
            <w:tcW w:w="119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36 - 40</w:t>
            </w:r>
          </w:p>
        </w:tc>
        <w:tc>
          <w:tcPr>
            <w:tcW w:w="152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68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9.4%</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12.5%</w:t>
            </w:r>
          </w:p>
        </w:tc>
        <w:tc>
          <w:tcPr>
            <w:tcW w:w="195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12.1%</w:t>
            </w:r>
          </w:p>
        </w:tc>
      </w:tr>
      <w:tr w:rsidR="008506E3" w:rsidRPr="00AE49C8" w:rsidTr="000C64DA">
        <w:trPr>
          <w:cantSplit/>
          <w:trHeight w:val="288"/>
          <w:tblHeader/>
          <w:jc w:val="center"/>
        </w:trPr>
        <w:tc>
          <w:tcPr>
            <w:tcW w:w="119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41 - 45</w:t>
            </w:r>
          </w:p>
        </w:tc>
        <w:tc>
          <w:tcPr>
            <w:tcW w:w="152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68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25.0%</w:t>
            </w:r>
          </w:p>
        </w:tc>
        <w:tc>
          <w:tcPr>
            <w:tcW w:w="195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12.3%</w:t>
            </w:r>
          </w:p>
        </w:tc>
      </w:tr>
      <w:tr w:rsidR="008506E3" w:rsidRPr="00AE49C8" w:rsidTr="000C64DA">
        <w:trPr>
          <w:cantSplit/>
          <w:trHeight w:val="288"/>
          <w:tblHeader/>
          <w:jc w:val="center"/>
        </w:trPr>
        <w:tc>
          <w:tcPr>
            <w:tcW w:w="119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46 - 50</w:t>
            </w:r>
          </w:p>
        </w:tc>
        <w:tc>
          <w:tcPr>
            <w:tcW w:w="152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w:t>
            </w:r>
          </w:p>
        </w:tc>
        <w:tc>
          <w:tcPr>
            <w:tcW w:w="168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18.8%</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12.5%</w:t>
            </w:r>
          </w:p>
        </w:tc>
        <w:tc>
          <w:tcPr>
            <w:tcW w:w="195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12.8%</w:t>
            </w:r>
          </w:p>
        </w:tc>
      </w:tr>
      <w:tr w:rsidR="008506E3" w:rsidRPr="00AE49C8" w:rsidTr="000C64DA">
        <w:trPr>
          <w:cantSplit/>
          <w:trHeight w:val="288"/>
          <w:tblHeader/>
          <w:jc w:val="center"/>
        </w:trPr>
        <w:tc>
          <w:tcPr>
            <w:tcW w:w="119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51 - 55</w:t>
            </w:r>
          </w:p>
        </w:tc>
        <w:tc>
          <w:tcPr>
            <w:tcW w:w="152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9</w:t>
            </w:r>
          </w:p>
        </w:tc>
        <w:tc>
          <w:tcPr>
            <w:tcW w:w="168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28.1%</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12.5%</w:t>
            </w:r>
          </w:p>
        </w:tc>
        <w:tc>
          <w:tcPr>
            <w:tcW w:w="195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11.9%</w:t>
            </w:r>
          </w:p>
        </w:tc>
      </w:tr>
      <w:tr w:rsidR="008506E3" w:rsidRPr="00AE49C8" w:rsidTr="000C64DA">
        <w:trPr>
          <w:cantSplit/>
          <w:trHeight w:val="288"/>
          <w:tblHeader/>
          <w:jc w:val="center"/>
        </w:trPr>
        <w:tc>
          <w:tcPr>
            <w:tcW w:w="119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56 - 60</w:t>
            </w:r>
          </w:p>
        </w:tc>
        <w:tc>
          <w:tcPr>
            <w:tcW w:w="152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7</w:t>
            </w:r>
          </w:p>
        </w:tc>
        <w:tc>
          <w:tcPr>
            <w:tcW w:w="168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21.9%</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12.5%</w:t>
            </w:r>
          </w:p>
        </w:tc>
        <w:tc>
          <w:tcPr>
            <w:tcW w:w="195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9.5%</w:t>
            </w:r>
          </w:p>
        </w:tc>
      </w:tr>
      <w:tr w:rsidR="008506E3" w:rsidRPr="00AE49C8" w:rsidTr="000C64DA">
        <w:trPr>
          <w:cantSplit/>
          <w:trHeight w:val="288"/>
          <w:tblHeader/>
          <w:jc w:val="center"/>
        </w:trPr>
        <w:tc>
          <w:tcPr>
            <w:tcW w:w="119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61 - 65</w:t>
            </w:r>
          </w:p>
        </w:tc>
        <w:tc>
          <w:tcPr>
            <w:tcW w:w="152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68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9.4%</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95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5.5%</w:t>
            </w:r>
          </w:p>
        </w:tc>
      </w:tr>
      <w:tr w:rsidR="008506E3" w:rsidRPr="00AE49C8" w:rsidTr="000C64DA">
        <w:trPr>
          <w:cantSplit/>
          <w:trHeight w:val="288"/>
          <w:tblHeader/>
          <w:jc w:val="center"/>
        </w:trPr>
        <w:tc>
          <w:tcPr>
            <w:tcW w:w="119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66 - 70</w:t>
            </w:r>
          </w:p>
        </w:tc>
        <w:tc>
          <w:tcPr>
            <w:tcW w:w="152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68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3.1%</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3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95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w:t>
            </w:r>
          </w:p>
        </w:tc>
      </w:tr>
      <w:tr w:rsidR="008506E3" w:rsidRPr="00AE49C8" w:rsidTr="000C64DA">
        <w:trPr>
          <w:cantSplit/>
          <w:trHeight w:val="288"/>
          <w:tblHeader/>
          <w:jc w:val="center"/>
        </w:trPr>
        <w:tc>
          <w:tcPr>
            <w:tcW w:w="1190"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528"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32</w:t>
            </w:r>
          </w:p>
        </w:tc>
        <w:tc>
          <w:tcPr>
            <w:tcW w:w="1685"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363"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8</w:t>
            </w:r>
          </w:p>
        </w:tc>
        <w:tc>
          <w:tcPr>
            <w:tcW w:w="1363"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95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p>
        </w:tc>
      </w:tr>
    </w:tbl>
    <w:p w:rsidR="008506E3" w:rsidRPr="00AE49C8" w:rsidRDefault="008506E3" w:rsidP="0024716C">
      <w:pPr>
        <w:rPr>
          <w:b/>
        </w:rPr>
      </w:pPr>
      <w:r w:rsidRPr="00AE49C8">
        <w:rPr>
          <w:noProof/>
          <w:lang w:eastAsia="en-GB"/>
        </w:rPr>
        <w:lastRenderedPageBreak/>
        <w:drawing>
          <wp:inline distT="0" distB="0" distL="0" distR="0" wp14:anchorId="2BB78F2E" wp14:editId="3BFC9A79">
            <wp:extent cx="5731510" cy="2690013"/>
            <wp:effectExtent l="0" t="0" r="2540" b="0"/>
            <wp:docPr id="11" name="Chart 11" title="Chart showing the representation in capability processes by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10768" w:type="dxa"/>
        <w:jc w:val="center"/>
        <w:tblBorders>
          <w:insideH w:val="dotted" w:sz="4" w:space="0" w:color="auto"/>
        </w:tblBorders>
        <w:tblLook w:val="04A0" w:firstRow="1" w:lastRow="0" w:firstColumn="1" w:lastColumn="0" w:noHBand="0" w:noVBand="1"/>
        <w:tblCaption w:val="Table showing the representation in harassment, grievance and disciplinary processes by age group"/>
      </w:tblPr>
      <w:tblGrid>
        <w:gridCol w:w="1008"/>
        <w:gridCol w:w="1495"/>
        <w:gridCol w:w="1476"/>
        <w:gridCol w:w="1281"/>
        <w:gridCol w:w="1281"/>
        <w:gridCol w:w="1464"/>
        <w:gridCol w:w="1464"/>
        <w:gridCol w:w="1818"/>
      </w:tblGrid>
      <w:tr w:rsidR="008506E3" w:rsidRPr="00AE49C8" w:rsidTr="001578FF">
        <w:trPr>
          <w:cantSplit/>
          <w:trHeight w:val="288"/>
          <w:tblHeader/>
          <w:jc w:val="center"/>
        </w:trPr>
        <w:tc>
          <w:tcPr>
            <w:tcW w:w="1008" w:type="dxa"/>
            <w:shd w:val="clear" w:color="auto" w:fill="auto"/>
            <w:noWrap/>
            <w:hideMark/>
          </w:tcPr>
          <w:p w:rsidR="008506E3" w:rsidRPr="000C64DA" w:rsidRDefault="008506E3" w:rsidP="008506E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 xml:space="preserve">Age Band </w:t>
            </w:r>
          </w:p>
        </w:tc>
        <w:tc>
          <w:tcPr>
            <w:tcW w:w="1495" w:type="dxa"/>
            <w:shd w:val="clear" w:color="auto" w:fill="auto"/>
            <w:noWrap/>
            <w:hideMark/>
          </w:tcPr>
          <w:p w:rsidR="008506E3" w:rsidRPr="000C64DA" w:rsidRDefault="008E6F14" w:rsidP="008506E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Harassment</w:t>
            </w:r>
            <w:r w:rsidR="008506E3" w:rsidRPr="000C64DA">
              <w:rPr>
                <w:rFonts w:eastAsia="Times New Roman"/>
                <w:b/>
                <w:bCs/>
                <w:color w:val="000000"/>
                <w:sz w:val="22"/>
                <w:szCs w:val="24"/>
                <w:lang w:eastAsia="en-GB"/>
              </w:rPr>
              <w:t xml:space="preserve"> Cases</w:t>
            </w:r>
          </w:p>
        </w:tc>
        <w:tc>
          <w:tcPr>
            <w:tcW w:w="1410" w:type="dxa"/>
            <w:shd w:val="clear" w:color="auto" w:fill="auto"/>
            <w:noWrap/>
            <w:hideMark/>
          </w:tcPr>
          <w:p w:rsidR="008506E3" w:rsidRPr="000C64DA" w:rsidRDefault="008506E3" w:rsidP="008506E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Harassment Cases %</w:t>
            </w:r>
          </w:p>
        </w:tc>
        <w:tc>
          <w:tcPr>
            <w:tcW w:w="1217" w:type="dxa"/>
            <w:shd w:val="clear" w:color="auto" w:fill="auto"/>
            <w:noWrap/>
            <w:hideMark/>
          </w:tcPr>
          <w:p w:rsidR="008506E3" w:rsidRPr="000C64DA" w:rsidRDefault="008506E3" w:rsidP="008506E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Grievance Cases</w:t>
            </w:r>
          </w:p>
        </w:tc>
        <w:tc>
          <w:tcPr>
            <w:tcW w:w="1217" w:type="dxa"/>
            <w:shd w:val="clear" w:color="auto" w:fill="auto"/>
            <w:noWrap/>
            <w:hideMark/>
          </w:tcPr>
          <w:p w:rsidR="008506E3" w:rsidRPr="000C64DA" w:rsidRDefault="008506E3" w:rsidP="008506E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Grievance Cases %</w:t>
            </w:r>
          </w:p>
        </w:tc>
        <w:tc>
          <w:tcPr>
            <w:tcW w:w="1375" w:type="dxa"/>
            <w:shd w:val="clear" w:color="auto" w:fill="auto"/>
            <w:noWrap/>
            <w:hideMark/>
          </w:tcPr>
          <w:p w:rsidR="008506E3" w:rsidRPr="000C64DA" w:rsidRDefault="008506E3" w:rsidP="008506E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Disciplinary Cases</w:t>
            </w:r>
          </w:p>
        </w:tc>
        <w:tc>
          <w:tcPr>
            <w:tcW w:w="1375" w:type="dxa"/>
            <w:shd w:val="clear" w:color="auto" w:fill="auto"/>
            <w:noWrap/>
            <w:hideMark/>
          </w:tcPr>
          <w:p w:rsidR="008506E3" w:rsidRPr="000C64DA" w:rsidRDefault="008506E3" w:rsidP="008506E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Disciplinary Cases %</w:t>
            </w:r>
          </w:p>
        </w:tc>
        <w:tc>
          <w:tcPr>
            <w:tcW w:w="1671" w:type="dxa"/>
            <w:shd w:val="clear" w:color="auto" w:fill="auto"/>
            <w:noWrap/>
            <w:hideMark/>
          </w:tcPr>
          <w:p w:rsidR="008506E3" w:rsidRPr="000C64DA" w:rsidRDefault="008506E3" w:rsidP="008506E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 xml:space="preserve">Workforce </w:t>
            </w:r>
            <w:r w:rsidR="008E6F14" w:rsidRPr="000C64DA">
              <w:rPr>
                <w:rFonts w:eastAsia="Times New Roman"/>
                <w:b/>
                <w:bCs/>
                <w:color w:val="000000"/>
                <w:sz w:val="22"/>
                <w:szCs w:val="24"/>
                <w:lang w:eastAsia="en-GB"/>
              </w:rPr>
              <w:t>Representation</w:t>
            </w:r>
            <w:r w:rsidRPr="000C64DA">
              <w:rPr>
                <w:rFonts w:eastAsia="Times New Roman"/>
                <w:b/>
                <w:bCs/>
                <w:color w:val="000000"/>
                <w:sz w:val="22"/>
                <w:szCs w:val="24"/>
                <w:lang w:eastAsia="en-GB"/>
              </w:rPr>
              <w:t xml:space="preserve"> %</w:t>
            </w:r>
          </w:p>
        </w:tc>
      </w:tr>
      <w:tr w:rsidR="008506E3" w:rsidRPr="00AE49C8" w:rsidTr="001578FF">
        <w:trPr>
          <w:cantSplit/>
          <w:trHeight w:val="288"/>
          <w:tblHeader/>
          <w:jc w:val="center"/>
        </w:trPr>
        <w:tc>
          <w:tcPr>
            <w:tcW w:w="1008"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21 - 25</w:t>
            </w:r>
          </w:p>
        </w:tc>
        <w:tc>
          <w:tcPr>
            <w:tcW w:w="149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410"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9%</w:t>
            </w:r>
          </w:p>
        </w:tc>
        <w:tc>
          <w:tcPr>
            <w:tcW w:w="1671"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6.3%</w:t>
            </w:r>
          </w:p>
        </w:tc>
      </w:tr>
      <w:tr w:rsidR="008506E3" w:rsidRPr="00AE49C8" w:rsidTr="001578FF">
        <w:trPr>
          <w:cantSplit/>
          <w:trHeight w:val="288"/>
          <w:tblHeader/>
          <w:jc w:val="center"/>
        </w:trPr>
        <w:tc>
          <w:tcPr>
            <w:tcW w:w="1008"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26 - 30</w:t>
            </w:r>
          </w:p>
        </w:tc>
        <w:tc>
          <w:tcPr>
            <w:tcW w:w="149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410"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3</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13%</w:t>
            </w:r>
          </w:p>
        </w:tc>
        <w:tc>
          <w:tcPr>
            <w:tcW w:w="1671"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13.3%</w:t>
            </w:r>
          </w:p>
        </w:tc>
      </w:tr>
      <w:tr w:rsidR="008506E3" w:rsidRPr="00AE49C8" w:rsidTr="001578FF">
        <w:trPr>
          <w:cantSplit/>
          <w:trHeight w:val="288"/>
          <w:tblHeader/>
          <w:jc w:val="center"/>
        </w:trPr>
        <w:tc>
          <w:tcPr>
            <w:tcW w:w="1008"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31 - 35</w:t>
            </w:r>
          </w:p>
        </w:tc>
        <w:tc>
          <w:tcPr>
            <w:tcW w:w="149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410"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9%</w:t>
            </w:r>
          </w:p>
        </w:tc>
        <w:tc>
          <w:tcPr>
            <w:tcW w:w="1671"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14.2%</w:t>
            </w:r>
          </w:p>
        </w:tc>
      </w:tr>
      <w:tr w:rsidR="008506E3" w:rsidRPr="00AE49C8" w:rsidTr="001578FF">
        <w:trPr>
          <w:cantSplit/>
          <w:trHeight w:val="288"/>
          <w:tblHeader/>
          <w:jc w:val="center"/>
        </w:trPr>
        <w:tc>
          <w:tcPr>
            <w:tcW w:w="1008"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36 - 40</w:t>
            </w:r>
          </w:p>
        </w:tc>
        <w:tc>
          <w:tcPr>
            <w:tcW w:w="149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410"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11%</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9%</w:t>
            </w:r>
          </w:p>
        </w:tc>
        <w:tc>
          <w:tcPr>
            <w:tcW w:w="1671"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12.1%</w:t>
            </w:r>
          </w:p>
        </w:tc>
      </w:tr>
      <w:tr w:rsidR="008506E3" w:rsidRPr="00AE49C8" w:rsidTr="001578FF">
        <w:trPr>
          <w:cantSplit/>
          <w:trHeight w:val="288"/>
          <w:tblHeader/>
          <w:jc w:val="center"/>
        </w:trPr>
        <w:tc>
          <w:tcPr>
            <w:tcW w:w="1008"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41 - 45</w:t>
            </w:r>
          </w:p>
        </w:tc>
        <w:tc>
          <w:tcPr>
            <w:tcW w:w="149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410"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11%</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17%</w:t>
            </w:r>
          </w:p>
        </w:tc>
        <w:tc>
          <w:tcPr>
            <w:tcW w:w="1671"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12.3%</w:t>
            </w:r>
          </w:p>
        </w:tc>
      </w:tr>
      <w:tr w:rsidR="008506E3" w:rsidRPr="00AE49C8" w:rsidTr="001578FF">
        <w:trPr>
          <w:cantSplit/>
          <w:trHeight w:val="288"/>
          <w:tblHeader/>
          <w:jc w:val="center"/>
        </w:trPr>
        <w:tc>
          <w:tcPr>
            <w:tcW w:w="1008"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46 - 50</w:t>
            </w:r>
          </w:p>
        </w:tc>
        <w:tc>
          <w:tcPr>
            <w:tcW w:w="149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410"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11%</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9%</w:t>
            </w:r>
          </w:p>
        </w:tc>
        <w:tc>
          <w:tcPr>
            <w:tcW w:w="1671"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12.8%</w:t>
            </w:r>
          </w:p>
        </w:tc>
      </w:tr>
      <w:tr w:rsidR="008506E3" w:rsidRPr="00AE49C8" w:rsidTr="001578FF">
        <w:trPr>
          <w:cantSplit/>
          <w:trHeight w:val="288"/>
          <w:tblHeader/>
          <w:jc w:val="center"/>
        </w:trPr>
        <w:tc>
          <w:tcPr>
            <w:tcW w:w="1008"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51 - 55</w:t>
            </w:r>
          </w:p>
        </w:tc>
        <w:tc>
          <w:tcPr>
            <w:tcW w:w="149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410"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25%</w:t>
            </w: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w:t>
            </w: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44%</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17%</w:t>
            </w:r>
          </w:p>
        </w:tc>
        <w:tc>
          <w:tcPr>
            <w:tcW w:w="1671"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11.9%</w:t>
            </w:r>
          </w:p>
        </w:tc>
      </w:tr>
      <w:tr w:rsidR="008506E3" w:rsidRPr="00AE49C8" w:rsidTr="001578FF">
        <w:trPr>
          <w:cantSplit/>
          <w:trHeight w:val="288"/>
          <w:tblHeader/>
          <w:jc w:val="center"/>
        </w:trPr>
        <w:tc>
          <w:tcPr>
            <w:tcW w:w="1008"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56 - 60</w:t>
            </w:r>
          </w:p>
        </w:tc>
        <w:tc>
          <w:tcPr>
            <w:tcW w:w="149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w:t>
            </w:r>
          </w:p>
        </w:tc>
        <w:tc>
          <w:tcPr>
            <w:tcW w:w="1410"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50%</w:t>
            </w: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11%</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w:t>
            </w:r>
          </w:p>
        </w:tc>
        <w:tc>
          <w:tcPr>
            <w:tcW w:w="1671"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9.5%</w:t>
            </w:r>
          </w:p>
        </w:tc>
      </w:tr>
      <w:tr w:rsidR="008506E3" w:rsidRPr="00AE49C8" w:rsidTr="001578FF">
        <w:trPr>
          <w:cantSplit/>
          <w:trHeight w:val="288"/>
          <w:tblHeader/>
          <w:jc w:val="center"/>
        </w:trPr>
        <w:tc>
          <w:tcPr>
            <w:tcW w:w="1008"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61 - 65</w:t>
            </w:r>
          </w:p>
        </w:tc>
        <w:tc>
          <w:tcPr>
            <w:tcW w:w="149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410"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9%</w:t>
            </w:r>
          </w:p>
        </w:tc>
        <w:tc>
          <w:tcPr>
            <w:tcW w:w="1671"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5.5%</w:t>
            </w:r>
          </w:p>
        </w:tc>
      </w:tr>
      <w:tr w:rsidR="008506E3" w:rsidRPr="00AE49C8" w:rsidTr="001578FF">
        <w:trPr>
          <w:cantSplit/>
          <w:trHeight w:val="288"/>
          <w:tblHeader/>
          <w:jc w:val="center"/>
        </w:trPr>
        <w:tc>
          <w:tcPr>
            <w:tcW w:w="1008"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66 - 70</w:t>
            </w:r>
          </w:p>
        </w:tc>
        <w:tc>
          <w:tcPr>
            <w:tcW w:w="149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410"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25%</w:t>
            </w: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217"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11%</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375"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w:t>
            </w:r>
          </w:p>
        </w:tc>
        <w:tc>
          <w:tcPr>
            <w:tcW w:w="1671"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1.2%</w:t>
            </w:r>
          </w:p>
        </w:tc>
      </w:tr>
      <w:tr w:rsidR="008506E3" w:rsidRPr="00AE49C8" w:rsidTr="001578FF">
        <w:trPr>
          <w:cantSplit/>
          <w:trHeight w:val="288"/>
          <w:tblHeader/>
          <w:jc w:val="center"/>
        </w:trPr>
        <w:tc>
          <w:tcPr>
            <w:tcW w:w="1008" w:type="dxa"/>
            <w:shd w:val="clear" w:color="auto" w:fill="auto"/>
            <w:noWrap/>
            <w:vAlign w:val="bottom"/>
            <w:hideMark/>
          </w:tcPr>
          <w:p w:rsidR="008506E3" w:rsidRPr="000C64DA" w:rsidRDefault="008506E3" w:rsidP="008506E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Total</w:t>
            </w:r>
          </w:p>
        </w:tc>
        <w:tc>
          <w:tcPr>
            <w:tcW w:w="1495" w:type="dxa"/>
            <w:shd w:val="clear" w:color="auto" w:fill="auto"/>
            <w:noWrap/>
            <w:vAlign w:val="bottom"/>
            <w:hideMark/>
          </w:tcPr>
          <w:p w:rsidR="008506E3" w:rsidRPr="000C64DA" w:rsidRDefault="008506E3" w:rsidP="008506E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4</w:t>
            </w:r>
          </w:p>
        </w:tc>
        <w:tc>
          <w:tcPr>
            <w:tcW w:w="1410" w:type="dxa"/>
            <w:shd w:val="clear" w:color="auto" w:fill="auto"/>
            <w:noWrap/>
            <w:vAlign w:val="bottom"/>
            <w:hideMark/>
          </w:tcPr>
          <w:p w:rsidR="008506E3" w:rsidRPr="000C64DA" w:rsidRDefault="008506E3" w:rsidP="008506E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100%</w:t>
            </w:r>
          </w:p>
        </w:tc>
        <w:tc>
          <w:tcPr>
            <w:tcW w:w="1217" w:type="dxa"/>
            <w:shd w:val="clear" w:color="auto" w:fill="auto"/>
            <w:noWrap/>
            <w:vAlign w:val="bottom"/>
            <w:hideMark/>
          </w:tcPr>
          <w:p w:rsidR="008506E3" w:rsidRPr="000C64DA" w:rsidRDefault="008506E3" w:rsidP="008506E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9</w:t>
            </w:r>
          </w:p>
        </w:tc>
        <w:tc>
          <w:tcPr>
            <w:tcW w:w="1217" w:type="dxa"/>
            <w:shd w:val="clear" w:color="auto" w:fill="auto"/>
            <w:noWrap/>
            <w:vAlign w:val="bottom"/>
            <w:hideMark/>
          </w:tcPr>
          <w:p w:rsidR="008506E3" w:rsidRPr="000C64DA" w:rsidRDefault="008506E3" w:rsidP="008506E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100%</w:t>
            </w:r>
          </w:p>
        </w:tc>
        <w:tc>
          <w:tcPr>
            <w:tcW w:w="1375" w:type="dxa"/>
            <w:shd w:val="clear" w:color="auto" w:fill="auto"/>
            <w:noWrap/>
            <w:vAlign w:val="bottom"/>
            <w:hideMark/>
          </w:tcPr>
          <w:p w:rsidR="008506E3" w:rsidRPr="000C64DA" w:rsidRDefault="008506E3" w:rsidP="008506E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23</w:t>
            </w:r>
          </w:p>
        </w:tc>
        <w:tc>
          <w:tcPr>
            <w:tcW w:w="1375" w:type="dxa"/>
            <w:shd w:val="clear" w:color="auto" w:fill="auto"/>
            <w:noWrap/>
            <w:vAlign w:val="bottom"/>
            <w:hideMark/>
          </w:tcPr>
          <w:p w:rsidR="008506E3" w:rsidRPr="000C64DA" w:rsidRDefault="008506E3" w:rsidP="008506E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100%</w:t>
            </w:r>
          </w:p>
        </w:tc>
        <w:tc>
          <w:tcPr>
            <w:tcW w:w="1671" w:type="dxa"/>
            <w:shd w:val="clear" w:color="auto" w:fill="auto"/>
            <w:noWrap/>
            <w:vAlign w:val="bottom"/>
            <w:hideMark/>
          </w:tcPr>
          <w:p w:rsidR="008506E3" w:rsidRPr="000C64DA" w:rsidRDefault="008506E3" w:rsidP="008506E3">
            <w:pPr>
              <w:spacing w:after="0" w:line="240" w:lineRule="auto"/>
              <w:rPr>
                <w:rFonts w:eastAsia="Times New Roman"/>
                <w:color w:val="000000"/>
                <w:sz w:val="22"/>
                <w:szCs w:val="24"/>
                <w:lang w:eastAsia="en-GB"/>
              </w:rPr>
            </w:pPr>
          </w:p>
        </w:tc>
      </w:tr>
    </w:tbl>
    <w:p w:rsidR="008506E3" w:rsidRPr="00AE49C8" w:rsidRDefault="008506E3" w:rsidP="0024716C">
      <w:pPr>
        <w:rPr>
          <w:b/>
        </w:rPr>
      </w:pPr>
    </w:p>
    <w:p w:rsidR="008506E3" w:rsidRPr="00AE49C8" w:rsidRDefault="008506E3" w:rsidP="0024716C">
      <w:pPr>
        <w:rPr>
          <w:b/>
        </w:rPr>
      </w:pPr>
      <w:r w:rsidRPr="00AE49C8">
        <w:rPr>
          <w:noProof/>
          <w:lang w:eastAsia="en-GB"/>
        </w:rPr>
        <w:drawing>
          <wp:inline distT="0" distB="0" distL="0" distR="0" wp14:anchorId="64BEE7BA" wp14:editId="0ACCA743">
            <wp:extent cx="5731510" cy="2334243"/>
            <wp:effectExtent l="0" t="0" r="2540" b="0"/>
            <wp:docPr id="15" name="Chart 15" title="Chart showing the representation in harassment, grievance and disciplinary processes by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W w:w="9647" w:type="dxa"/>
        <w:tblInd w:w="93" w:type="dxa"/>
        <w:tblBorders>
          <w:insideH w:val="dotted" w:sz="4" w:space="0" w:color="auto"/>
        </w:tblBorders>
        <w:tblLook w:val="04A0" w:firstRow="1" w:lastRow="0" w:firstColumn="1" w:lastColumn="0" w:noHBand="0" w:noVBand="1"/>
        <w:tblCaption w:val="Table showing the representation in dismissals by age group"/>
      </w:tblPr>
      <w:tblGrid>
        <w:gridCol w:w="1433"/>
        <w:gridCol w:w="1471"/>
        <w:gridCol w:w="1471"/>
        <w:gridCol w:w="1791"/>
        <w:gridCol w:w="1653"/>
        <w:gridCol w:w="1964"/>
      </w:tblGrid>
      <w:tr w:rsidR="008506E3" w:rsidRPr="00AE49C8" w:rsidTr="000C64DA">
        <w:trPr>
          <w:cantSplit/>
          <w:trHeight w:val="288"/>
          <w:tblHeader/>
        </w:trPr>
        <w:tc>
          <w:tcPr>
            <w:tcW w:w="1433"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Age Band</w:t>
            </w:r>
          </w:p>
        </w:tc>
        <w:tc>
          <w:tcPr>
            <w:tcW w:w="1431"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All Dismissals</w:t>
            </w:r>
          </w:p>
        </w:tc>
        <w:tc>
          <w:tcPr>
            <w:tcW w:w="1431"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All Dismissals %</w:t>
            </w:r>
          </w:p>
        </w:tc>
        <w:tc>
          <w:tcPr>
            <w:tcW w:w="1791"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Dismissals (Sickness only)</w:t>
            </w:r>
          </w:p>
        </w:tc>
        <w:tc>
          <w:tcPr>
            <w:tcW w:w="1653"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Dismissals (Sickness only) %</w:t>
            </w:r>
          </w:p>
        </w:tc>
        <w:tc>
          <w:tcPr>
            <w:tcW w:w="1908"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Representation %</w:t>
            </w:r>
          </w:p>
        </w:tc>
      </w:tr>
      <w:tr w:rsidR="008506E3" w:rsidRPr="00AE49C8" w:rsidTr="000C64DA">
        <w:trPr>
          <w:cantSplit/>
          <w:trHeight w:val="288"/>
          <w:tblHeader/>
        </w:trPr>
        <w:tc>
          <w:tcPr>
            <w:tcW w:w="143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lastRenderedPageBreak/>
              <w:t>26 - 30</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w:t>
            </w:r>
          </w:p>
        </w:tc>
        <w:tc>
          <w:tcPr>
            <w:tcW w:w="179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65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90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13.3%</w:t>
            </w:r>
          </w:p>
        </w:tc>
      </w:tr>
      <w:tr w:rsidR="008506E3" w:rsidRPr="00AE49C8" w:rsidTr="000C64DA">
        <w:trPr>
          <w:cantSplit/>
          <w:trHeight w:val="288"/>
          <w:tblHeader/>
        </w:trPr>
        <w:tc>
          <w:tcPr>
            <w:tcW w:w="143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31 - 35</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w:t>
            </w:r>
          </w:p>
        </w:tc>
        <w:tc>
          <w:tcPr>
            <w:tcW w:w="179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65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8%</w:t>
            </w:r>
          </w:p>
        </w:tc>
        <w:tc>
          <w:tcPr>
            <w:tcW w:w="190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14.2%</w:t>
            </w:r>
          </w:p>
        </w:tc>
      </w:tr>
      <w:tr w:rsidR="008506E3" w:rsidRPr="00AE49C8" w:rsidTr="000C64DA">
        <w:trPr>
          <w:cantSplit/>
          <w:trHeight w:val="288"/>
          <w:tblHeader/>
        </w:trPr>
        <w:tc>
          <w:tcPr>
            <w:tcW w:w="143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36 - 40</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w:t>
            </w:r>
          </w:p>
        </w:tc>
        <w:tc>
          <w:tcPr>
            <w:tcW w:w="179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65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8%</w:t>
            </w:r>
          </w:p>
        </w:tc>
        <w:tc>
          <w:tcPr>
            <w:tcW w:w="190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12.1%</w:t>
            </w:r>
          </w:p>
        </w:tc>
      </w:tr>
      <w:tr w:rsidR="008506E3" w:rsidRPr="00AE49C8" w:rsidTr="000C64DA">
        <w:trPr>
          <w:cantSplit/>
          <w:trHeight w:val="288"/>
          <w:tblHeader/>
        </w:trPr>
        <w:tc>
          <w:tcPr>
            <w:tcW w:w="143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41 - 45</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w:t>
            </w:r>
          </w:p>
        </w:tc>
        <w:tc>
          <w:tcPr>
            <w:tcW w:w="179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65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90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12.3%</w:t>
            </w:r>
          </w:p>
        </w:tc>
      </w:tr>
      <w:tr w:rsidR="008506E3" w:rsidRPr="00AE49C8" w:rsidTr="000C64DA">
        <w:trPr>
          <w:cantSplit/>
          <w:trHeight w:val="288"/>
          <w:tblHeader/>
        </w:trPr>
        <w:tc>
          <w:tcPr>
            <w:tcW w:w="143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46 - 50</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w:t>
            </w:r>
          </w:p>
        </w:tc>
        <w:tc>
          <w:tcPr>
            <w:tcW w:w="179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65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90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12.8%</w:t>
            </w:r>
          </w:p>
        </w:tc>
      </w:tr>
      <w:tr w:rsidR="008506E3" w:rsidRPr="00AE49C8" w:rsidTr="000C64DA">
        <w:trPr>
          <w:cantSplit/>
          <w:trHeight w:val="288"/>
          <w:tblHeader/>
        </w:trPr>
        <w:tc>
          <w:tcPr>
            <w:tcW w:w="143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51 - 55</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7</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41%</w:t>
            </w:r>
          </w:p>
        </w:tc>
        <w:tc>
          <w:tcPr>
            <w:tcW w:w="179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7</w:t>
            </w:r>
          </w:p>
        </w:tc>
        <w:tc>
          <w:tcPr>
            <w:tcW w:w="165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54%</w:t>
            </w:r>
          </w:p>
        </w:tc>
        <w:tc>
          <w:tcPr>
            <w:tcW w:w="190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11.9%</w:t>
            </w:r>
          </w:p>
        </w:tc>
      </w:tr>
      <w:tr w:rsidR="008506E3" w:rsidRPr="00AE49C8" w:rsidTr="000C64DA">
        <w:trPr>
          <w:cantSplit/>
          <w:trHeight w:val="288"/>
          <w:tblHeader/>
        </w:trPr>
        <w:tc>
          <w:tcPr>
            <w:tcW w:w="143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56 - 60</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18%</w:t>
            </w:r>
          </w:p>
        </w:tc>
        <w:tc>
          <w:tcPr>
            <w:tcW w:w="179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65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23%</w:t>
            </w:r>
          </w:p>
        </w:tc>
        <w:tc>
          <w:tcPr>
            <w:tcW w:w="190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9.5%</w:t>
            </w:r>
          </w:p>
        </w:tc>
      </w:tr>
      <w:tr w:rsidR="008506E3" w:rsidRPr="00AE49C8" w:rsidTr="000C64DA">
        <w:trPr>
          <w:cantSplit/>
          <w:trHeight w:val="288"/>
          <w:tblHeader/>
        </w:trPr>
        <w:tc>
          <w:tcPr>
            <w:tcW w:w="143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61 - 65</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4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w:t>
            </w:r>
          </w:p>
        </w:tc>
        <w:tc>
          <w:tcPr>
            <w:tcW w:w="179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65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8%</w:t>
            </w:r>
          </w:p>
        </w:tc>
        <w:tc>
          <w:tcPr>
            <w:tcW w:w="190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5.5%</w:t>
            </w:r>
          </w:p>
        </w:tc>
      </w:tr>
      <w:tr w:rsidR="008506E3" w:rsidRPr="00AE49C8" w:rsidTr="000C64DA">
        <w:trPr>
          <w:cantSplit/>
          <w:trHeight w:val="288"/>
          <w:tblHeader/>
        </w:trPr>
        <w:tc>
          <w:tcPr>
            <w:tcW w:w="1433"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431"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17</w:t>
            </w:r>
          </w:p>
        </w:tc>
        <w:tc>
          <w:tcPr>
            <w:tcW w:w="1431"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791"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13</w:t>
            </w:r>
          </w:p>
        </w:tc>
        <w:tc>
          <w:tcPr>
            <w:tcW w:w="1653"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908"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p>
        </w:tc>
      </w:tr>
    </w:tbl>
    <w:p w:rsidR="008506E3" w:rsidRPr="00AE49C8" w:rsidRDefault="008506E3" w:rsidP="0024716C">
      <w:pPr>
        <w:rPr>
          <w:b/>
        </w:rPr>
      </w:pPr>
    </w:p>
    <w:p w:rsidR="008506E3" w:rsidRPr="00AE49C8" w:rsidRDefault="008506E3" w:rsidP="008506E3">
      <w:pPr>
        <w:jc w:val="center"/>
        <w:rPr>
          <w:b/>
        </w:rPr>
      </w:pPr>
      <w:r w:rsidRPr="00AE49C8">
        <w:rPr>
          <w:noProof/>
          <w:lang w:eastAsia="en-GB"/>
        </w:rPr>
        <w:drawing>
          <wp:inline distT="0" distB="0" distL="0" distR="0" wp14:anchorId="68395CE6" wp14:editId="7BADE028">
            <wp:extent cx="5731510" cy="2690013"/>
            <wp:effectExtent l="0" t="0" r="2540" b="0"/>
            <wp:docPr id="10" name="Chart 10" title="Chart showing the representation in dismissals by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506E3" w:rsidRPr="000D2F61" w:rsidRDefault="008506E3" w:rsidP="008506E3">
      <w:r w:rsidRPr="000D2F61">
        <w:t>Observations</w:t>
      </w:r>
    </w:p>
    <w:p w:rsidR="001578FF" w:rsidRPr="00AE49C8" w:rsidRDefault="001578FF" w:rsidP="008506E3">
      <w:r w:rsidRPr="00AE49C8">
        <w:t>When comparing representation in employee relation process to overall workforce representation:</w:t>
      </w:r>
    </w:p>
    <w:p w:rsidR="008506E3" w:rsidRPr="00AE49C8" w:rsidRDefault="001578FF" w:rsidP="001578FF">
      <w:pPr>
        <w:pStyle w:val="ListParagraph"/>
      </w:pPr>
      <w:r w:rsidRPr="00AE49C8">
        <w:t>Those most likely to be impacted by capability (non-underlying health reasons) are staff aged 46+, staff that are least likely to be impacted are staff aged &lt;20-45.</w:t>
      </w:r>
    </w:p>
    <w:p w:rsidR="001578FF" w:rsidRPr="00AE49C8" w:rsidRDefault="001578FF" w:rsidP="001578FF">
      <w:pPr>
        <w:pStyle w:val="ListParagraph"/>
      </w:pPr>
      <w:r w:rsidRPr="00AE49C8">
        <w:t>Those most likely to be impacted by capability (underlying health reasons) are staff aged 26-30 and 41-45.  Those least likely to be impacted &lt;20-25 and those aged 61+.</w:t>
      </w:r>
    </w:p>
    <w:p w:rsidR="00BD0757" w:rsidRPr="00AE49C8" w:rsidRDefault="00BD0757" w:rsidP="001578FF">
      <w:pPr>
        <w:pStyle w:val="ListParagraph"/>
      </w:pPr>
      <w:r w:rsidRPr="00AE49C8">
        <w:t>Groups most likely to be impacted by harassment cases are 51-60 and 66-70.</w:t>
      </w:r>
    </w:p>
    <w:p w:rsidR="00BD0757" w:rsidRPr="00AE49C8" w:rsidRDefault="00BD0757" w:rsidP="001578FF">
      <w:pPr>
        <w:pStyle w:val="ListParagraph"/>
      </w:pPr>
      <w:r w:rsidRPr="00AE49C8">
        <w:t>Groups with a higher representation in grievances 51-60 and 66-70, staff aged 36-50 have either a broadly similar or lower representation.</w:t>
      </w:r>
    </w:p>
    <w:p w:rsidR="000F49E3" w:rsidRPr="00AE49C8" w:rsidRDefault="000F49E3" w:rsidP="001578FF">
      <w:pPr>
        <w:pStyle w:val="ListParagraph"/>
      </w:pPr>
      <w:r w:rsidRPr="00AE49C8">
        <w:t>Groups with a higher representation in disciplinary processes include 21-25, 41-45, 51-55 and 61-70.  All other groups are either not represented or have a lower than expected representation.</w:t>
      </w:r>
    </w:p>
    <w:p w:rsidR="000F49E3" w:rsidRPr="00AE49C8" w:rsidRDefault="000F49E3" w:rsidP="001578FF">
      <w:pPr>
        <w:pStyle w:val="ListParagraph"/>
      </w:pPr>
      <w:r w:rsidRPr="00AE49C8">
        <w:t>Those aged 51-65 appear to have a higher representation in dismissals; all other groups are either not represented or have a lower than expected representation.</w:t>
      </w:r>
    </w:p>
    <w:p w:rsidR="008506E3" w:rsidRPr="00AE49C8" w:rsidRDefault="008506E3" w:rsidP="008506E3">
      <w:pPr>
        <w:rPr>
          <w:b/>
        </w:rPr>
      </w:pPr>
      <w:r w:rsidRPr="00AE49C8">
        <w:rPr>
          <w:b/>
        </w:rPr>
        <w:lastRenderedPageBreak/>
        <w:t>WSHT</w:t>
      </w:r>
    </w:p>
    <w:tbl>
      <w:tblPr>
        <w:tblW w:w="9793" w:type="dxa"/>
        <w:jc w:val="center"/>
        <w:tblBorders>
          <w:insideH w:val="dotted" w:sz="4" w:space="0" w:color="auto"/>
        </w:tblBorders>
        <w:tblLook w:val="04A0" w:firstRow="1" w:lastRow="0" w:firstColumn="1" w:lastColumn="0" w:noHBand="0" w:noVBand="1"/>
        <w:tblCaption w:val="Table showing the representation in grievances and disciplinary cases by age group"/>
      </w:tblPr>
      <w:tblGrid>
        <w:gridCol w:w="1380"/>
        <w:gridCol w:w="1377"/>
        <w:gridCol w:w="1377"/>
        <w:gridCol w:w="1577"/>
        <w:gridCol w:w="2307"/>
        <w:gridCol w:w="2297"/>
      </w:tblGrid>
      <w:tr w:rsidR="00565954" w:rsidRPr="00AE49C8" w:rsidTr="000F49E3">
        <w:trPr>
          <w:cantSplit/>
          <w:trHeight w:val="300"/>
          <w:tblHeader/>
          <w:jc w:val="center"/>
        </w:trPr>
        <w:tc>
          <w:tcPr>
            <w:tcW w:w="1380"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 xml:space="preserve">Age Band </w:t>
            </w:r>
          </w:p>
        </w:tc>
        <w:tc>
          <w:tcPr>
            <w:tcW w:w="1217"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Grievance Cases</w:t>
            </w:r>
          </w:p>
        </w:tc>
        <w:tc>
          <w:tcPr>
            <w:tcW w:w="1217"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Grievance Cases %</w:t>
            </w:r>
          </w:p>
        </w:tc>
        <w:tc>
          <w:tcPr>
            <w:tcW w:w="1375"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Disciplinary Cases</w:t>
            </w:r>
          </w:p>
        </w:tc>
        <w:tc>
          <w:tcPr>
            <w:tcW w:w="2307"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Disciplinary Cases %</w:t>
            </w:r>
          </w:p>
        </w:tc>
        <w:tc>
          <w:tcPr>
            <w:tcW w:w="2297"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w:t>
            </w:r>
            <w:r w:rsidR="001578FF" w:rsidRPr="00AE49C8">
              <w:rPr>
                <w:rFonts w:eastAsia="Times New Roman"/>
                <w:b/>
                <w:bCs/>
                <w:color w:val="000000"/>
                <w:szCs w:val="24"/>
                <w:lang w:eastAsia="en-GB"/>
              </w:rPr>
              <w:t>t</w:t>
            </w:r>
            <w:r w:rsidRPr="00AE49C8">
              <w:rPr>
                <w:rFonts w:eastAsia="Times New Roman"/>
                <w:b/>
                <w:bCs/>
                <w:color w:val="000000"/>
                <w:szCs w:val="24"/>
                <w:lang w:eastAsia="en-GB"/>
              </w:rPr>
              <w:t>ation %</w:t>
            </w:r>
          </w:p>
        </w:tc>
      </w:tr>
      <w:tr w:rsidR="00565954" w:rsidRPr="00AE49C8" w:rsidTr="000F49E3">
        <w:trPr>
          <w:cantSplit/>
          <w:trHeight w:val="300"/>
          <w:tblHeader/>
          <w:jc w:val="center"/>
        </w:trPr>
        <w:tc>
          <w:tcPr>
            <w:tcW w:w="138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Under 20</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3.6%</w:t>
            </w:r>
          </w:p>
        </w:tc>
        <w:tc>
          <w:tcPr>
            <w:tcW w:w="137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230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5.7%</w:t>
            </w:r>
          </w:p>
        </w:tc>
        <w:tc>
          <w:tcPr>
            <w:tcW w:w="229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0.8%</w:t>
            </w:r>
          </w:p>
        </w:tc>
      </w:tr>
      <w:tr w:rsidR="00565954" w:rsidRPr="00AE49C8" w:rsidTr="000F49E3">
        <w:trPr>
          <w:cantSplit/>
          <w:trHeight w:val="300"/>
          <w:tblHeader/>
          <w:jc w:val="center"/>
        </w:trPr>
        <w:tc>
          <w:tcPr>
            <w:tcW w:w="138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21-25</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p>
        </w:tc>
        <w:tc>
          <w:tcPr>
            <w:tcW w:w="137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230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5.7%</w:t>
            </w:r>
          </w:p>
        </w:tc>
        <w:tc>
          <w:tcPr>
            <w:tcW w:w="229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5.9%</w:t>
            </w:r>
          </w:p>
        </w:tc>
      </w:tr>
      <w:tr w:rsidR="00565954" w:rsidRPr="00AE49C8" w:rsidTr="000F49E3">
        <w:trPr>
          <w:cantSplit/>
          <w:trHeight w:val="300"/>
          <w:tblHeader/>
          <w:jc w:val="center"/>
        </w:trPr>
        <w:tc>
          <w:tcPr>
            <w:tcW w:w="138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26-30</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3.6%</w:t>
            </w:r>
          </w:p>
        </w:tc>
        <w:tc>
          <w:tcPr>
            <w:tcW w:w="137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w:t>
            </w:r>
          </w:p>
        </w:tc>
        <w:tc>
          <w:tcPr>
            <w:tcW w:w="230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11.3%</w:t>
            </w:r>
          </w:p>
        </w:tc>
        <w:tc>
          <w:tcPr>
            <w:tcW w:w="229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12.4%</w:t>
            </w:r>
          </w:p>
        </w:tc>
      </w:tr>
      <w:tr w:rsidR="00565954" w:rsidRPr="00AE49C8" w:rsidTr="000F49E3">
        <w:trPr>
          <w:cantSplit/>
          <w:trHeight w:val="300"/>
          <w:tblHeader/>
          <w:jc w:val="center"/>
        </w:trPr>
        <w:tc>
          <w:tcPr>
            <w:tcW w:w="138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31-35</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3.6%</w:t>
            </w:r>
          </w:p>
        </w:tc>
        <w:tc>
          <w:tcPr>
            <w:tcW w:w="137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230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9.4%</w:t>
            </w:r>
          </w:p>
        </w:tc>
        <w:tc>
          <w:tcPr>
            <w:tcW w:w="229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13.6%</w:t>
            </w:r>
          </w:p>
        </w:tc>
      </w:tr>
      <w:tr w:rsidR="00565954" w:rsidRPr="00AE49C8" w:rsidTr="000F49E3">
        <w:trPr>
          <w:cantSplit/>
          <w:trHeight w:val="300"/>
          <w:tblHeader/>
          <w:jc w:val="center"/>
        </w:trPr>
        <w:tc>
          <w:tcPr>
            <w:tcW w:w="138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36-40</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10.7%</w:t>
            </w:r>
          </w:p>
        </w:tc>
        <w:tc>
          <w:tcPr>
            <w:tcW w:w="137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230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7.5%</w:t>
            </w:r>
          </w:p>
        </w:tc>
        <w:tc>
          <w:tcPr>
            <w:tcW w:w="229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11.4%</w:t>
            </w:r>
          </w:p>
        </w:tc>
      </w:tr>
      <w:tr w:rsidR="00565954" w:rsidRPr="00AE49C8" w:rsidTr="000F49E3">
        <w:trPr>
          <w:cantSplit/>
          <w:trHeight w:val="300"/>
          <w:tblHeader/>
          <w:jc w:val="center"/>
        </w:trPr>
        <w:tc>
          <w:tcPr>
            <w:tcW w:w="138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41-45</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17.9%</w:t>
            </w:r>
          </w:p>
        </w:tc>
        <w:tc>
          <w:tcPr>
            <w:tcW w:w="137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13</w:t>
            </w:r>
          </w:p>
        </w:tc>
        <w:tc>
          <w:tcPr>
            <w:tcW w:w="230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24.5%</w:t>
            </w:r>
          </w:p>
        </w:tc>
        <w:tc>
          <w:tcPr>
            <w:tcW w:w="229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11.9%</w:t>
            </w:r>
          </w:p>
        </w:tc>
      </w:tr>
      <w:tr w:rsidR="00565954" w:rsidRPr="00AE49C8" w:rsidTr="000F49E3">
        <w:trPr>
          <w:cantSplit/>
          <w:trHeight w:val="300"/>
          <w:tblHeader/>
          <w:jc w:val="center"/>
        </w:trPr>
        <w:tc>
          <w:tcPr>
            <w:tcW w:w="138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46-50</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14.3%</w:t>
            </w:r>
          </w:p>
        </w:tc>
        <w:tc>
          <w:tcPr>
            <w:tcW w:w="137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230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18.9%</w:t>
            </w:r>
          </w:p>
        </w:tc>
        <w:tc>
          <w:tcPr>
            <w:tcW w:w="229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13.2%</w:t>
            </w:r>
          </w:p>
        </w:tc>
      </w:tr>
      <w:tr w:rsidR="00565954" w:rsidRPr="00AE49C8" w:rsidTr="000F49E3">
        <w:trPr>
          <w:cantSplit/>
          <w:trHeight w:val="300"/>
          <w:tblHeader/>
          <w:jc w:val="center"/>
        </w:trPr>
        <w:tc>
          <w:tcPr>
            <w:tcW w:w="138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51-55</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21.4%</w:t>
            </w:r>
          </w:p>
        </w:tc>
        <w:tc>
          <w:tcPr>
            <w:tcW w:w="137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230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9.4%</w:t>
            </w:r>
          </w:p>
        </w:tc>
        <w:tc>
          <w:tcPr>
            <w:tcW w:w="229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12.1%</w:t>
            </w:r>
          </w:p>
        </w:tc>
      </w:tr>
      <w:tr w:rsidR="00565954" w:rsidRPr="00AE49C8" w:rsidTr="000F49E3">
        <w:trPr>
          <w:cantSplit/>
          <w:trHeight w:val="300"/>
          <w:tblHeader/>
          <w:jc w:val="center"/>
        </w:trPr>
        <w:tc>
          <w:tcPr>
            <w:tcW w:w="138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56-60</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14.3%</w:t>
            </w:r>
          </w:p>
        </w:tc>
        <w:tc>
          <w:tcPr>
            <w:tcW w:w="137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230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5.7%</w:t>
            </w:r>
          </w:p>
        </w:tc>
        <w:tc>
          <w:tcPr>
            <w:tcW w:w="229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10.5%</w:t>
            </w:r>
          </w:p>
        </w:tc>
      </w:tr>
      <w:tr w:rsidR="00565954" w:rsidRPr="00AE49C8" w:rsidTr="000F49E3">
        <w:trPr>
          <w:cantSplit/>
          <w:trHeight w:val="300"/>
          <w:tblHeader/>
          <w:jc w:val="center"/>
        </w:trPr>
        <w:tc>
          <w:tcPr>
            <w:tcW w:w="138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61-65</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10.7%</w:t>
            </w:r>
          </w:p>
        </w:tc>
        <w:tc>
          <w:tcPr>
            <w:tcW w:w="137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p>
        </w:tc>
        <w:tc>
          <w:tcPr>
            <w:tcW w:w="230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1.9%</w:t>
            </w:r>
          </w:p>
        </w:tc>
        <w:tc>
          <w:tcPr>
            <w:tcW w:w="229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6.1%</w:t>
            </w:r>
          </w:p>
        </w:tc>
      </w:tr>
      <w:tr w:rsidR="00565954" w:rsidRPr="00AE49C8" w:rsidTr="000F49E3">
        <w:trPr>
          <w:cantSplit/>
          <w:trHeight w:val="300"/>
          <w:tblHeader/>
          <w:jc w:val="center"/>
        </w:trPr>
        <w:tc>
          <w:tcPr>
            <w:tcW w:w="1380"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71+</w:t>
            </w: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p>
        </w:tc>
        <w:tc>
          <w:tcPr>
            <w:tcW w:w="121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p>
        </w:tc>
        <w:tc>
          <w:tcPr>
            <w:tcW w:w="1375"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230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1.9%</w:t>
            </w:r>
          </w:p>
        </w:tc>
        <w:tc>
          <w:tcPr>
            <w:tcW w:w="229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0.6%</w:t>
            </w:r>
          </w:p>
        </w:tc>
      </w:tr>
      <w:tr w:rsidR="00565954" w:rsidRPr="00AE49C8" w:rsidTr="000F49E3">
        <w:trPr>
          <w:cantSplit/>
          <w:trHeight w:val="300"/>
          <w:tblHeader/>
          <w:jc w:val="center"/>
        </w:trPr>
        <w:tc>
          <w:tcPr>
            <w:tcW w:w="1380"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217"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28</w:t>
            </w:r>
          </w:p>
        </w:tc>
        <w:tc>
          <w:tcPr>
            <w:tcW w:w="1217"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375"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53</w:t>
            </w:r>
          </w:p>
        </w:tc>
        <w:tc>
          <w:tcPr>
            <w:tcW w:w="2307"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2297"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p>
        </w:tc>
      </w:tr>
    </w:tbl>
    <w:p w:rsidR="008506E3" w:rsidRPr="00AE49C8" w:rsidRDefault="008506E3" w:rsidP="008506E3">
      <w:pPr>
        <w:rPr>
          <w:b/>
        </w:rPr>
      </w:pPr>
    </w:p>
    <w:p w:rsidR="008506E3" w:rsidRPr="00AE49C8" w:rsidRDefault="008506E3" w:rsidP="008506E3">
      <w:pPr>
        <w:rPr>
          <w:b/>
        </w:rPr>
      </w:pPr>
      <w:r w:rsidRPr="00AE49C8">
        <w:rPr>
          <w:noProof/>
          <w:lang w:eastAsia="en-GB"/>
        </w:rPr>
        <w:drawing>
          <wp:inline distT="0" distB="0" distL="0" distR="0" wp14:anchorId="587D615B" wp14:editId="5D0CBF71">
            <wp:extent cx="5731510" cy="2704709"/>
            <wp:effectExtent l="0" t="0" r="2540" b="635"/>
            <wp:docPr id="16" name="Chart 16" title="Chart showing the representation in grievances and disciplinary cases by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506E3" w:rsidRPr="000D2F61" w:rsidRDefault="008506E3" w:rsidP="008506E3">
      <w:r w:rsidRPr="000D2F61">
        <w:t>Observations</w:t>
      </w:r>
    </w:p>
    <w:p w:rsidR="008506E3" w:rsidRPr="00AE49C8" w:rsidRDefault="000F49E3" w:rsidP="000F49E3">
      <w:r w:rsidRPr="00AE49C8">
        <w:t>Compar</w:t>
      </w:r>
      <w:r w:rsidR="000D2F61">
        <w:t>ed</w:t>
      </w:r>
      <w:r w:rsidRPr="00AE49C8">
        <w:t xml:space="preserve"> to the overall representation in the workforce:</w:t>
      </w:r>
    </w:p>
    <w:p w:rsidR="000F49E3" w:rsidRPr="00AE49C8" w:rsidRDefault="000F49E3" w:rsidP="000F49E3">
      <w:pPr>
        <w:pStyle w:val="ListParagraph"/>
      </w:pPr>
      <w:r w:rsidRPr="00AE49C8">
        <w:t>Those aged &lt;20 and 41-65 have a higher than expected representation in grievance cases; all other groups are either not represented or have a lower than expected representation.</w:t>
      </w:r>
    </w:p>
    <w:p w:rsidR="000F49E3" w:rsidRPr="00AE49C8" w:rsidRDefault="000F49E3" w:rsidP="000F49E3">
      <w:pPr>
        <w:pStyle w:val="ListParagraph"/>
      </w:pPr>
      <w:r w:rsidRPr="00AE49C8">
        <w:t>Those aged &lt;20 and 41-50 and 71+ have a higher than expected representation in disciplinary cases; all other groups are either not represented or have a lower than expected representation.</w:t>
      </w:r>
    </w:p>
    <w:p w:rsidR="00C92A79" w:rsidRDefault="00C92A79">
      <w:pPr>
        <w:widowControl w:val="0"/>
        <w:rPr>
          <w:rFonts w:eastAsiaTheme="majorEastAsia"/>
          <w:b/>
          <w:bCs/>
          <w:color w:val="0070C0"/>
        </w:rPr>
      </w:pPr>
      <w:r>
        <w:br w:type="page"/>
      </w:r>
    </w:p>
    <w:p w:rsidR="008506E3" w:rsidRPr="00AE49C8" w:rsidRDefault="008506E3" w:rsidP="000F49E3">
      <w:pPr>
        <w:pStyle w:val="Heading3"/>
      </w:pPr>
      <w:bookmarkStart w:id="37" w:name="_Toc88633984"/>
      <w:r w:rsidRPr="00AE49C8">
        <w:lastRenderedPageBreak/>
        <w:t>Leavers broken down by age</w:t>
      </w:r>
      <w:bookmarkEnd w:id="37"/>
    </w:p>
    <w:p w:rsidR="00895BEF" w:rsidRPr="00AE49C8" w:rsidRDefault="00895BEF" w:rsidP="008506E3">
      <w:pPr>
        <w:rPr>
          <w:b/>
        </w:rPr>
      </w:pPr>
      <w:r w:rsidRPr="00AE49C8">
        <w:rPr>
          <w:b/>
        </w:rPr>
        <w:t>BSUH</w:t>
      </w:r>
    </w:p>
    <w:tbl>
      <w:tblPr>
        <w:tblW w:w="8873" w:type="dxa"/>
        <w:jc w:val="center"/>
        <w:tblBorders>
          <w:insideH w:val="dotted" w:sz="4" w:space="0" w:color="auto"/>
        </w:tblBorders>
        <w:tblLook w:val="04A0" w:firstRow="1" w:lastRow="0" w:firstColumn="1" w:lastColumn="0" w:noHBand="0" w:noVBand="1"/>
        <w:tblCaption w:val="Table showing the representation of leavers by age."/>
      </w:tblPr>
      <w:tblGrid>
        <w:gridCol w:w="1460"/>
        <w:gridCol w:w="1840"/>
        <w:gridCol w:w="1763"/>
        <w:gridCol w:w="1831"/>
        <w:gridCol w:w="1979"/>
      </w:tblGrid>
      <w:tr w:rsidR="008506E3" w:rsidRPr="00AE49C8" w:rsidTr="000F49E3">
        <w:trPr>
          <w:cantSplit/>
          <w:trHeight w:val="288"/>
          <w:tblHeader/>
          <w:jc w:val="center"/>
        </w:trPr>
        <w:tc>
          <w:tcPr>
            <w:tcW w:w="1460"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Age Band</w:t>
            </w:r>
          </w:p>
        </w:tc>
        <w:tc>
          <w:tcPr>
            <w:tcW w:w="1840"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BSUH Leavers</w:t>
            </w:r>
          </w:p>
        </w:tc>
        <w:tc>
          <w:tcPr>
            <w:tcW w:w="1763"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BSUH Leavers (%)</w:t>
            </w:r>
          </w:p>
        </w:tc>
        <w:tc>
          <w:tcPr>
            <w:tcW w:w="1831"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in Workforce</w:t>
            </w:r>
          </w:p>
        </w:tc>
        <w:tc>
          <w:tcPr>
            <w:tcW w:w="1979" w:type="dxa"/>
            <w:shd w:val="clear" w:color="auto" w:fill="auto"/>
            <w:noWrap/>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 in Workforce</w:t>
            </w:r>
          </w:p>
        </w:tc>
      </w:tr>
      <w:tr w:rsidR="008506E3" w:rsidRPr="00AE49C8" w:rsidTr="000F49E3">
        <w:trPr>
          <w:cantSplit/>
          <w:trHeight w:val="288"/>
          <w:tblHeader/>
          <w:jc w:val="center"/>
        </w:trPr>
        <w:tc>
          <w:tcPr>
            <w:tcW w:w="146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Under 20</w:t>
            </w:r>
          </w:p>
        </w:tc>
        <w:tc>
          <w:tcPr>
            <w:tcW w:w="184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16</w:t>
            </w:r>
          </w:p>
        </w:tc>
        <w:tc>
          <w:tcPr>
            <w:tcW w:w="17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18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41</w:t>
            </w:r>
          </w:p>
        </w:tc>
        <w:tc>
          <w:tcPr>
            <w:tcW w:w="1979"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0.5%</w:t>
            </w:r>
          </w:p>
        </w:tc>
      </w:tr>
      <w:tr w:rsidR="008506E3" w:rsidRPr="00AE49C8" w:rsidTr="000F49E3">
        <w:trPr>
          <w:cantSplit/>
          <w:trHeight w:val="288"/>
          <w:tblHeader/>
          <w:jc w:val="center"/>
        </w:trPr>
        <w:tc>
          <w:tcPr>
            <w:tcW w:w="146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21-25</w:t>
            </w:r>
          </w:p>
        </w:tc>
        <w:tc>
          <w:tcPr>
            <w:tcW w:w="184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194</w:t>
            </w:r>
          </w:p>
        </w:tc>
        <w:tc>
          <w:tcPr>
            <w:tcW w:w="17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12.7%</w:t>
            </w:r>
          </w:p>
        </w:tc>
        <w:tc>
          <w:tcPr>
            <w:tcW w:w="18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563</w:t>
            </w:r>
          </w:p>
        </w:tc>
        <w:tc>
          <w:tcPr>
            <w:tcW w:w="1979"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6.3%</w:t>
            </w:r>
          </w:p>
        </w:tc>
      </w:tr>
      <w:tr w:rsidR="008506E3" w:rsidRPr="00AE49C8" w:rsidTr="000F49E3">
        <w:trPr>
          <w:cantSplit/>
          <w:trHeight w:val="288"/>
          <w:tblHeader/>
          <w:jc w:val="center"/>
        </w:trPr>
        <w:tc>
          <w:tcPr>
            <w:tcW w:w="146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26-30</w:t>
            </w:r>
          </w:p>
        </w:tc>
        <w:tc>
          <w:tcPr>
            <w:tcW w:w="184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352</w:t>
            </w:r>
          </w:p>
        </w:tc>
        <w:tc>
          <w:tcPr>
            <w:tcW w:w="17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23.1%</w:t>
            </w:r>
          </w:p>
        </w:tc>
        <w:tc>
          <w:tcPr>
            <w:tcW w:w="18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1177</w:t>
            </w:r>
          </w:p>
        </w:tc>
        <w:tc>
          <w:tcPr>
            <w:tcW w:w="1979"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13.3%</w:t>
            </w:r>
          </w:p>
        </w:tc>
      </w:tr>
      <w:tr w:rsidR="008506E3" w:rsidRPr="00AE49C8" w:rsidTr="000F49E3">
        <w:trPr>
          <w:cantSplit/>
          <w:trHeight w:val="288"/>
          <w:tblHeader/>
          <w:jc w:val="center"/>
        </w:trPr>
        <w:tc>
          <w:tcPr>
            <w:tcW w:w="146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31-35</w:t>
            </w:r>
          </w:p>
        </w:tc>
        <w:tc>
          <w:tcPr>
            <w:tcW w:w="184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267</w:t>
            </w:r>
          </w:p>
        </w:tc>
        <w:tc>
          <w:tcPr>
            <w:tcW w:w="17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17.5%</w:t>
            </w:r>
          </w:p>
        </w:tc>
        <w:tc>
          <w:tcPr>
            <w:tcW w:w="18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1263</w:t>
            </w:r>
          </w:p>
        </w:tc>
        <w:tc>
          <w:tcPr>
            <w:tcW w:w="1979"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14.2%</w:t>
            </w:r>
          </w:p>
        </w:tc>
      </w:tr>
      <w:tr w:rsidR="008506E3" w:rsidRPr="00AE49C8" w:rsidTr="000F49E3">
        <w:trPr>
          <w:cantSplit/>
          <w:trHeight w:val="288"/>
          <w:tblHeader/>
          <w:jc w:val="center"/>
        </w:trPr>
        <w:tc>
          <w:tcPr>
            <w:tcW w:w="146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36-40</w:t>
            </w:r>
          </w:p>
        </w:tc>
        <w:tc>
          <w:tcPr>
            <w:tcW w:w="184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170</w:t>
            </w:r>
          </w:p>
        </w:tc>
        <w:tc>
          <w:tcPr>
            <w:tcW w:w="17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11.1%</w:t>
            </w:r>
          </w:p>
        </w:tc>
        <w:tc>
          <w:tcPr>
            <w:tcW w:w="18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1075</w:t>
            </w:r>
          </w:p>
        </w:tc>
        <w:tc>
          <w:tcPr>
            <w:tcW w:w="1979"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12.1%</w:t>
            </w:r>
          </w:p>
        </w:tc>
      </w:tr>
      <w:tr w:rsidR="008506E3" w:rsidRPr="00AE49C8" w:rsidTr="000F49E3">
        <w:trPr>
          <w:cantSplit/>
          <w:trHeight w:val="288"/>
          <w:tblHeader/>
          <w:jc w:val="center"/>
        </w:trPr>
        <w:tc>
          <w:tcPr>
            <w:tcW w:w="146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41-45</w:t>
            </w:r>
          </w:p>
        </w:tc>
        <w:tc>
          <w:tcPr>
            <w:tcW w:w="184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106</w:t>
            </w:r>
          </w:p>
        </w:tc>
        <w:tc>
          <w:tcPr>
            <w:tcW w:w="17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6.9%</w:t>
            </w:r>
          </w:p>
        </w:tc>
        <w:tc>
          <w:tcPr>
            <w:tcW w:w="18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1088</w:t>
            </w:r>
          </w:p>
        </w:tc>
        <w:tc>
          <w:tcPr>
            <w:tcW w:w="1979"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12.3%</w:t>
            </w:r>
          </w:p>
        </w:tc>
      </w:tr>
      <w:tr w:rsidR="008506E3" w:rsidRPr="00AE49C8" w:rsidTr="000F49E3">
        <w:trPr>
          <w:cantSplit/>
          <w:trHeight w:val="288"/>
          <w:tblHeader/>
          <w:jc w:val="center"/>
        </w:trPr>
        <w:tc>
          <w:tcPr>
            <w:tcW w:w="146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46-50</w:t>
            </w:r>
          </w:p>
        </w:tc>
        <w:tc>
          <w:tcPr>
            <w:tcW w:w="184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87</w:t>
            </w:r>
          </w:p>
        </w:tc>
        <w:tc>
          <w:tcPr>
            <w:tcW w:w="17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5.7%</w:t>
            </w:r>
          </w:p>
        </w:tc>
        <w:tc>
          <w:tcPr>
            <w:tcW w:w="18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1137</w:t>
            </w:r>
          </w:p>
        </w:tc>
        <w:tc>
          <w:tcPr>
            <w:tcW w:w="1979"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12.8%</w:t>
            </w:r>
          </w:p>
        </w:tc>
      </w:tr>
      <w:tr w:rsidR="008506E3" w:rsidRPr="00AE49C8" w:rsidTr="000F49E3">
        <w:trPr>
          <w:cantSplit/>
          <w:trHeight w:val="288"/>
          <w:tblHeader/>
          <w:jc w:val="center"/>
        </w:trPr>
        <w:tc>
          <w:tcPr>
            <w:tcW w:w="146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51-55</w:t>
            </w:r>
          </w:p>
        </w:tc>
        <w:tc>
          <w:tcPr>
            <w:tcW w:w="184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80</w:t>
            </w:r>
          </w:p>
        </w:tc>
        <w:tc>
          <w:tcPr>
            <w:tcW w:w="17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5.2%</w:t>
            </w:r>
          </w:p>
        </w:tc>
        <w:tc>
          <w:tcPr>
            <w:tcW w:w="18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1054</w:t>
            </w:r>
          </w:p>
        </w:tc>
        <w:tc>
          <w:tcPr>
            <w:tcW w:w="1979"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11.9%</w:t>
            </w:r>
          </w:p>
        </w:tc>
      </w:tr>
      <w:tr w:rsidR="008506E3" w:rsidRPr="00AE49C8" w:rsidTr="000F49E3">
        <w:trPr>
          <w:cantSplit/>
          <w:trHeight w:val="288"/>
          <w:tblHeader/>
          <w:jc w:val="center"/>
        </w:trPr>
        <w:tc>
          <w:tcPr>
            <w:tcW w:w="146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56-60</w:t>
            </w:r>
          </w:p>
        </w:tc>
        <w:tc>
          <w:tcPr>
            <w:tcW w:w="184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99</w:t>
            </w:r>
          </w:p>
        </w:tc>
        <w:tc>
          <w:tcPr>
            <w:tcW w:w="17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6.5%</w:t>
            </w:r>
          </w:p>
        </w:tc>
        <w:tc>
          <w:tcPr>
            <w:tcW w:w="18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841</w:t>
            </w:r>
          </w:p>
        </w:tc>
        <w:tc>
          <w:tcPr>
            <w:tcW w:w="1979"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9.5%</w:t>
            </w:r>
          </w:p>
        </w:tc>
      </w:tr>
      <w:tr w:rsidR="008506E3" w:rsidRPr="00AE49C8" w:rsidTr="000F49E3">
        <w:trPr>
          <w:cantSplit/>
          <w:trHeight w:val="288"/>
          <w:tblHeader/>
          <w:jc w:val="center"/>
        </w:trPr>
        <w:tc>
          <w:tcPr>
            <w:tcW w:w="146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61-65</w:t>
            </w:r>
          </w:p>
        </w:tc>
        <w:tc>
          <w:tcPr>
            <w:tcW w:w="184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7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6.5%</w:t>
            </w:r>
          </w:p>
        </w:tc>
        <w:tc>
          <w:tcPr>
            <w:tcW w:w="18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485</w:t>
            </w:r>
          </w:p>
        </w:tc>
        <w:tc>
          <w:tcPr>
            <w:tcW w:w="1979"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5.5%</w:t>
            </w:r>
          </w:p>
        </w:tc>
      </w:tr>
      <w:tr w:rsidR="008506E3" w:rsidRPr="00AE49C8" w:rsidTr="000F49E3">
        <w:trPr>
          <w:cantSplit/>
          <w:trHeight w:val="288"/>
          <w:tblHeader/>
          <w:jc w:val="center"/>
        </w:trPr>
        <w:tc>
          <w:tcPr>
            <w:tcW w:w="146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66-70</w:t>
            </w:r>
          </w:p>
        </w:tc>
        <w:tc>
          <w:tcPr>
            <w:tcW w:w="184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41</w:t>
            </w:r>
          </w:p>
        </w:tc>
        <w:tc>
          <w:tcPr>
            <w:tcW w:w="17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2.7%</w:t>
            </w:r>
          </w:p>
        </w:tc>
        <w:tc>
          <w:tcPr>
            <w:tcW w:w="18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104</w:t>
            </w:r>
          </w:p>
        </w:tc>
        <w:tc>
          <w:tcPr>
            <w:tcW w:w="1979"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1.2%</w:t>
            </w:r>
          </w:p>
        </w:tc>
      </w:tr>
      <w:tr w:rsidR="008506E3" w:rsidRPr="00AE49C8" w:rsidTr="000F49E3">
        <w:trPr>
          <w:cantSplit/>
          <w:trHeight w:val="288"/>
          <w:tblHeader/>
          <w:jc w:val="center"/>
        </w:trPr>
        <w:tc>
          <w:tcPr>
            <w:tcW w:w="146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 xml:space="preserve">Over 71 </w:t>
            </w:r>
          </w:p>
        </w:tc>
        <w:tc>
          <w:tcPr>
            <w:tcW w:w="1840" w:type="dxa"/>
            <w:shd w:val="clear" w:color="auto" w:fill="auto"/>
            <w:noWrap/>
            <w:vAlign w:val="center"/>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763"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1831"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44</w:t>
            </w:r>
          </w:p>
        </w:tc>
        <w:tc>
          <w:tcPr>
            <w:tcW w:w="1979" w:type="dxa"/>
            <w:shd w:val="clear" w:color="auto" w:fill="auto"/>
            <w:noWrap/>
            <w:vAlign w:val="bottom"/>
            <w:hideMark/>
          </w:tcPr>
          <w:p w:rsidR="008506E3" w:rsidRPr="00AE49C8" w:rsidRDefault="008506E3" w:rsidP="008506E3">
            <w:pPr>
              <w:spacing w:after="0" w:line="240" w:lineRule="auto"/>
              <w:rPr>
                <w:rFonts w:eastAsia="Times New Roman"/>
                <w:color w:val="000000"/>
                <w:szCs w:val="24"/>
                <w:lang w:eastAsia="en-GB"/>
              </w:rPr>
            </w:pPr>
            <w:r w:rsidRPr="00AE49C8">
              <w:rPr>
                <w:rFonts w:eastAsia="Times New Roman"/>
                <w:color w:val="000000"/>
                <w:szCs w:val="24"/>
                <w:lang w:eastAsia="en-GB"/>
              </w:rPr>
              <w:t>0.5%</w:t>
            </w:r>
          </w:p>
        </w:tc>
      </w:tr>
      <w:tr w:rsidR="008506E3" w:rsidRPr="00AE49C8" w:rsidTr="000F49E3">
        <w:trPr>
          <w:cantSplit/>
          <w:trHeight w:val="288"/>
          <w:tblHeader/>
          <w:jc w:val="center"/>
        </w:trPr>
        <w:tc>
          <w:tcPr>
            <w:tcW w:w="1460" w:type="dxa"/>
            <w:shd w:val="clear" w:color="auto" w:fill="auto"/>
            <w:noWrap/>
            <w:vAlign w:val="center"/>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Grand Total</w:t>
            </w:r>
          </w:p>
        </w:tc>
        <w:tc>
          <w:tcPr>
            <w:tcW w:w="1840" w:type="dxa"/>
            <w:shd w:val="clear" w:color="auto" w:fill="auto"/>
            <w:noWrap/>
            <w:vAlign w:val="center"/>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1527</w:t>
            </w:r>
          </w:p>
        </w:tc>
        <w:tc>
          <w:tcPr>
            <w:tcW w:w="1763"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831"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8872</w:t>
            </w:r>
          </w:p>
        </w:tc>
        <w:tc>
          <w:tcPr>
            <w:tcW w:w="1979" w:type="dxa"/>
            <w:shd w:val="clear" w:color="auto" w:fill="auto"/>
            <w:noWrap/>
            <w:vAlign w:val="bottom"/>
            <w:hideMark/>
          </w:tcPr>
          <w:p w:rsidR="008506E3" w:rsidRPr="00AE49C8" w:rsidRDefault="008506E3" w:rsidP="008506E3">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r>
    </w:tbl>
    <w:p w:rsidR="008506E3" w:rsidRPr="00AE49C8" w:rsidRDefault="008506E3" w:rsidP="008506E3">
      <w:pPr>
        <w:rPr>
          <w:b/>
        </w:rPr>
      </w:pPr>
    </w:p>
    <w:p w:rsidR="008506E3" w:rsidRPr="00AE49C8" w:rsidRDefault="00895BEF" w:rsidP="008506E3">
      <w:pPr>
        <w:rPr>
          <w:b/>
        </w:rPr>
      </w:pPr>
      <w:r w:rsidRPr="00AE49C8">
        <w:rPr>
          <w:noProof/>
          <w:lang w:eastAsia="en-GB"/>
        </w:rPr>
        <w:drawing>
          <wp:inline distT="0" distB="0" distL="0" distR="0" wp14:anchorId="4D1934A8" wp14:editId="5B05EC5E">
            <wp:extent cx="5731510" cy="3125388"/>
            <wp:effectExtent l="0" t="0" r="2540" b="0"/>
            <wp:docPr id="17" name="Chart 17" title="Chart showing the representation of leavers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95BEF" w:rsidRPr="000D2F61" w:rsidRDefault="00895BEF" w:rsidP="008506E3">
      <w:r w:rsidRPr="000D2F61">
        <w:t>Observations</w:t>
      </w:r>
    </w:p>
    <w:p w:rsidR="00687219" w:rsidRPr="00AE49C8" w:rsidRDefault="00687219" w:rsidP="00687219">
      <w:pPr>
        <w:pStyle w:val="ListParagraph"/>
      </w:pPr>
      <w:r w:rsidRPr="00AE49C8">
        <w:t xml:space="preserve">Proportionally, more staff aged &lt;20-35 and 61+ are leaving the organisation </w:t>
      </w:r>
      <w:r w:rsidR="007E749F" w:rsidRPr="00AE49C8">
        <w:t>than the overall workforce representation</w:t>
      </w:r>
      <w:r w:rsidRPr="00AE49C8">
        <w:t>.</w:t>
      </w:r>
    </w:p>
    <w:p w:rsidR="00C92A79" w:rsidRDefault="00C92A79">
      <w:pPr>
        <w:widowControl w:val="0"/>
        <w:rPr>
          <w:b/>
        </w:rPr>
      </w:pPr>
      <w:r>
        <w:rPr>
          <w:b/>
        </w:rPr>
        <w:br w:type="page"/>
      </w:r>
    </w:p>
    <w:p w:rsidR="00895BEF" w:rsidRPr="00AE49C8" w:rsidRDefault="00895BEF" w:rsidP="008506E3">
      <w:pPr>
        <w:rPr>
          <w:b/>
        </w:rPr>
      </w:pPr>
      <w:r w:rsidRPr="00AE49C8">
        <w:rPr>
          <w:b/>
        </w:rPr>
        <w:lastRenderedPageBreak/>
        <w:t>WSHT</w:t>
      </w:r>
    </w:p>
    <w:tbl>
      <w:tblPr>
        <w:tblW w:w="8293" w:type="dxa"/>
        <w:jc w:val="center"/>
        <w:tblBorders>
          <w:insideH w:val="dotted" w:sz="4" w:space="0" w:color="auto"/>
        </w:tblBorders>
        <w:tblLook w:val="04A0" w:firstRow="1" w:lastRow="0" w:firstColumn="1" w:lastColumn="0" w:noHBand="0" w:noVBand="1"/>
        <w:tblCaption w:val="Table showing the representation of leavers by age."/>
      </w:tblPr>
      <w:tblGrid>
        <w:gridCol w:w="1449"/>
        <w:gridCol w:w="1883"/>
        <w:gridCol w:w="2126"/>
        <w:gridCol w:w="1560"/>
        <w:gridCol w:w="1403"/>
      </w:tblGrid>
      <w:tr w:rsidR="00895BEF" w:rsidRPr="00AE49C8" w:rsidTr="000F49E3">
        <w:trPr>
          <w:cantSplit/>
          <w:trHeight w:val="288"/>
          <w:tblHeader/>
          <w:jc w:val="center"/>
        </w:trPr>
        <w:tc>
          <w:tcPr>
            <w:tcW w:w="1449" w:type="dxa"/>
            <w:shd w:val="clear" w:color="auto" w:fill="auto"/>
            <w:noWrap/>
            <w:vAlign w:val="center"/>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Age Band</w:t>
            </w:r>
          </w:p>
        </w:tc>
        <w:tc>
          <w:tcPr>
            <w:tcW w:w="1883" w:type="dxa"/>
            <w:shd w:val="clear" w:color="auto" w:fill="auto"/>
            <w:noWrap/>
            <w:vAlign w:val="center"/>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WSHT Leavers</w:t>
            </w:r>
          </w:p>
        </w:tc>
        <w:tc>
          <w:tcPr>
            <w:tcW w:w="2126" w:type="dxa"/>
            <w:shd w:val="clear" w:color="auto" w:fill="auto"/>
            <w:noWrap/>
            <w:vAlign w:val="center"/>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WSHT Leavers (%)</w:t>
            </w:r>
          </w:p>
        </w:tc>
        <w:tc>
          <w:tcPr>
            <w:tcW w:w="1560" w:type="dxa"/>
            <w:shd w:val="clear" w:color="auto" w:fill="auto"/>
            <w:noWrap/>
            <w:vAlign w:val="bottom"/>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in Workforce</w:t>
            </w:r>
          </w:p>
        </w:tc>
        <w:tc>
          <w:tcPr>
            <w:tcW w:w="1275" w:type="dxa"/>
            <w:shd w:val="clear" w:color="auto" w:fill="auto"/>
            <w:noWrap/>
            <w:vAlign w:val="bottom"/>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 in Workforce</w:t>
            </w:r>
          </w:p>
        </w:tc>
      </w:tr>
      <w:tr w:rsidR="00895BEF" w:rsidRPr="00AE49C8" w:rsidTr="000F49E3">
        <w:trPr>
          <w:cantSplit/>
          <w:trHeight w:val="288"/>
          <w:tblHeader/>
          <w:jc w:val="center"/>
        </w:trPr>
        <w:tc>
          <w:tcPr>
            <w:tcW w:w="1449" w:type="dxa"/>
            <w:shd w:val="clear" w:color="auto" w:fill="auto"/>
            <w:noWrap/>
            <w:vAlign w:val="center"/>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Under 20</w:t>
            </w:r>
          </w:p>
        </w:tc>
        <w:tc>
          <w:tcPr>
            <w:tcW w:w="1883"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7</w:t>
            </w:r>
          </w:p>
        </w:tc>
        <w:tc>
          <w:tcPr>
            <w:tcW w:w="2126"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15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60</w:t>
            </w:r>
          </w:p>
        </w:tc>
        <w:tc>
          <w:tcPr>
            <w:tcW w:w="1275"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0.8%</w:t>
            </w:r>
          </w:p>
        </w:tc>
      </w:tr>
      <w:tr w:rsidR="00895BEF" w:rsidRPr="00AE49C8" w:rsidTr="000F49E3">
        <w:trPr>
          <w:cantSplit/>
          <w:trHeight w:val="288"/>
          <w:tblHeader/>
          <w:jc w:val="center"/>
        </w:trPr>
        <w:tc>
          <w:tcPr>
            <w:tcW w:w="1449" w:type="dxa"/>
            <w:shd w:val="clear" w:color="auto" w:fill="auto"/>
            <w:noWrap/>
            <w:vAlign w:val="center"/>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21-25</w:t>
            </w:r>
          </w:p>
        </w:tc>
        <w:tc>
          <w:tcPr>
            <w:tcW w:w="1883"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84</w:t>
            </w:r>
          </w:p>
        </w:tc>
        <w:tc>
          <w:tcPr>
            <w:tcW w:w="2126"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12.3%</w:t>
            </w:r>
          </w:p>
        </w:tc>
        <w:tc>
          <w:tcPr>
            <w:tcW w:w="15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441</w:t>
            </w:r>
          </w:p>
        </w:tc>
        <w:tc>
          <w:tcPr>
            <w:tcW w:w="1275"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5.9%</w:t>
            </w:r>
          </w:p>
        </w:tc>
      </w:tr>
      <w:tr w:rsidR="00895BEF" w:rsidRPr="00AE49C8" w:rsidTr="000F49E3">
        <w:trPr>
          <w:cantSplit/>
          <w:trHeight w:val="288"/>
          <w:tblHeader/>
          <w:jc w:val="center"/>
        </w:trPr>
        <w:tc>
          <w:tcPr>
            <w:tcW w:w="1449" w:type="dxa"/>
            <w:shd w:val="clear" w:color="auto" w:fill="auto"/>
            <w:noWrap/>
            <w:vAlign w:val="center"/>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26-30</w:t>
            </w:r>
          </w:p>
        </w:tc>
        <w:tc>
          <w:tcPr>
            <w:tcW w:w="1883"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106</w:t>
            </w:r>
          </w:p>
        </w:tc>
        <w:tc>
          <w:tcPr>
            <w:tcW w:w="2126"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15.5%</w:t>
            </w:r>
          </w:p>
        </w:tc>
        <w:tc>
          <w:tcPr>
            <w:tcW w:w="15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933</w:t>
            </w:r>
          </w:p>
        </w:tc>
        <w:tc>
          <w:tcPr>
            <w:tcW w:w="1275"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12.4%</w:t>
            </w:r>
          </w:p>
        </w:tc>
      </w:tr>
      <w:tr w:rsidR="00895BEF" w:rsidRPr="00AE49C8" w:rsidTr="000F49E3">
        <w:trPr>
          <w:cantSplit/>
          <w:trHeight w:val="288"/>
          <w:tblHeader/>
          <w:jc w:val="center"/>
        </w:trPr>
        <w:tc>
          <w:tcPr>
            <w:tcW w:w="1449" w:type="dxa"/>
            <w:shd w:val="clear" w:color="auto" w:fill="auto"/>
            <w:noWrap/>
            <w:vAlign w:val="center"/>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31-35</w:t>
            </w:r>
          </w:p>
        </w:tc>
        <w:tc>
          <w:tcPr>
            <w:tcW w:w="1883"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97</w:t>
            </w:r>
          </w:p>
        </w:tc>
        <w:tc>
          <w:tcPr>
            <w:tcW w:w="2126"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14.2%</w:t>
            </w:r>
          </w:p>
        </w:tc>
        <w:tc>
          <w:tcPr>
            <w:tcW w:w="15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1025</w:t>
            </w:r>
          </w:p>
        </w:tc>
        <w:tc>
          <w:tcPr>
            <w:tcW w:w="1275"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13.6%</w:t>
            </w:r>
          </w:p>
        </w:tc>
      </w:tr>
      <w:tr w:rsidR="00895BEF" w:rsidRPr="00AE49C8" w:rsidTr="000F49E3">
        <w:trPr>
          <w:cantSplit/>
          <w:trHeight w:val="288"/>
          <w:tblHeader/>
          <w:jc w:val="center"/>
        </w:trPr>
        <w:tc>
          <w:tcPr>
            <w:tcW w:w="1449" w:type="dxa"/>
            <w:shd w:val="clear" w:color="auto" w:fill="auto"/>
            <w:noWrap/>
            <w:vAlign w:val="center"/>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36-40</w:t>
            </w:r>
          </w:p>
        </w:tc>
        <w:tc>
          <w:tcPr>
            <w:tcW w:w="1883"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62</w:t>
            </w:r>
          </w:p>
        </w:tc>
        <w:tc>
          <w:tcPr>
            <w:tcW w:w="2126"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9.1%</w:t>
            </w:r>
          </w:p>
        </w:tc>
        <w:tc>
          <w:tcPr>
            <w:tcW w:w="15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856</w:t>
            </w:r>
          </w:p>
        </w:tc>
        <w:tc>
          <w:tcPr>
            <w:tcW w:w="1275"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11.4%</w:t>
            </w:r>
          </w:p>
        </w:tc>
      </w:tr>
      <w:tr w:rsidR="00895BEF" w:rsidRPr="00AE49C8" w:rsidTr="000F49E3">
        <w:trPr>
          <w:cantSplit/>
          <w:trHeight w:val="288"/>
          <w:tblHeader/>
          <w:jc w:val="center"/>
        </w:trPr>
        <w:tc>
          <w:tcPr>
            <w:tcW w:w="1449" w:type="dxa"/>
            <w:shd w:val="clear" w:color="auto" w:fill="auto"/>
            <w:noWrap/>
            <w:vAlign w:val="center"/>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41-45</w:t>
            </w:r>
          </w:p>
        </w:tc>
        <w:tc>
          <w:tcPr>
            <w:tcW w:w="1883"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42</w:t>
            </w:r>
          </w:p>
        </w:tc>
        <w:tc>
          <w:tcPr>
            <w:tcW w:w="2126"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6.2%</w:t>
            </w:r>
          </w:p>
        </w:tc>
        <w:tc>
          <w:tcPr>
            <w:tcW w:w="15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897</w:t>
            </w:r>
          </w:p>
        </w:tc>
        <w:tc>
          <w:tcPr>
            <w:tcW w:w="1275"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11.9%</w:t>
            </w:r>
          </w:p>
        </w:tc>
      </w:tr>
      <w:tr w:rsidR="00895BEF" w:rsidRPr="00AE49C8" w:rsidTr="000F49E3">
        <w:trPr>
          <w:cantSplit/>
          <w:trHeight w:val="288"/>
          <w:tblHeader/>
          <w:jc w:val="center"/>
        </w:trPr>
        <w:tc>
          <w:tcPr>
            <w:tcW w:w="1449" w:type="dxa"/>
            <w:shd w:val="clear" w:color="auto" w:fill="auto"/>
            <w:noWrap/>
            <w:vAlign w:val="center"/>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46-50</w:t>
            </w:r>
          </w:p>
        </w:tc>
        <w:tc>
          <w:tcPr>
            <w:tcW w:w="1883"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38</w:t>
            </w:r>
          </w:p>
        </w:tc>
        <w:tc>
          <w:tcPr>
            <w:tcW w:w="2126"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5.6%</w:t>
            </w:r>
          </w:p>
        </w:tc>
        <w:tc>
          <w:tcPr>
            <w:tcW w:w="15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990</w:t>
            </w:r>
          </w:p>
        </w:tc>
        <w:tc>
          <w:tcPr>
            <w:tcW w:w="1275"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13.2%</w:t>
            </w:r>
          </w:p>
        </w:tc>
      </w:tr>
      <w:tr w:rsidR="00895BEF" w:rsidRPr="00AE49C8" w:rsidTr="000F49E3">
        <w:trPr>
          <w:cantSplit/>
          <w:trHeight w:val="288"/>
          <w:tblHeader/>
          <w:jc w:val="center"/>
        </w:trPr>
        <w:tc>
          <w:tcPr>
            <w:tcW w:w="1449" w:type="dxa"/>
            <w:shd w:val="clear" w:color="auto" w:fill="auto"/>
            <w:noWrap/>
            <w:vAlign w:val="center"/>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51-55</w:t>
            </w:r>
          </w:p>
        </w:tc>
        <w:tc>
          <w:tcPr>
            <w:tcW w:w="1883"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47</w:t>
            </w:r>
          </w:p>
        </w:tc>
        <w:tc>
          <w:tcPr>
            <w:tcW w:w="2126"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6.9%</w:t>
            </w:r>
          </w:p>
        </w:tc>
        <w:tc>
          <w:tcPr>
            <w:tcW w:w="15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911</w:t>
            </w:r>
          </w:p>
        </w:tc>
        <w:tc>
          <w:tcPr>
            <w:tcW w:w="1275"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12.1%</w:t>
            </w:r>
          </w:p>
        </w:tc>
      </w:tr>
      <w:tr w:rsidR="00895BEF" w:rsidRPr="00AE49C8" w:rsidTr="000F49E3">
        <w:trPr>
          <w:cantSplit/>
          <w:trHeight w:val="288"/>
          <w:tblHeader/>
          <w:jc w:val="center"/>
        </w:trPr>
        <w:tc>
          <w:tcPr>
            <w:tcW w:w="1449" w:type="dxa"/>
            <w:shd w:val="clear" w:color="auto" w:fill="auto"/>
            <w:noWrap/>
            <w:vAlign w:val="center"/>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56-60</w:t>
            </w:r>
          </w:p>
        </w:tc>
        <w:tc>
          <w:tcPr>
            <w:tcW w:w="1883"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84</w:t>
            </w:r>
          </w:p>
        </w:tc>
        <w:tc>
          <w:tcPr>
            <w:tcW w:w="2126"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12.3%</w:t>
            </w:r>
          </w:p>
        </w:tc>
        <w:tc>
          <w:tcPr>
            <w:tcW w:w="15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788</w:t>
            </w:r>
          </w:p>
        </w:tc>
        <w:tc>
          <w:tcPr>
            <w:tcW w:w="1275"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10.5%</w:t>
            </w:r>
          </w:p>
        </w:tc>
      </w:tr>
      <w:tr w:rsidR="00895BEF" w:rsidRPr="00AE49C8" w:rsidTr="000F49E3">
        <w:trPr>
          <w:cantSplit/>
          <w:trHeight w:val="288"/>
          <w:tblHeader/>
          <w:jc w:val="center"/>
        </w:trPr>
        <w:tc>
          <w:tcPr>
            <w:tcW w:w="1449" w:type="dxa"/>
            <w:shd w:val="clear" w:color="auto" w:fill="auto"/>
            <w:noWrap/>
            <w:vAlign w:val="center"/>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61-65</w:t>
            </w:r>
          </w:p>
        </w:tc>
        <w:tc>
          <w:tcPr>
            <w:tcW w:w="1883"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62</w:t>
            </w:r>
          </w:p>
        </w:tc>
        <w:tc>
          <w:tcPr>
            <w:tcW w:w="2126"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9.1%</w:t>
            </w:r>
          </w:p>
        </w:tc>
        <w:tc>
          <w:tcPr>
            <w:tcW w:w="15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461</w:t>
            </w:r>
          </w:p>
        </w:tc>
        <w:tc>
          <w:tcPr>
            <w:tcW w:w="1275"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6.1%</w:t>
            </w:r>
          </w:p>
        </w:tc>
      </w:tr>
      <w:tr w:rsidR="00895BEF" w:rsidRPr="00AE49C8" w:rsidTr="000F49E3">
        <w:trPr>
          <w:cantSplit/>
          <w:trHeight w:val="288"/>
          <w:tblHeader/>
          <w:jc w:val="center"/>
        </w:trPr>
        <w:tc>
          <w:tcPr>
            <w:tcW w:w="1449" w:type="dxa"/>
            <w:shd w:val="clear" w:color="auto" w:fill="auto"/>
            <w:noWrap/>
            <w:vAlign w:val="center"/>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66-70</w:t>
            </w:r>
          </w:p>
        </w:tc>
        <w:tc>
          <w:tcPr>
            <w:tcW w:w="1883"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39</w:t>
            </w:r>
          </w:p>
        </w:tc>
        <w:tc>
          <w:tcPr>
            <w:tcW w:w="2126"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5.7%</w:t>
            </w:r>
          </w:p>
        </w:tc>
        <w:tc>
          <w:tcPr>
            <w:tcW w:w="15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110</w:t>
            </w:r>
          </w:p>
        </w:tc>
        <w:tc>
          <w:tcPr>
            <w:tcW w:w="1275"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1.5%</w:t>
            </w:r>
          </w:p>
        </w:tc>
      </w:tr>
      <w:tr w:rsidR="00895BEF" w:rsidRPr="00AE49C8" w:rsidTr="000F49E3">
        <w:trPr>
          <w:cantSplit/>
          <w:trHeight w:val="288"/>
          <w:tblHeader/>
          <w:jc w:val="center"/>
        </w:trPr>
        <w:tc>
          <w:tcPr>
            <w:tcW w:w="1449" w:type="dxa"/>
            <w:shd w:val="clear" w:color="auto" w:fill="auto"/>
            <w:noWrap/>
            <w:vAlign w:val="center"/>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 xml:space="preserve">Over 71 </w:t>
            </w:r>
          </w:p>
        </w:tc>
        <w:tc>
          <w:tcPr>
            <w:tcW w:w="1883"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14</w:t>
            </w:r>
          </w:p>
        </w:tc>
        <w:tc>
          <w:tcPr>
            <w:tcW w:w="2126"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2.1%</w:t>
            </w:r>
          </w:p>
        </w:tc>
        <w:tc>
          <w:tcPr>
            <w:tcW w:w="15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47</w:t>
            </w:r>
          </w:p>
        </w:tc>
        <w:tc>
          <w:tcPr>
            <w:tcW w:w="1275"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0.6%</w:t>
            </w:r>
          </w:p>
        </w:tc>
      </w:tr>
      <w:tr w:rsidR="00895BEF" w:rsidRPr="00AE49C8" w:rsidTr="000F49E3">
        <w:trPr>
          <w:cantSplit/>
          <w:trHeight w:val="288"/>
          <w:tblHeader/>
          <w:jc w:val="center"/>
        </w:trPr>
        <w:tc>
          <w:tcPr>
            <w:tcW w:w="1449" w:type="dxa"/>
            <w:shd w:val="clear" w:color="auto" w:fill="auto"/>
            <w:noWrap/>
            <w:vAlign w:val="center"/>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Grand Total</w:t>
            </w:r>
          </w:p>
        </w:tc>
        <w:tc>
          <w:tcPr>
            <w:tcW w:w="1883" w:type="dxa"/>
            <w:shd w:val="clear" w:color="auto" w:fill="auto"/>
            <w:noWrap/>
            <w:vAlign w:val="center"/>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682</w:t>
            </w:r>
          </w:p>
        </w:tc>
        <w:tc>
          <w:tcPr>
            <w:tcW w:w="2126" w:type="dxa"/>
            <w:shd w:val="clear" w:color="auto" w:fill="auto"/>
            <w:noWrap/>
            <w:vAlign w:val="bottom"/>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560" w:type="dxa"/>
            <w:shd w:val="clear" w:color="auto" w:fill="auto"/>
            <w:noWrap/>
            <w:vAlign w:val="bottom"/>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7519</w:t>
            </w:r>
          </w:p>
        </w:tc>
        <w:tc>
          <w:tcPr>
            <w:tcW w:w="1275" w:type="dxa"/>
            <w:shd w:val="clear" w:color="auto" w:fill="auto"/>
            <w:noWrap/>
            <w:vAlign w:val="bottom"/>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r>
    </w:tbl>
    <w:p w:rsidR="00895BEF" w:rsidRPr="00AE49C8" w:rsidRDefault="00895BEF" w:rsidP="008506E3">
      <w:pPr>
        <w:rPr>
          <w:b/>
        </w:rPr>
      </w:pPr>
    </w:p>
    <w:p w:rsidR="00895BEF" w:rsidRPr="00AE49C8" w:rsidRDefault="00895BEF" w:rsidP="008506E3">
      <w:pPr>
        <w:rPr>
          <w:b/>
        </w:rPr>
      </w:pPr>
      <w:r w:rsidRPr="00AE49C8">
        <w:rPr>
          <w:noProof/>
          <w:lang w:eastAsia="en-GB"/>
        </w:rPr>
        <w:drawing>
          <wp:inline distT="0" distB="0" distL="0" distR="0" wp14:anchorId="0D49BC1A" wp14:editId="60C1DEC6">
            <wp:extent cx="5731510" cy="3125388"/>
            <wp:effectExtent l="0" t="0" r="2540" b="0"/>
            <wp:docPr id="19" name="Chart 19" title="Chart showing the representation of leavers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95BEF" w:rsidRPr="000D2F61" w:rsidRDefault="00895BEF" w:rsidP="008506E3">
      <w:r w:rsidRPr="000D2F61">
        <w:t>Observations</w:t>
      </w:r>
    </w:p>
    <w:p w:rsidR="00687219" w:rsidRPr="00AE49C8" w:rsidRDefault="00687219" w:rsidP="00687219">
      <w:pPr>
        <w:pStyle w:val="ListParagraph"/>
      </w:pPr>
      <w:r w:rsidRPr="00AE49C8">
        <w:t>Proportionally, more staff aged &lt;20-35 and 56+ are leaving the organisation than the overall workforce representation.</w:t>
      </w:r>
    </w:p>
    <w:p w:rsidR="00895BEF" w:rsidRPr="00AE49C8" w:rsidRDefault="00895BEF" w:rsidP="008506E3">
      <w:pPr>
        <w:rPr>
          <w:b/>
        </w:rPr>
      </w:pPr>
    </w:p>
    <w:p w:rsidR="00895BEF" w:rsidRPr="00AE49C8" w:rsidRDefault="00895BEF" w:rsidP="00895BEF">
      <w:pPr>
        <w:pStyle w:val="Heading2"/>
        <w:rPr>
          <w:rFonts w:cs="Arial"/>
        </w:rPr>
      </w:pPr>
      <w:bookmarkStart w:id="38" w:name="_Toc88633985"/>
      <w:r w:rsidRPr="00AE49C8">
        <w:rPr>
          <w:rFonts w:cs="Arial"/>
        </w:rPr>
        <w:lastRenderedPageBreak/>
        <w:t>Disability</w:t>
      </w:r>
      <w:bookmarkEnd w:id="38"/>
    </w:p>
    <w:p w:rsidR="00895BEF" w:rsidRPr="00AE49C8" w:rsidRDefault="00895BEF" w:rsidP="00687219">
      <w:pPr>
        <w:pStyle w:val="Heading3"/>
      </w:pPr>
      <w:bookmarkStart w:id="39" w:name="_Toc88633986"/>
      <w:r w:rsidRPr="00AE49C8">
        <w:t>Representation of staff within the workforce broken down by disability</w:t>
      </w:r>
      <w:bookmarkEnd w:id="39"/>
    </w:p>
    <w:tbl>
      <w:tblPr>
        <w:tblW w:w="9249" w:type="dxa"/>
        <w:tblInd w:w="93" w:type="dxa"/>
        <w:tblLook w:val="04A0" w:firstRow="1" w:lastRow="0" w:firstColumn="1" w:lastColumn="0" w:noHBand="0" w:noVBand="1"/>
        <w:tblCaption w:val="Representation of BSUH and WSHT workforce brokendown by disability and comparing to the 2011 Census."/>
      </w:tblPr>
      <w:tblGrid>
        <w:gridCol w:w="2283"/>
        <w:gridCol w:w="1217"/>
        <w:gridCol w:w="1902"/>
        <w:gridCol w:w="2551"/>
        <w:gridCol w:w="1296"/>
      </w:tblGrid>
      <w:tr w:rsidR="00895BEF" w:rsidRPr="00AE49C8" w:rsidTr="00476E7E">
        <w:trPr>
          <w:cantSplit/>
          <w:trHeight w:val="312"/>
          <w:tblHeader/>
        </w:trPr>
        <w:tc>
          <w:tcPr>
            <w:tcW w:w="2283" w:type="dxa"/>
            <w:tcBorders>
              <w:top w:val="nil"/>
              <w:left w:val="nil"/>
              <w:bottom w:val="nil"/>
              <w:right w:val="nil"/>
            </w:tcBorders>
            <w:shd w:val="clear" w:color="auto" w:fill="auto"/>
            <w:noWrap/>
            <w:hideMark/>
          </w:tcPr>
          <w:p w:rsidR="00895BEF" w:rsidRPr="00AE49C8" w:rsidRDefault="00895BEF" w:rsidP="00895BEF">
            <w:pPr>
              <w:spacing w:after="0" w:line="240" w:lineRule="auto"/>
              <w:rPr>
                <w:rFonts w:eastAsia="Times New Roman"/>
                <w:color w:val="000000"/>
                <w:szCs w:val="24"/>
                <w:lang w:eastAsia="en-GB"/>
              </w:rPr>
            </w:pPr>
          </w:p>
        </w:tc>
        <w:tc>
          <w:tcPr>
            <w:tcW w:w="1217" w:type="dxa"/>
            <w:tcBorders>
              <w:top w:val="nil"/>
              <w:left w:val="nil"/>
              <w:bottom w:val="nil"/>
              <w:right w:val="nil"/>
            </w:tcBorders>
            <w:shd w:val="clear" w:color="auto" w:fill="auto"/>
            <w:noWrap/>
            <w:hideMark/>
          </w:tcPr>
          <w:p w:rsidR="00895BEF" w:rsidRPr="00AE49C8" w:rsidRDefault="00895BEF" w:rsidP="00895BE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Disabled</w:t>
            </w:r>
          </w:p>
        </w:tc>
        <w:tc>
          <w:tcPr>
            <w:tcW w:w="1902" w:type="dxa"/>
            <w:tcBorders>
              <w:top w:val="nil"/>
              <w:left w:val="nil"/>
              <w:bottom w:val="nil"/>
              <w:right w:val="nil"/>
            </w:tcBorders>
            <w:shd w:val="clear" w:color="auto" w:fill="auto"/>
            <w:noWrap/>
            <w:hideMark/>
          </w:tcPr>
          <w:p w:rsidR="00895BEF" w:rsidRPr="00AE49C8" w:rsidRDefault="00895BEF" w:rsidP="00895BE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Not Disabled</w:t>
            </w:r>
          </w:p>
        </w:tc>
        <w:tc>
          <w:tcPr>
            <w:tcW w:w="2551" w:type="dxa"/>
            <w:tcBorders>
              <w:top w:val="nil"/>
              <w:left w:val="nil"/>
              <w:bottom w:val="nil"/>
              <w:right w:val="nil"/>
            </w:tcBorders>
            <w:shd w:val="clear" w:color="auto" w:fill="auto"/>
            <w:noWrap/>
            <w:hideMark/>
          </w:tcPr>
          <w:p w:rsidR="00895BEF" w:rsidRPr="00AE49C8" w:rsidRDefault="00895BEF" w:rsidP="00895BE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Declined to Specify</w:t>
            </w:r>
          </w:p>
        </w:tc>
        <w:tc>
          <w:tcPr>
            <w:tcW w:w="1296" w:type="dxa"/>
            <w:tcBorders>
              <w:top w:val="nil"/>
              <w:left w:val="nil"/>
              <w:bottom w:val="nil"/>
              <w:right w:val="nil"/>
            </w:tcBorders>
            <w:shd w:val="clear" w:color="auto" w:fill="auto"/>
            <w:noWrap/>
            <w:hideMark/>
          </w:tcPr>
          <w:p w:rsidR="00895BEF" w:rsidRPr="00AE49C8" w:rsidRDefault="00895BEF" w:rsidP="00895BE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Unknown</w:t>
            </w:r>
          </w:p>
        </w:tc>
      </w:tr>
      <w:tr w:rsidR="00895BEF" w:rsidRPr="00AE49C8" w:rsidTr="00476E7E">
        <w:trPr>
          <w:cantSplit/>
          <w:trHeight w:val="312"/>
          <w:tblHeader/>
        </w:trPr>
        <w:tc>
          <w:tcPr>
            <w:tcW w:w="2283" w:type="dxa"/>
            <w:tcBorders>
              <w:top w:val="nil"/>
              <w:left w:val="nil"/>
              <w:bottom w:val="nil"/>
              <w:right w:val="nil"/>
            </w:tcBorders>
            <w:shd w:val="clear" w:color="000000" w:fill="C5D9F1"/>
            <w:noWrap/>
            <w:vAlign w:val="bottom"/>
            <w:hideMark/>
          </w:tcPr>
          <w:p w:rsidR="00895BEF" w:rsidRPr="00AE49C8" w:rsidRDefault="00895BEF" w:rsidP="00895BEF">
            <w:pPr>
              <w:spacing w:after="0" w:line="240" w:lineRule="auto"/>
              <w:rPr>
                <w:rFonts w:eastAsia="Times New Roman"/>
                <w:b/>
                <w:bCs/>
                <w:szCs w:val="24"/>
                <w:lang w:eastAsia="en-GB"/>
              </w:rPr>
            </w:pPr>
            <w:r w:rsidRPr="00AE49C8">
              <w:rPr>
                <w:rFonts w:eastAsia="Times New Roman"/>
                <w:b/>
                <w:bCs/>
                <w:szCs w:val="24"/>
                <w:lang w:eastAsia="en-GB"/>
              </w:rPr>
              <w:t>2019/20 (BSUH)</w:t>
            </w:r>
          </w:p>
        </w:tc>
        <w:tc>
          <w:tcPr>
            <w:tcW w:w="1217" w:type="dxa"/>
            <w:tcBorders>
              <w:top w:val="nil"/>
              <w:left w:val="nil"/>
              <w:bottom w:val="nil"/>
              <w:right w:val="nil"/>
            </w:tcBorders>
            <w:shd w:val="clear" w:color="000000" w:fill="C5D9F1"/>
            <w:noWrap/>
            <w:vAlign w:val="bottom"/>
            <w:hideMark/>
          </w:tcPr>
          <w:p w:rsidR="00895BEF" w:rsidRPr="00AE49C8" w:rsidRDefault="00895BEF" w:rsidP="00895BEF">
            <w:pPr>
              <w:spacing w:after="0" w:line="240" w:lineRule="auto"/>
              <w:jc w:val="center"/>
              <w:rPr>
                <w:rFonts w:eastAsia="Times New Roman"/>
                <w:szCs w:val="24"/>
                <w:lang w:eastAsia="en-GB"/>
              </w:rPr>
            </w:pPr>
            <w:r w:rsidRPr="00AE49C8">
              <w:rPr>
                <w:rFonts w:eastAsia="Times New Roman"/>
                <w:szCs w:val="24"/>
                <w:lang w:eastAsia="en-GB"/>
              </w:rPr>
              <w:t>6.3%</w:t>
            </w:r>
          </w:p>
        </w:tc>
        <w:tc>
          <w:tcPr>
            <w:tcW w:w="1902" w:type="dxa"/>
            <w:tcBorders>
              <w:top w:val="nil"/>
              <w:left w:val="nil"/>
              <w:bottom w:val="nil"/>
              <w:right w:val="nil"/>
            </w:tcBorders>
            <w:shd w:val="clear" w:color="000000" w:fill="C5D9F1"/>
            <w:noWrap/>
            <w:vAlign w:val="bottom"/>
            <w:hideMark/>
          </w:tcPr>
          <w:p w:rsidR="00895BEF" w:rsidRPr="00AE49C8" w:rsidRDefault="00895BEF" w:rsidP="00895BEF">
            <w:pPr>
              <w:spacing w:after="0" w:line="240" w:lineRule="auto"/>
              <w:jc w:val="center"/>
              <w:rPr>
                <w:rFonts w:eastAsia="Times New Roman"/>
                <w:szCs w:val="24"/>
                <w:lang w:eastAsia="en-GB"/>
              </w:rPr>
            </w:pPr>
            <w:r w:rsidRPr="00AE49C8">
              <w:rPr>
                <w:rFonts w:eastAsia="Times New Roman"/>
                <w:szCs w:val="24"/>
                <w:lang w:eastAsia="en-GB"/>
              </w:rPr>
              <w:t>80.3%</w:t>
            </w:r>
          </w:p>
        </w:tc>
        <w:tc>
          <w:tcPr>
            <w:tcW w:w="2551" w:type="dxa"/>
            <w:tcBorders>
              <w:top w:val="nil"/>
              <w:left w:val="nil"/>
              <w:bottom w:val="nil"/>
              <w:right w:val="nil"/>
            </w:tcBorders>
            <w:shd w:val="clear" w:color="000000" w:fill="C5D9F1"/>
            <w:noWrap/>
            <w:vAlign w:val="bottom"/>
            <w:hideMark/>
          </w:tcPr>
          <w:p w:rsidR="00895BEF" w:rsidRPr="00AE49C8" w:rsidRDefault="00895BEF" w:rsidP="00895BEF">
            <w:pPr>
              <w:spacing w:after="0" w:line="240" w:lineRule="auto"/>
              <w:jc w:val="center"/>
              <w:rPr>
                <w:rFonts w:eastAsia="Times New Roman"/>
                <w:szCs w:val="24"/>
                <w:lang w:eastAsia="en-GB"/>
              </w:rPr>
            </w:pPr>
            <w:r w:rsidRPr="00AE49C8">
              <w:rPr>
                <w:rFonts w:eastAsia="Times New Roman"/>
                <w:szCs w:val="24"/>
                <w:lang w:eastAsia="en-GB"/>
              </w:rPr>
              <w:t>6.3%</w:t>
            </w:r>
          </w:p>
        </w:tc>
        <w:tc>
          <w:tcPr>
            <w:tcW w:w="1296" w:type="dxa"/>
            <w:tcBorders>
              <w:top w:val="nil"/>
              <w:left w:val="nil"/>
              <w:bottom w:val="nil"/>
              <w:right w:val="nil"/>
            </w:tcBorders>
            <w:shd w:val="clear" w:color="000000" w:fill="C5D9F1"/>
            <w:noWrap/>
            <w:vAlign w:val="bottom"/>
            <w:hideMark/>
          </w:tcPr>
          <w:p w:rsidR="00895BEF" w:rsidRPr="00AE49C8" w:rsidRDefault="00895BEF" w:rsidP="00895BEF">
            <w:pPr>
              <w:spacing w:after="0" w:line="240" w:lineRule="auto"/>
              <w:jc w:val="center"/>
              <w:rPr>
                <w:rFonts w:eastAsia="Times New Roman"/>
                <w:szCs w:val="24"/>
                <w:lang w:eastAsia="en-GB"/>
              </w:rPr>
            </w:pPr>
            <w:r w:rsidRPr="00AE49C8">
              <w:rPr>
                <w:rFonts w:eastAsia="Times New Roman"/>
                <w:szCs w:val="24"/>
                <w:lang w:eastAsia="en-GB"/>
              </w:rPr>
              <w:t>7.1%</w:t>
            </w:r>
          </w:p>
        </w:tc>
      </w:tr>
      <w:tr w:rsidR="00895BEF" w:rsidRPr="00AE49C8" w:rsidTr="00476E7E">
        <w:trPr>
          <w:cantSplit/>
          <w:trHeight w:val="312"/>
          <w:tblHeader/>
        </w:trPr>
        <w:tc>
          <w:tcPr>
            <w:tcW w:w="2283" w:type="dxa"/>
            <w:tcBorders>
              <w:top w:val="nil"/>
              <w:left w:val="nil"/>
              <w:bottom w:val="nil"/>
              <w:right w:val="nil"/>
            </w:tcBorders>
            <w:shd w:val="clear" w:color="000000" w:fill="41B6E6"/>
            <w:noWrap/>
            <w:vAlign w:val="bottom"/>
            <w:hideMark/>
          </w:tcPr>
          <w:p w:rsidR="00895BEF" w:rsidRPr="00AE49C8" w:rsidRDefault="00895BEF" w:rsidP="00895BEF">
            <w:pPr>
              <w:spacing w:after="0" w:line="240" w:lineRule="auto"/>
              <w:rPr>
                <w:rFonts w:eastAsia="Times New Roman"/>
                <w:b/>
                <w:bCs/>
                <w:szCs w:val="24"/>
                <w:lang w:eastAsia="en-GB"/>
              </w:rPr>
            </w:pPr>
            <w:r w:rsidRPr="00AE49C8">
              <w:rPr>
                <w:rFonts w:eastAsia="Times New Roman"/>
                <w:b/>
                <w:bCs/>
                <w:szCs w:val="24"/>
                <w:lang w:eastAsia="en-GB"/>
              </w:rPr>
              <w:t>2020/21 (BSUH)</w:t>
            </w:r>
          </w:p>
        </w:tc>
        <w:tc>
          <w:tcPr>
            <w:tcW w:w="1217" w:type="dxa"/>
            <w:tcBorders>
              <w:top w:val="nil"/>
              <w:left w:val="nil"/>
              <w:bottom w:val="nil"/>
              <w:right w:val="nil"/>
            </w:tcBorders>
            <w:shd w:val="clear" w:color="000000" w:fill="41B6E6"/>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6.2%</w:t>
            </w:r>
          </w:p>
        </w:tc>
        <w:tc>
          <w:tcPr>
            <w:tcW w:w="1902" w:type="dxa"/>
            <w:tcBorders>
              <w:top w:val="nil"/>
              <w:left w:val="nil"/>
              <w:bottom w:val="nil"/>
              <w:right w:val="nil"/>
            </w:tcBorders>
            <w:shd w:val="clear" w:color="000000" w:fill="41B6E6"/>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82.6%</w:t>
            </w:r>
          </w:p>
        </w:tc>
        <w:tc>
          <w:tcPr>
            <w:tcW w:w="2551" w:type="dxa"/>
            <w:tcBorders>
              <w:top w:val="nil"/>
              <w:left w:val="nil"/>
              <w:bottom w:val="nil"/>
              <w:right w:val="nil"/>
            </w:tcBorders>
            <w:shd w:val="clear" w:color="000000" w:fill="41B6E6"/>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5.3%</w:t>
            </w:r>
          </w:p>
        </w:tc>
        <w:tc>
          <w:tcPr>
            <w:tcW w:w="1296" w:type="dxa"/>
            <w:tcBorders>
              <w:top w:val="nil"/>
              <w:left w:val="nil"/>
              <w:bottom w:val="nil"/>
              <w:right w:val="nil"/>
            </w:tcBorders>
            <w:shd w:val="clear" w:color="000000" w:fill="41B6E6"/>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5.9%</w:t>
            </w:r>
          </w:p>
        </w:tc>
      </w:tr>
      <w:tr w:rsidR="00895BEF" w:rsidRPr="00AE49C8" w:rsidTr="00476E7E">
        <w:trPr>
          <w:cantSplit/>
          <w:trHeight w:val="312"/>
          <w:tblHeader/>
        </w:trPr>
        <w:tc>
          <w:tcPr>
            <w:tcW w:w="2283" w:type="dxa"/>
            <w:tcBorders>
              <w:top w:val="nil"/>
              <w:left w:val="nil"/>
              <w:bottom w:val="nil"/>
              <w:right w:val="nil"/>
            </w:tcBorders>
            <w:shd w:val="clear" w:color="000000" w:fill="D8E4BC"/>
            <w:noWrap/>
            <w:vAlign w:val="bottom"/>
            <w:hideMark/>
          </w:tcPr>
          <w:p w:rsidR="00895BEF" w:rsidRPr="00AE49C8" w:rsidRDefault="00895BEF" w:rsidP="00895BEF">
            <w:pPr>
              <w:spacing w:after="0" w:line="240" w:lineRule="auto"/>
              <w:rPr>
                <w:rFonts w:eastAsia="Times New Roman"/>
                <w:b/>
                <w:bCs/>
                <w:szCs w:val="24"/>
                <w:lang w:eastAsia="en-GB"/>
              </w:rPr>
            </w:pPr>
            <w:r w:rsidRPr="00AE49C8">
              <w:rPr>
                <w:rFonts w:eastAsia="Times New Roman"/>
                <w:b/>
                <w:bCs/>
                <w:szCs w:val="24"/>
                <w:lang w:eastAsia="en-GB"/>
              </w:rPr>
              <w:t>2019/20 (WSHT)</w:t>
            </w:r>
          </w:p>
        </w:tc>
        <w:tc>
          <w:tcPr>
            <w:tcW w:w="1217" w:type="dxa"/>
            <w:tcBorders>
              <w:top w:val="nil"/>
              <w:left w:val="nil"/>
              <w:bottom w:val="nil"/>
              <w:right w:val="nil"/>
            </w:tcBorders>
            <w:shd w:val="clear" w:color="000000" w:fill="D8E4BC"/>
            <w:noWrap/>
            <w:vAlign w:val="bottom"/>
            <w:hideMark/>
          </w:tcPr>
          <w:p w:rsidR="00895BEF" w:rsidRPr="00AE49C8" w:rsidRDefault="00895BEF" w:rsidP="00895BEF">
            <w:pPr>
              <w:spacing w:after="0" w:line="240" w:lineRule="auto"/>
              <w:jc w:val="center"/>
              <w:rPr>
                <w:rFonts w:eastAsia="Times New Roman"/>
                <w:szCs w:val="24"/>
                <w:lang w:eastAsia="en-GB"/>
              </w:rPr>
            </w:pPr>
            <w:r w:rsidRPr="00AE49C8">
              <w:rPr>
                <w:rFonts w:eastAsia="Times New Roman"/>
                <w:szCs w:val="24"/>
                <w:lang w:eastAsia="en-GB"/>
              </w:rPr>
              <w:t>2.9%</w:t>
            </w:r>
          </w:p>
        </w:tc>
        <w:tc>
          <w:tcPr>
            <w:tcW w:w="1902" w:type="dxa"/>
            <w:tcBorders>
              <w:top w:val="nil"/>
              <w:left w:val="nil"/>
              <w:bottom w:val="nil"/>
              <w:right w:val="nil"/>
            </w:tcBorders>
            <w:shd w:val="clear" w:color="000000" w:fill="D8E4BC"/>
            <w:noWrap/>
            <w:vAlign w:val="bottom"/>
            <w:hideMark/>
          </w:tcPr>
          <w:p w:rsidR="00895BEF" w:rsidRPr="00AE49C8" w:rsidRDefault="00895BEF" w:rsidP="00895BEF">
            <w:pPr>
              <w:spacing w:after="0" w:line="240" w:lineRule="auto"/>
              <w:jc w:val="center"/>
              <w:rPr>
                <w:rFonts w:eastAsia="Times New Roman"/>
                <w:szCs w:val="24"/>
                <w:lang w:eastAsia="en-GB"/>
              </w:rPr>
            </w:pPr>
            <w:r w:rsidRPr="00AE49C8">
              <w:rPr>
                <w:rFonts w:eastAsia="Times New Roman"/>
                <w:szCs w:val="24"/>
                <w:lang w:eastAsia="en-GB"/>
              </w:rPr>
              <w:t>69.3%</w:t>
            </w:r>
          </w:p>
        </w:tc>
        <w:tc>
          <w:tcPr>
            <w:tcW w:w="2551" w:type="dxa"/>
            <w:tcBorders>
              <w:top w:val="nil"/>
              <w:left w:val="nil"/>
              <w:bottom w:val="nil"/>
              <w:right w:val="nil"/>
            </w:tcBorders>
            <w:shd w:val="clear" w:color="000000" w:fill="D8E4BC"/>
            <w:noWrap/>
            <w:vAlign w:val="bottom"/>
            <w:hideMark/>
          </w:tcPr>
          <w:p w:rsidR="00895BEF" w:rsidRPr="00AE49C8" w:rsidRDefault="00895BEF" w:rsidP="00895BEF">
            <w:pPr>
              <w:spacing w:after="0" w:line="240" w:lineRule="auto"/>
              <w:jc w:val="center"/>
              <w:rPr>
                <w:rFonts w:eastAsia="Times New Roman"/>
                <w:szCs w:val="24"/>
                <w:lang w:eastAsia="en-GB"/>
              </w:rPr>
            </w:pPr>
            <w:r w:rsidRPr="00AE49C8">
              <w:rPr>
                <w:rFonts w:eastAsia="Times New Roman"/>
                <w:szCs w:val="24"/>
                <w:lang w:eastAsia="en-GB"/>
              </w:rPr>
              <w:t>20.7%</w:t>
            </w:r>
          </w:p>
        </w:tc>
        <w:tc>
          <w:tcPr>
            <w:tcW w:w="1296" w:type="dxa"/>
            <w:tcBorders>
              <w:top w:val="nil"/>
              <w:left w:val="nil"/>
              <w:bottom w:val="nil"/>
              <w:right w:val="nil"/>
            </w:tcBorders>
            <w:shd w:val="clear" w:color="000000" w:fill="D8E4BC"/>
            <w:noWrap/>
            <w:vAlign w:val="bottom"/>
            <w:hideMark/>
          </w:tcPr>
          <w:p w:rsidR="00895BEF" w:rsidRPr="00AE49C8" w:rsidRDefault="00895BEF" w:rsidP="00895BEF">
            <w:pPr>
              <w:spacing w:after="0" w:line="240" w:lineRule="auto"/>
              <w:jc w:val="center"/>
              <w:rPr>
                <w:rFonts w:eastAsia="Times New Roman"/>
                <w:szCs w:val="24"/>
                <w:lang w:eastAsia="en-GB"/>
              </w:rPr>
            </w:pPr>
            <w:r w:rsidRPr="00AE49C8">
              <w:rPr>
                <w:rFonts w:eastAsia="Times New Roman"/>
                <w:szCs w:val="24"/>
                <w:lang w:eastAsia="en-GB"/>
              </w:rPr>
              <w:t>7.1%</w:t>
            </w:r>
          </w:p>
        </w:tc>
      </w:tr>
      <w:tr w:rsidR="00895BEF" w:rsidRPr="00AE49C8" w:rsidTr="00476E7E">
        <w:trPr>
          <w:cantSplit/>
          <w:trHeight w:val="312"/>
          <w:tblHeader/>
        </w:trPr>
        <w:tc>
          <w:tcPr>
            <w:tcW w:w="2283" w:type="dxa"/>
            <w:tcBorders>
              <w:top w:val="nil"/>
              <w:left w:val="nil"/>
              <w:bottom w:val="nil"/>
              <w:right w:val="nil"/>
            </w:tcBorders>
            <w:shd w:val="clear" w:color="000000" w:fill="009639"/>
            <w:noWrap/>
            <w:vAlign w:val="bottom"/>
            <w:hideMark/>
          </w:tcPr>
          <w:p w:rsidR="00895BEF" w:rsidRPr="00AE49C8" w:rsidRDefault="00895BEF" w:rsidP="00895BEF">
            <w:pPr>
              <w:spacing w:after="0" w:line="240" w:lineRule="auto"/>
              <w:rPr>
                <w:rFonts w:eastAsia="Times New Roman"/>
                <w:b/>
                <w:bCs/>
                <w:color w:val="FFFFFF"/>
                <w:szCs w:val="24"/>
                <w:lang w:eastAsia="en-GB"/>
              </w:rPr>
            </w:pPr>
            <w:r w:rsidRPr="00AE49C8">
              <w:rPr>
                <w:rFonts w:eastAsia="Times New Roman"/>
                <w:b/>
                <w:bCs/>
                <w:color w:val="FFFFFF"/>
                <w:szCs w:val="24"/>
                <w:lang w:eastAsia="en-GB"/>
              </w:rPr>
              <w:t>2020/21 (WSHT)</w:t>
            </w:r>
          </w:p>
        </w:tc>
        <w:tc>
          <w:tcPr>
            <w:tcW w:w="1217" w:type="dxa"/>
            <w:tcBorders>
              <w:top w:val="nil"/>
              <w:left w:val="nil"/>
              <w:bottom w:val="nil"/>
              <w:right w:val="nil"/>
            </w:tcBorders>
            <w:shd w:val="clear" w:color="000000" w:fill="009639"/>
            <w:noWrap/>
            <w:vAlign w:val="bottom"/>
            <w:hideMark/>
          </w:tcPr>
          <w:p w:rsidR="00895BEF" w:rsidRPr="00AE49C8" w:rsidRDefault="00895BEF" w:rsidP="00895BEF">
            <w:pPr>
              <w:spacing w:after="0" w:line="240" w:lineRule="auto"/>
              <w:jc w:val="center"/>
              <w:rPr>
                <w:rFonts w:eastAsia="Times New Roman"/>
                <w:color w:val="FFFFFF"/>
                <w:szCs w:val="24"/>
                <w:lang w:eastAsia="en-GB"/>
              </w:rPr>
            </w:pPr>
            <w:r w:rsidRPr="00AE49C8">
              <w:rPr>
                <w:rFonts w:eastAsia="Times New Roman"/>
                <w:color w:val="FFFFFF"/>
                <w:szCs w:val="24"/>
                <w:lang w:eastAsia="en-GB"/>
              </w:rPr>
              <w:t>3.1%</w:t>
            </w:r>
          </w:p>
        </w:tc>
        <w:tc>
          <w:tcPr>
            <w:tcW w:w="1902" w:type="dxa"/>
            <w:tcBorders>
              <w:top w:val="nil"/>
              <w:left w:val="nil"/>
              <w:bottom w:val="nil"/>
              <w:right w:val="nil"/>
            </w:tcBorders>
            <w:shd w:val="clear" w:color="000000" w:fill="009639"/>
            <w:noWrap/>
            <w:vAlign w:val="bottom"/>
            <w:hideMark/>
          </w:tcPr>
          <w:p w:rsidR="00895BEF" w:rsidRPr="00AE49C8" w:rsidRDefault="00895BEF" w:rsidP="00895BEF">
            <w:pPr>
              <w:spacing w:after="0" w:line="240" w:lineRule="auto"/>
              <w:jc w:val="center"/>
              <w:rPr>
                <w:rFonts w:eastAsia="Times New Roman"/>
                <w:color w:val="FFFFFF"/>
                <w:szCs w:val="24"/>
                <w:lang w:eastAsia="en-GB"/>
              </w:rPr>
            </w:pPr>
            <w:r w:rsidRPr="00AE49C8">
              <w:rPr>
                <w:rFonts w:eastAsia="Times New Roman"/>
                <w:color w:val="FFFFFF"/>
                <w:szCs w:val="24"/>
                <w:lang w:eastAsia="en-GB"/>
              </w:rPr>
              <w:t>71.8%</w:t>
            </w:r>
          </w:p>
        </w:tc>
        <w:tc>
          <w:tcPr>
            <w:tcW w:w="2551" w:type="dxa"/>
            <w:tcBorders>
              <w:top w:val="nil"/>
              <w:left w:val="nil"/>
              <w:bottom w:val="nil"/>
              <w:right w:val="nil"/>
            </w:tcBorders>
            <w:shd w:val="clear" w:color="000000" w:fill="009639"/>
            <w:noWrap/>
            <w:vAlign w:val="bottom"/>
            <w:hideMark/>
          </w:tcPr>
          <w:p w:rsidR="00895BEF" w:rsidRPr="00AE49C8" w:rsidRDefault="00895BEF" w:rsidP="00895BEF">
            <w:pPr>
              <w:spacing w:after="0" w:line="240" w:lineRule="auto"/>
              <w:jc w:val="center"/>
              <w:rPr>
                <w:rFonts w:eastAsia="Times New Roman"/>
                <w:color w:val="FFFFFF"/>
                <w:szCs w:val="24"/>
                <w:lang w:eastAsia="en-GB"/>
              </w:rPr>
            </w:pPr>
            <w:r w:rsidRPr="00AE49C8">
              <w:rPr>
                <w:rFonts w:eastAsia="Times New Roman"/>
                <w:color w:val="FFFFFF"/>
                <w:szCs w:val="24"/>
                <w:lang w:eastAsia="en-GB"/>
              </w:rPr>
              <w:t>18.6%</w:t>
            </w:r>
          </w:p>
        </w:tc>
        <w:tc>
          <w:tcPr>
            <w:tcW w:w="1296" w:type="dxa"/>
            <w:tcBorders>
              <w:top w:val="nil"/>
              <w:left w:val="nil"/>
              <w:bottom w:val="nil"/>
              <w:right w:val="nil"/>
            </w:tcBorders>
            <w:shd w:val="clear" w:color="000000" w:fill="009639"/>
            <w:noWrap/>
            <w:vAlign w:val="bottom"/>
            <w:hideMark/>
          </w:tcPr>
          <w:p w:rsidR="00895BEF" w:rsidRPr="00AE49C8" w:rsidRDefault="00895BEF" w:rsidP="00895BEF">
            <w:pPr>
              <w:spacing w:after="0" w:line="240" w:lineRule="auto"/>
              <w:jc w:val="center"/>
              <w:rPr>
                <w:rFonts w:eastAsia="Times New Roman"/>
                <w:color w:val="FFFFFF"/>
                <w:szCs w:val="24"/>
                <w:lang w:eastAsia="en-GB"/>
              </w:rPr>
            </w:pPr>
            <w:r w:rsidRPr="00AE49C8">
              <w:rPr>
                <w:rFonts w:eastAsia="Times New Roman"/>
                <w:color w:val="FFFFFF"/>
                <w:szCs w:val="24"/>
                <w:lang w:eastAsia="en-GB"/>
              </w:rPr>
              <w:t>6.5%</w:t>
            </w:r>
          </w:p>
        </w:tc>
      </w:tr>
      <w:tr w:rsidR="00895BEF" w:rsidRPr="00AE49C8" w:rsidTr="00476E7E">
        <w:trPr>
          <w:cantSplit/>
          <w:trHeight w:val="312"/>
          <w:tblHeader/>
        </w:trPr>
        <w:tc>
          <w:tcPr>
            <w:tcW w:w="2283" w:type="dxa"/>
            <w:tcBorders>
              <w:top w:val="nil"/>
              <w:left w:val="nil"/>
              <w:bottom w:val="nil"/>
              <w:right w:val="nil"/>
            </w:tcBorders>
            <w:shd w:val="clear" w:color="000000" w:fill="FFB81C"/>
            <w:noWrap/>
            <w:vAlign w:val="bottom"/>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Census 2011 (SE England)</w:t>
            </w:r>
          </w:p>
        </w:tc>
        <w:tc>
          <w:tcPr>
            <w:tcW w:w="1217" w:type="dxa"/>
            <w:tcBorders>
              <w:top w:val="nil"/>
              <w:left w:val="nil"/>
              <w:bottom w:val="nil"/>
              <w:right w:val="nil"/>
            </w:tcBorders>
            <w:shd w:val="clear" w:color="000000" w:fill="FFB81C"/>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6.9%</w:t>
            </w:r>
          </w:p>
        </w:tc>
        <w:tc>
          <w:tcPr>
            <w:tcW w:w="1902" w:type="dxa"/>
            <w:tcBorders>
              <w:top w:val="nil"/>
              <w:left w:val="nil"/>
              <w:bottom w:val="nil"/>
              <w:right w:val="nil"/>
            </w:tcBorders>
            <w:shd w:val="clear" w:color="000000" w:fill="FFB81C"/>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84.3%</w:t>
            </w:r>
          </w:p>
        </w:tc>
        <w:tc>
          <w:tcPr>
            <w:tcW w:w="2551" w:type="dxa"/>
            <w:tcBorders>
              <w:top w:val="nil"/>
              <w:left w:val="nil"/>
              <w:bottom w:val="nil"/>
              <w:right w:val="nil"/>
            </w:tcBorders>
            <w:shd w:val="clear" w:color="000000" w:fill="FFB81C"/>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 </w:t>
            </w:r>
          </w:p>
        </w:tc>
        <w:tc>
          <w:tcPr>
            <w:tcW w:w="1296" w:type="dxa"/>
            <w:tcBorders>
              <w:top w:val="nil"/>
              <w:left w:val="nil"/>
              <w:bottom w:val="nil"/>
              <w:right w:val="nil"/>
            </w:tcBorders>
            <w:shd w:val="clear" w:color="000000" w:fill="FFB81C"/>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 </w:t>
            </w:r>
          </w:p>
        </w:tc>
      </w:tr>
    </w:tbl>
    <w:p w:rsidR="00895BEF" w:rsidRPr="00AE49C8" w:rsidRDefault="00895BEF" w:rsidP="00895BEF">
      <w:pPr>
        <w:rPr>
          <w:b/>
        </w:rPr>
      </w:pPr>
    </w:p>
    <w:p w:rsidR="00895BEF" w:rsidRPr="00AE49C8" w:rsidRDefault="00895BEF" w:rsidP="00895BEF">
      <w:pPr>
        <w:rPr>
          <w:b/>
        </w:rPr>
      </w:pPr>
      <w:r w:rsidRPr="00AE49C8">
        <w:rPr>
          <w:noProof/>
          <w:lang w:eastAsia="en-GB"/>
        </w:rPr>
        <w:drawing>
          <wp:inline distT="0" distB="0" distL="0" distR="0" wp14:anchorId="088C4E04" wp14:editId="09999B24">
            <wp:extent cx="5731510" cy="3192745"/>
            <wp:effectExtent l="0" t="0" r="2540" b="8255"/>
            <wp:docPr id="31" name="Chart 31" title="Breakdown of disability in BSUH and WSHT compared to the 2011 Census"/>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95BEF" w:rsidRPr="000D2F61" w:rsidRDefault="00895BEF" w:rsidP="00895BEF">
      <w:r w:rsidRPr="000D2F61">
        <w:t>Observations:</w:t>
      </w:r>
    </w:p>
    <w:p w:rsidR="00F66DD7" w:rsidRPr="00AE49C8" w:rsidRDefault="00F66DD7" w:rsidP="00F66DD7">
      <w:pPr>
        <w:pStyle w:val="ListParagraph"/>
      </w:pPr>
      <w:r w:rsidRPr="00AE49C8">
        <w:t xml:space="preserve">BSUH Workforce: </w:t>
      </w:r>
    </w:p>
    <w:p w:rsidR="00F66DD7" w:rsidRPr="00AE49C8" w:rsidRDefault="00F66DD7" w:rsidP="00F66DD7">
      <w:pPr>
        <w:pStyle w:val="ListParagraph"/>
        <w:numPr>
          <w:ilvl w:val="1"/>
          <w:numId w:val="1"/>
        </w:numPr>
      </w:pPr>
      <w:r w:rsidRPr="00AE49C8">
        <w:t xml:space="preserve">Overall has a slightly lower representation of disabled people in the workforce </w:t>
      </w:r>
      <w:r w:rsidR="008E6F14">
        <w:t>than</w:t>
      </w:r>
      <w:r w:rsidRPr="00AE49C8">
        <w:t xml:space="preserve"> the 2011 Census data. </w:t>
      </w:r>
    </w:p>
    <w:p w:rsidR="00F66DD7" w:rsidRPr="00AE49C8" w:rsidRDefault="00F66DD7" w:rsidP="00F66DD7">
      <w:pPr>
        <w:pStyle w:val="ListParagraph"/>
        <w:numPr>
          <w:ilvl w:val="1"/>
          <w:numId w:val="1"/>
        </w:numPr>
      </w:pPr>
      <w:r w:rsidRPr="00AE49C8">
        <w:t>Approximately 11% of staff have chosen not to declare, or their disability status is unknown.</w:t>
      </w:r>
    </w:p>
    <w:p w:rsidR="00F66DD7" w:rsidRPr="00AE49C8" w:rsidRDefault="00F66DD7" w:rsidP="00F66DD7">
      <w:pPr>
        <w:pStyle w:val="ListParagraph"/>
        <w:numPr>
          <w:ilvl w:val="1"/>
          <w:numId w:val="1"/>
        </w:numPr>
      </w:pPr>
      <w:r w:rsidRPr="00AE49C8">
        <w:t>Compared to the previous year, there has been a slight decrease in percentage points of disabled staff; there has been an increase in non-disabled staff and a decrease where the disability is unknown.</w:t>
      </w:r>
    </w:p>
    <w:p w:rsidR="00F66DD7" w:rsidRPr="00AE49C8" w:rsidRDefault="00F66DD7" w:rsidP="00F66DD7">
      <w:pPr>
        <w:pStyle w:val="ListParagraph"/>
      </w:pPr>
      <w:r w:rsidRPr="00AE49C8">
        <w:t>WSHT Workforce:</w:t>
      </w:r>
    </w:p>
    <w:p w:rsidR="00F66DD7" w:rsidRPr="00AE49C8" w:rsidRDefault="00F66DD7" w:rsidP="00F66DD7">
      <w:pPr>
        <w:pStyle w:val="ListParagraph"/>
        <w:numPr>
          <w:ilvl w:val="1"/>
          <w:numId w:val="1"/>
        </w:numPr>
      </w:pPr>
      <w:r w:rsidRPr="00AE49C8">
        <w:t>There is a lower representation of disabled people in the workforce compared to the 2011 Census data.</w:t>
      </w:r>
    </w:p>
    <w:p w:rsidR="00F66DD7" w:rsidRPr="00AE49C8" w:rsidRDefault="00F66DD7" w:rsidP="00F66DD7">
      <w:pPr>
        <w:pStyle w:val="ListParagraph"/>
        <w:numPr>
          <w:ilvl w:val="1"/>
          <w:numId w:val="1"/>
        </w:numPr>
      </w:pPr>
      <w:r w:rsidRPr="00AE49C8">
        <w:t>Approximately 25% of staff have chosen not to declare, or their disability status is unknown.</w:t>
      </w:r>
    </w:p>
    <w:p w:rsidR="00F66DD7" w:rsidRPr="00AE49C8" w:rsidRDefault="00F66DD7" w:rsidP="00F66DD7">
      <w:pPr>
        <w:pStyle w:val="ListParagraph"/>
        <w:numPr>
          <w:ilvl w:val="1"/>
          <w:numId w:val="1"/>
        </w:numPr>
      </w:pPr>
      <w:r w:rsidRPr="00AE49C8">
        <w:lastRenderedPageBreak/>
        <w:t>Compared to the previous year, there has been an increase in staff declaring their disability status and a decrease where the disability status was unknown.</w:t>
      </w:r>
    </w:p>
    <w:p w:rsidR="00A007D3" w:rsidRPr="00AE49C8" w:rsidRDefault="00895BEF" w:rsidP="00A007D3">
      <w:pPr>
        <w:pStyle w:val="Heading3"/>
      </w:pPr>
      <w:bookmarkStart w:id="40" w:name="_Toc88633987"/>
      <w:r w:rsidRPr="00AE49C8">
        <w:t>Breakdown of disability by pay b</w:t>
      </w:r>
      <w:r w:rsidR="00A007D3" w:rsidRPr="00AE49C8">
        <w:t>anding</w:t>
      </w:r>
      <w:bookmarkEnd w:id="40"/>
    </w:p>
    <w:p w:rsidR="00895BEF" w:rsidRPr="00AE49C8" w:rsidRDefault="00895BEF" w:rsidP="00895BEF">
      <w:r w:rsidRPr="00AE49C8">
        <w:t xml:space="preserve">the items in </w:t>
      </w:r>
      <w:r w:rsidR="00A007D3" w:rsidRPr="00AE49C8">
        <w:t>bold highlight</w:t>
      </w:r>
      <w:r w:rsidRPr="00AE49C8">
        <w:t xml:space="preserve"> a great</w:t>
      </w:r>
      <w:r w:rsidR="00A007D3" w:rsidRPr="00AE49C8">
        <w:t>er</w:t>
      </w:r>
      <w:r w:rsidRPr="00AE49C8">
        <w:t xml:space="preserve"> representation of that particular group </w:t>
      </w:r>
      <w:r w:rsidR="00A007D3" w:rsidRPr="00AE49C8">
        <w:t>than the workforce representation.</w:t>
      </w:r>
    </w:p>
    <w:p w:rsidR="00895BEF" w:rsidRPr="00AE49C8" w:rsidRDefault="00895BEF" w:rsidP="00895BEF">
      <w:pPr>
        <w:rPr>
          <w:b/>
        </w:rPr>
      </w:pPr>
      <w:r w:rsidRPr="00AE49C8">
        <w:rPr>
          <w:b/>
        </w:rPr>
        <w:t>BSUH</w:t>
      </w:r>
    </w:p>
    <w:tbl>
      <w:tblPr>
        <w:tblW w:w="8472" w:type="dxa"/>
        <w:tblInd w:w="93" w:type="dxa"/>
        <w:tblBorders>
          <w:insideH w:val="dotted" w:sz="4" w:space="0" w:color="auto"/>
        </w:tblBorders>
        <w:tblLook w:val="04A0" w:firstRow="1" w:lastRow="0" w:firstColumn="1" w:lastColumn="0" w:noHBand="0" w:noVBand="1"/>
        <w:tblCaption w:val="Representation of the workforce by pay band or grade and disability status"/>
      </w:tblPr>
      <w:tblGrid>
        <w:gridCol w:w="2709"/>
        <w:gridCol w:w="1217"/>
        <w:gridCol w:w="1518"/>
        <w:gridCol w:w="1984"/>
        <w:gridCol w:w="1296"/>
      </w:tblGrid>
      <w:tr w:rsidR="00895BEF" w:rsidRPr="00AE49C8" w:rsidTr="00C92A79">
        <w:trPr>
          <w:cantSplit/>
          <w:trHeight w:val="288"/>
          <w:tblHeader/>
        </w:trPr>
        <w:tc>
          <w:tcPr>
            <w:tcW w:w="2709" w:type="dxa"/>
            <w:shd w:val="clear" w:color="auto" w:fill="auto"/>
            <w:noWrap/>
            <w:hideMark/>
          </w:tcPr>
          <w:p w:rsidR="00895BEF" w:rsidRPr="00AE49C8" w:rsidRDefault="00895BEF" w:rsidP="00C92A79">
            <w:pPr>
              <w:spacing w:after="0" w:line="240" w:lineRule="auto"/>
              <w:rPr>
                <w:rFonts w:eastAsia="Times New Roman"/>
                <w:b/>
                <w:bCs/>
                <w:color w:val="000000"/>
                <w:szCs w:val="24"/>
                <w:lang w:eastAsia="en-GB"/>
              </w:rPr>
            </w:pPr>
            <w:r w:rsidRPr="00AE49C8">
              <w:rPr>
                <w:rFonts w:eastAsia="Times New Roman"/>
                <w:b/>
                <w:bCs/>
                <w:color w:val="000000"/>
                <w:szCs w:val="24"/>
                <w:lang w:eastAsia="en-GB"/>
              </w:rPr>
              <w:t>Pay Band</w:t>
            </w:r>
          </w:p>
        </w:tc>
        <w:tc>
          <w:tcPr>
            <w:tcW w:w="1078" w:type="dxa"/>
            <w:shd w:val="clear" w:color="auto" w:fill="auto"/>
            <w:noWrap/>
            <w:hideMark/>
          </w:tcPr>
          <w:p w:rsidR="00895BEF" w:rsidRPr="00AE49C8" w:rsidRDefault="00895BEF" w:rsidP="00C92A79">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Disabled</w:t>
            </w:r>
          </w:p>
        </w:tc>
        <w:tc>
          <w:tcPr>
            <w:tcW w:w="1518" w:type="dxa"/>
            <w:shd w:val="clear" w:color="auto" w:fill="auto"/>
            <w:noWrap/>
            <w:hideMark/>
          </w:tcPr>
          <w:p w:rsidR="00895BEF" w:rsidRPr="00AE49C8" w:rsidRDefault="00895BEF" w:rsidP="00C92A79">
            <w:pPr>
              <w:spacing w:after="0" w:line="240" w:lineRule="auto"/>
              <w:rPr>
                <w:rFonts w:eastAsia="Times New Roman"/>
                <w:b/>
                <w:bCs/>
                <w:color w:val="000000"/>
                <w:szCs w:val="24"/>
                <w:lang w:eastAsia="en-GB"/>
              </w:rPr>
            </w:pPr>
            <w:r w:rsidRPr="00AE49C8">
              <w:rPr>
                <w:rFonts w:eastAsia="Times New Roman"/>
                <w:b/>
                <w:bCs/>
                <w:color w:val="000000"/>
                <w:szCs w:val="24"/>
                <w:lang w:eastAsia="en-GB"/>
              </w:rPr>
              <w:t>Not Disabled</w:t>
            </w:r>
          </w:p>
        </w:tc>
        <w:tc>
          <w:tcPr>
            <w:tcW w:w="1984" w:type="dxa"/>
            <w:shd w:val="clear" w:color="auto" w:fill="auto"/>
            <w:noWrap/>
            <w:hideMark/>
          </w:tcPr>
          <w:p w:rsidR="00895BEF" w:rsidRPr="00AE49C8" w:rsidRDefault="00895BEF" w:rsidP="00C92A79">
            <w:pPr>
              <w:spacing w:after="0" w:line="240" w:lineRule="auto"/>
              <w:rPr>
                <w:rFonts w:eastAsia="Times New Roman"/>
                <w:b/>
                <w:bCs/>
                <w:color w:val="000000"/>
                <w:szCs w:val="24"/>
                <w:lang w:eastAsia="en-GB"/>
              </w:rPr>
            </w:pPr>
            <w:r w:rsidRPr="00AE49C8">
              <w:rPr>
                <w:rFonts w:eastAsia="Times New Roman"/>
                <w:b/>
                <w:bCs/>
                <w:color w:val="000000"/>
                <w:szCs w:val="24"/>
                <w:lang w:eastAsia="en-GB"/>
              </w:rPr>
              <w:t>Prefer not to Say</w:t>
            </w:r>
          </w:p>
        </w:tc>
        <w:tc>
          <w:tcPr>
            <w:tcW w:w="1183" w:type="dxa"/>
            <w:shd w:val="clear" w:color="auto" w:fill="auto"/>
            <w:noWrap/>
            <w:hideMark/>
          </w:tcPr>
          <w:p w:rsidR="00895BEF" w:rsidRPr="00AE49C8" w:rsidRDefault="00895BEF" w:rsidP="00C92A79">
            <w:pPr>
              <w:spacing w:after="0" w:line="240" w:lineRule="auto"/>
              <w:rPr>
                <w:rFonts w:eastAsia="Times New Roman"/>
                <w:b/>
                <w:bCs/>
                <w:color w:val="000000"/>
                <w:szCs w:val="24"/>
                <w:lang w:eastAsia="en-GB"/>
              </w:rPr>
            </w:pPr>
            <w:r w:rsidRPr="00AE49C8">
              <w:rPr>
                <w:rFonts w:eastAsia="Times New Roman"/>
                <w:b/>
                <w:bCs/>
                <w:color w:val="000000"/>
                <w:szCs w:val="24"/>
                <w:lang w:eastAsia="en-GB"/>
              </w:rPr>
              <w:t>Unknown</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1</w:t>
            </w:r>
          </w:p>
        </w:tc>
        <w:tc>
          <w:tcPr>
            <w:tcW w:w="107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16.9%</w:t>
            </w:r>
          </w:p>
        </w:tc>
        <w:tc>
          <w:tcPr>
            <w:tcW w:w="151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83.1%</w:t>
            </w:r>
          </w:p>
        </w:tc>
        <w:tc>
          <w:tcPr>
            <w:tcW w:w="1984"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2</w:t>
            </w:r>
          </w:p>
        </w:tc>
        <w:tc>
          <w:tcPr>
            <w:tcW w:w="107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7.6%</w:t>
            </w:r>
          </w:p>
        </w:tc>
        <w:tc>
          <w:tcPr>
            <w:tcW w:w="151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84.9%</w:t>
            </w:r>
          </w:p>
        </w:tc>
        <w:tc>
          <w:tcPr>
            <w:tcW w:w="1984"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3.7%</w:t>
            </w:r>
          </w:p>
        </w:tc>
        <w:tc>
          <w:tcPr>
            <w:tcW w:w="1183"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3.8%</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3</w:t>
            </w:r>
          </w:p>
        </w:tc>
        <w:tc>
          <w:tcPr>
            <w:tcW w:w="107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8.6%</w:t>
            </w:r>
          </w:p>
        </w:tc>
        <w:tc>
          <w:tcPr>
            <w:tcW w:w="151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82.9%</w:t>
            </w:r>
          </w:p>
        </w:tc>
        <w:tc>
          <w:tcPr>
            <w:tcW w:w="1984"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2.5%</w:t>
            </w:r>
          </w:p>
        </w:tc>
        <w:tc>
          <w:tcPr>
            <w:tcW w:w="1183" w:type="dxa"/>
            <w:shd w:val="clear" w:color="auto" w:fill="auto"/>
            <w:noWrap/>
            <w:vAlign w:val="bottom"/>
            <w:hideMark/>
          </w:tcPr>
          <w:p w:rsidR="00895BEF" w:rsidRPr="00AE49C8" w:rsidRDefault="00895BEF" w:rsidP="00895BEF">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6.0%</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4</w:t>
            </w:r>
          </w:p>
        </w:tc>
        <w:tc>
          <w:tcPr>
            <w:tcW w:w="107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7.2%</w:t>
            </w:r>
          </w:p>
        </w:tc>
        <w:tc>
          <w:tcPr>
            <w:tcW w:w="151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84.0%</w:t>
            </w:r>
          </w:p>
        </w:tc>
        <w:tc>
          <w:tcPr>
            <w:tcW w:w="1984"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3.1%</w:t>
            </w:r>
          </w:p>
        </w:tc>
        <w:tc>
          <w:tcPr>
            <w:tcW w:w="1183"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5.7%</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5</w:t>
            </w:r>
          </w:p>
        </w:tc>
        <w:tc>
          <w:tcPr>
            <w:tcW w:w="107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6.3%</w:t>
            </w:r>
          </w:p>
        </w:tc>
        <w:tc>
          <w:tcPr>
            <w:tcW w:w="151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85.2%</w:t>
            </w:r>
          </w:p>
        </w:tc>
        <w:tc>
          <w:tcPr>
            <w:tcW w:w="1984"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3.2%</w:t>
            </w:r>
          </w:p>
        </w:tc>
        <w:tc>
          <w:tcPr>
            <w:tcW w:w="1183"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5.3%</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6</w:t>
            </w:r>
          </w:p>
        </w:tc>
        <w:tc>
          <w:tcPr>
            <w:tcW w:w="1078"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4.9%</w:t>
            </w:r>
          </w:p>
        </w:tc>
        <w:tc>
          <w:tcPr>
            <w:tcW w:w="1518"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81.0%</w:t>
            </w:r>
          </w:p>
        </w:tc>
        <w:tc>
          <w:tcPr>
            <w:tcW w:w="1984"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4.7%</w:t>
            </w:r>
          </w:p>
        </w:tc>
        <w:tc>
          <w:tcPr>
            <w:tcW w:w="1183"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9.3%</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7</w:t>
            </w:r>
          </w:p>
        </w:tc>
        <w:tc>
          <w:tcPr>
            <w:tcW w:w="1078"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5.2%</w:t>
            </w:r>
          </w:p>
        </w:tc>
        <w:tc>
          <w:tcPr>
            <w:tcW w:w="151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83.5%</w:t>
            </w:r>
          </w:p>
        </w:tc>
        <w:tc>
          <w:tcPr>
            <w:tcW w:w="1984"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3.2%</w:t>
            </w:r>
          </w:p>
        </w:tc>
        <w:tc>
          <w:tcPr>
            <w:tcW w:w="1183"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8.2%</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8a</w:t>
            </w:r>
          </w:p>
        </w:tc>
        <w:tc>
          <w:tcPr>
            <w:tcW w:w="107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6.6%</w:t>
            </w:r>
          </w:p>
        </w:tc>
        <w:tc>
          <w:tcPr>
            <w:tcW w:w="151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82.9%</w:t>
            </w:r>
          </w:p>
        </w:tc>
        <w:tc>
          <w:tcPr>
            <w:tcW w:w="1984"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3.1%</w:t>
            </w:r>
          </w:p>
        </w:tc>
        <w:tc>
          <w:tcPr>
            <w:tcW w:w="1183"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7.4%</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8b</w:t>
            </w:r>
          </w:p>
        </w:tc>
        <w:tc>
          <w:tcPr>
            <w:tcW w:w="107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9.8%</w:t>
            </w:r>
          </w:p>
        </w:tc>
        <w:tc>
          <w:tcPr>
            <w:tcW w:w="151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83.0%</w:t>
            </w:r>
          </w:p>
        </w:tc>
        <w:tc>
          <w:tcPr>
            <w:tcW w:w="1984"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1.8%</w:t>
            </w:r>
          </w:p>
        </w:tc>
        <w:tc>
          <w:tcPr>
            <w:tcW w:w="1183"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5.4%</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8c</w:t>
            </w:r>
          </w:p>
        </w:tc>
        <w:tc>
          <w:tcPr>
            <w:tcW w:w="1078"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2.5%</w:t>
            </w:r>
          </w:p>
        </w:tc>
        <w:tc>
          <w:tcPr>
            <w:tcW w:w="151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85.0%</w:t>
            </w:r>
          </w:p>
        </w:tc>
        <w:tc>
          <w:tcPr>
            <w:tcW w:w="1984"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7.5%</w:t>
            </w:r>
          </w:p>
        </w:tc>
        <w:tc>
          <w:tcPr>
            <w:tcW w:w="1183"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5.0%</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8d</w:t>
            </w:r>
          </w:p>
        </w:tc>
        <w:tc>
          <w:tcPr>
            <w:tcW w:w="107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9.5%</w:t>
            </w:r>
          </w:p>
        </w:tc>
        <w:tc>
          <w:tcPr>
            <w:tcW w:w="1518"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66.7%</w:t>
            </w:r>
          </w:p>
        </w:tc>
        <w:tc>
          <w:tcPr>
            <w:tcW w:w="1984"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9.5%</w:t>
            </w:r>
          </w:p>
        </w:tc>
        <w:tc>
          <w:tcPr>
            <w:tcW w:w="1183"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14.3%</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9</w:t>
            </w:r>
          </w:p>
        </w:tc>
        <w:tc>
          <w:tcPr>
            <w:tcW w:w="1078"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12.5%</w:t>
            </w:r>
          </w:p>
        </w:tc>
        <w:tc>
          <w:tcPr>
            <w:tcW w:w="1518"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75.0%</w:t>
            </w:r>
          </w:p>
        </w:tc>
        <w:tc>
          <w:tcPr>
            <w:tcW w:w="1984"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6.3%</w:t>
            </w:r>
          </w:p>
        </w:tc>
        <w:tc>
          <w:tcPr>
            <w:tcW w:w="1183"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6.3%</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Directors</w:t>
            </w:r>
          </w:p>
        </w:tc>
        <w:tc>
          <w:tcPr>
            <w:tcW w:w="1078"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1518"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54.5%</w:t>
            </w:r>
          </w:p>
        </w:tc>
        <w:tc>
          <w:tcPr>
            <w:tcW w:w="1984"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45.5%</w:t>
            </w:r>
          </w:p>
        </w:tc>
        <w:tc>
          <w:tcPr>
            <w:tcW w:w="1183"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Consultant</w:t>
            </w:r>
          </w:p>
        </w:tc>
        <w:tc>
          <w:tcPr>
            <w:tcW w:w="1078"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1.0%</w:t>
            </w:r>
          </w:p>
        </w:tc>
        <w:tc>
          <w:tcPr>
            <w:tcW w:w="1518"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73.8%</w:t>
            </w:r>
          </w:p>
        </w:tc>
        <w:tc>
          <w:tcPr>
            <w:tcW w:w="1984"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23.9%</w:t>
            </w:r>
          </w:p>
        </w:tc>
        <w:tc>
          <w:tcPr>
            <w:tcW w:w="1183"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1.2%</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Middle Grade</w:t>
            </w:r>
          </w:p>
        </w:tc>
        <w:tc>
          <w:tcPr>
            <w:tcW w:w="1078"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1.8%</w:t>
            </w:r>
          </w:p>
        </w:tc>
        <w:tc>
          <w:tcPr>
            <w:tcW w:w="1518"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58.2%</w:t>
            </w:r>
          </w:p>
        </w:tc>
        <w:tc>
          <w:tcPr>
            <w:tcW w:w="1984"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36.4%</w:t>
            </w:r>
          </w:p>
        </w:tc>
        <w:tc>
          <w:tcPr>
            <w:tcW w:w="1183"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3.6%</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Training</w:t>
            </w:r>
          </w:p>
        </w:tc>
        <w:tc>
          <w:tcPr>
            <w:tcW w:w="1078"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4.2%</w:t>
            </w:r>
          </w:p>
        </w:tc>
        <w:tc>
          <w:tcPr>
            <w:tcW w:w="1518"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81.5%</w:t>
            </w:r>
          </w:p>
        </w:tc>
        <w:tc>
          <w:tcPr>
            <w:tcW w:w="1984" w:type="dxa"/>
            <w:shd w:val="clear" w:color="auto" w:fill="41B6E6"/>
            <w:noWrap/>
            <w:vAlign w:val="bottom"/>
            <w:hideMark/>
          </w:tcPr>
          <w:p w:rsidR="00895BEF" w:rsidRPr="00C92A79" w:rsidRDefault="00895BEF" w:rsidP="00895BEF">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8.8%</w:t>
            </w:r>
          </w:p>
        </w:tc>
        <w:tc>
          <w:tcPr>
            <w:tcW w:w="1183"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5.5%</w:t>
            </w:r>
          </w:p>
        </w:tc>
      </w:tr>
      <w:tr w:rsidR="00895BEF" w:rsidRPr="00AE49C8" w:rsidTr="00C92A79">
        <w:trPr>
          <w:cantSplit/>
          <w:trHeight w:val="288"/>
          <w:tblHeader/>
        </w:trPr>
        <w:tc>
          <w:tcPr>
            <w:tcW w:w="2709"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Local Scale</w:t>
            </w:r>
          </w:p>
        </w:tc>
        <w:tc>
          <w:tcPr>
            <w:tcW w:w="1078"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1518" w:type="dxa"/>
            <w:shd w:val="clear" w:color="auto" w:fill="41B6E6"/>
            <w:noWrap/>
            <w:vAlign w:val="bottom"/>
            <w:hideMark/>
          </w:tcPr>
          <w:p w:rsidR="00895BEF" w:rsidRPr="00AE49C8" w:rsidRDefault="00895BEF" w:rsidP="00895BEF">
            <w:pPr>
              <w:spacing w:after="0" w:line="240" w:lineRule="auto"/>
              <w:jc w:val="center"/>
              <w:rPr>
                <w:rFonts w:eastAsia="Times New Roman"/>
                <w:b/>
                <w:bCs/>
                <w:color w:val="000000"/>
                <w:szCs w:val="24"/>
                <w:lang w:eastAsia="en-GB"/>
              </w:rPr>
            </w:pPr>
            <w:r w:rsidRPr="00C92A79">
              <w:rPr>
                <w:rFonts w:eastAsia="Times New Roman"/>
                <w:b/>
                <w:bCs/>
                <w:color w:val="FFFFFF" w:themeColor="background1"/>
                <w:szCs w:val="24"/>
                <w:lang w:eastAsia="en-GB"/>
              </w:rPr>
              <w:t>100.0%</w:t>
            </w:r>
          </w:p>
        </w:tc>
        <w:tc>
          <w:tcPr>
            <w:tcW w:w="1984"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auto"/>
            <w:noWrap/>
            <w:vAlign w:val="bottom"/>
            <w:hideMark/>
          </w:tcPr>
          <w:p w:rsidR="00895BEF" w:rsidRPr="00AE49C8" w:rsidRDefault="00895BEF" w:rsidP="00895BEF">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r>
    </w:tbl>
    <w:p w:rsidR="00895BEF" w:rsidRPr="00AE49C8" w:rsidRDefault="00895BEF" w:rsidP="00895BEF">
      <w:pPr>
        <w:rPr>
          <w:b/>
        </w:rPr>
      </w:pPr>
    </w:p>
    <w:p w:rsidR="00895BEF" w:rsidRPr="000D2F61" w:rsidRDefault="00895BEF" w:rsidP="00895BEF">
      <w:r w:rsidRPr="000D2F61">
        <w:t>Observations</w:t>
      </w:r>
    </w:p>
    <w:p w:rsidR="00895BEF" w:rsidRPr="00AE49C8" w:rsidRDefault="00A007D3" w:rsidP="00A007D3">
      <w:pPr>
        <w:pStyle w:val="ListParagraph"/>
      </w:pPr>
      <w:r w:rsidRPr="00AE49C8">
        <w:t>Compared to the overall workforce representation, disabled staff have a higher than expected representation in bands 1-5, 8a-b and 8d-9. It appears that there is a lower than expected representation of disabled staff in bands/grades 6-7, 8c, directors and all medical grades.</w:t>
      </w:r>
    </w:p>
    <w:p w:rsidR="00A007D3" w:rsidRPr="00AE49C8" w:rsidRDefault="00A007D3" w:rsidP="00A007D3">
      <w:pPr>
        <w:pStyle w:val="ListParagraph"/>
      </w:pPr>
      <w:r w:rsidRPr="00AE49C8">
        <w:t>Staff have declined to specify their disability status is particularly noticeable in director-level posts and medical consultants and middle grades.</w:t>
      </w:r>
    </w:p>
    <w:p w:rsidR="00A007D3" w:rsidRPr="00AE49C8" w:rsidRDefault="00A007D3" w:rsidP="00A007D3">
      <w:pPr>
        <w:pStyle w:val="ListParagraph"/>
      </w:pPr>
      <w:r w:rsidRPr="00AE49C8">
        <w:t>Staff whose disability status is unknown (i.e. a blank field) is throughout the workforce.</w:t>
      </w:r>
    </w:p>
    <w:p w:rsidR="00C92A79" w:rsidRDefault="00C92A79">
      <w:pPr>
        <w:widowControl w:val="0"/>
        <w:rPr>
          <w:b/>
        </w:rPr>
      </w:pPr>
      <w:r>
        <w:rPr>
          <w:b/>
        </w:rPr>
        <w:br w:type="page"/>
      </w:r>
    </w:p>
    <w:p w:rsidR="00895BEF" w:rsidRPr="00AE49C8" w:rsidRDefault="00895BEF" w:rsidP="00895BEF">
      <w:pPr>
        <w:rPr>
          <w:b/>
        </w:rPr>
      </w:pPr>
      <w:r w:rsidRPr="00AE49C8">
        <w:rPr>
          <w:b/>
        </w:rPr>
        <w:lastRenderedPageBreak/>
        <w:t>WSHT</w:t>
      </w:r>
    </w:p>
    <w:tbl>
      <w:tblPr>
        <w:tblW w:w="8853" w:type="dxa"/>
        <w:tblInd w:w="93" w:type="dxa"/>
        <w:tblBorders>
          <w:insideH w:val="dotted" w:sz="4" w:space="0" w:color="auto"/>
        </w:tblBorders>
        <w:tblLook w:val="04A0" w:firstRow="1" w:lastRow="0" w:firstColumn="1" w:lastColumn="0" w:noHBand="0" w:noVBand="1"/>
        <w:tblCaption w:val="Representation of the workforce by pay band or grade and disability status"/>
      </w:tblPr>
      <w:tblGrid>
        <w:gridCol w:w="3020"/>
        <w:gridCol w:w="1217"/>
        <w:gridCol w:w="1260"/>
        <w:gridCol w:w="327"/>
        <w:gridCol w:w="1313"/>
        <w:gridCol w:w="672"/>
        <w:gridCol w:w="1296"/>
      </w:tblGrid>
      <w:tr w:rsidR="00895BEF" w:rsidRPr="00AE49C8" w:rsidTr="00A007D3">
        <w:trPr>
          <w:cantSplit/>
          <w:trHeight w:val="288"/>
          <w:tblHeader/>
        </w:trPr>
        <w:tc>
          <w:tcPr>
            <w:tcW w:w="3020" w:type="dxa"/>
            <w:shd w:val="clear" w:color="auto" w:fill="auto"/>
            <w:noWrap/>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Pay Band</w:t>
            </w:r>
          </w:p>
        </w:tc>
        <w:tc>
          <w:tcPr>
            <w:tcW w:w="1078" w:type="dxa"/>
            <w:shd w:val="clear" w:color="auto" w:fill="auto"/>
            <w:noWrap/>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Disabled</w:t>
            </w:r>
          </w:p>
        </w:tc>
        <w:tc>
          <w:tcPr>
            <w:tcW w:w="1587" w:type="dxa"/>
            <w:gridSpan w:val="2"/>
            <w:shd w:val="clear" w:color="auto" w:fill="auto"/>
            <w:noWrap/>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Not Disabled</w:t>
            </w:r>
          </w:p>
        </w:tc>
        <w:tc>
          <w:tcPr>
            <w:tcW w:w="1985" w:type="dxa"/>
            <w:gridSpan w:val="2"/>
            <w:shd w:val="clear" w:color="auto" w:fill="auto"/>
            <w:noWrap/>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Prefer not to Say</w:t>
            </w:r>
          </w:p>
        </w:tc>
        <w:tc>
          <w:tcPr>
            <w:tcW w:w="1183" w:type="dxa"/>
            <w:shd w:val="clear" w:color="auto" w:fill="auto"/>
            <w:noWrap/>
            <w:hideMark/>
          </w:tcPr>
          <w:p w:rsidR="00895BEF" w:rsidRPr="00AE49C8" w:rsidRDefault="00895BEF" w:rsidP="00895BEF">
            <w:pPr>
              <w:spacing w:after="0" w:line="240" w:lineRule="auto"/>
              <w:rPr>
                <w:rFonts w:eastAsia="Times New Roman"/>
                <w:b/>
                <w:bCs/>
                <w:color w:val="000000"/>
                <w:szCs w:val="24"/>
                <w:lang w:eastAsia="en-GB"/>
              </w:rPr>
            </w:pPr>
            <w:r w:rsidRPr="00AE49C8">
              <w:rPr>
                <w:rFonts w:eastAsia="Times New Roman"/>
                <w:b/>
                <w:bCs/>
                <w:color w:val="000000"/>
                <w:szCs w:val="24"/>
                <w:lang w:eastAsia="en-GB"/>
              </w:rPr>
              <w:t>Unknown</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1</w:t>
            </w:r>
          </w:p>
        </w:tc>
        <w:tc>
          <w:tcPr>
            <w:tcW w:w="1078" w:type="dxa"/>
            <w:shd w:val="clear" w:color="auto" w:fill="009639"/>
            <w:noWrap/>
            <w:vAlign w:val="bottom"/>
            <w:hideMark/>
          </w:tcPr>
          <w:p w:rsidR="00895BEF" w:rsidRPr="00C92A79" w:rsidRDefault="00895BEF" w:rsidP="00895BEF">
            <w:pPr>
              <w:spacing w:after="0" w:line="240" w:lineRule="auto"/>
              <w:ind w:left="6"/>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12.2%</w:t>
            </w:r>
          </w:p>
        </w:tc>
        <w:tc>
          <w:tcPr>
            <w:tcW w:w="12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43.9%</w:t>
            </w:r>
          </w:p>
        </w:tc>
        <w:tc>
          <w:tcPr>
            <w:tcW w:w="1640" w:type="dxa"/>
            <w:gridSpan w:val="2"/>
            <w:shd w:val="clear" w:color="auto" w:fill="009639"/>
            <w:noWrap/>
            <w:vAlign w:val="bottom"/>
            <w:hideMark/>
          </w:tcPr>
          <w:p w:rsidR="00895BEF" w:rsidRPr="00C92A79" w:rsidRDefault="00895BEF" w:rsidP="00895BEF">
            <w:pPr>
              <w:spacing w:after="0" w:line="240" w:lineRule="auto"/>
              <w:ind w:left="361"/>
              <w:rPr>
                <w:rFonts w:eastAsia="Times New Roman"/>
                <w:b/>
                <w:bCs/>
                <w:color w:val="FFFFFF" w:themeColor="background1"/>
                <w:szCs w:val="24"/>
                <w:lang w:eastAsia="en-GB"/>
              </w:rPr>
            </w:pPr>
            <w:r w:rsidRPr="00C92A79">
              <w:rPr>
                <w:rFonts w:eastAsia="Times New Roman"/>
                <w:b/>
                <w:bCs/>
                <w:color w:val="FFFFFF" w:themeColor="background1"/>
                <w:szCs w:val="24"/>
                <w:lang w:eastAsia="en-GB"/>
              </w:rPr>
              <w:t>22.0%</w:t>
            </w:r>
          </w:p>
        </w:tc>
        <w:tc>
          <w:tcPr>
            <w:tcW w:w="1855" w:type="dxa"/>
            <w:gridSpan w:val="2"/>
            <w:shd w:val="clear" w:color="auto" w:fill="009639"/>
            <w:noWrap/>
            <w:vAlign w:val="bottom"/>
            <w:hideMark/>
          </w:tcPr>
          <w:p w:rsidR="00895BEF" w:rsidRPr="00C92A79" w:rsidRDefault="00895BEF" w:rsidP="00895BEF">
            <w:pPr>
              <w:spacing w:after="0" w:line="240" w:lineRule="auto"/>
              <w:ind w:right="-590"/>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22.0%</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2</w:t>
            </w:r>
          </w:p>
        </w:tc>
        <w:tc>
          <w:tcPr>
            <w:tcW w:w="1078" w:type="dxa"/>
            <w:shd w:val="clear" w:color="auto" w:fill="009639"/>
            <w:noWrap/>
            <w:vAlign w:val="bottom"/>
            <w:hideMark/>
          </w:tcPr>
          <w:p w:rsidR="00895BEF" w:rsidRPr="00C92A79" w:rsidRDefault="00895BEF" w:rsidP="00895BEF">
            <w:pPr>
              <w:spacing w:after="0" w:line="240" w:lineRule="auto"/>
              <w:ind w:left="6"/>
              <w:rPr>
                <w:rFonts w:eastAsia="Times New Roman"/>
                <w:b/>
                <w:bCs/>
                <w:color w:val="FFFFFF" w:themeColor="background1"/>
                <w:szCs w:val="24"/>
                <w:lang w:eastAsia="en-GB"/>
              </w:rPr>
            </w:pPr>
            <w:r w:rsidRPr="00C92A79">
              <w:rPr>
                <w:rFonts w:eastAsia="Times New Roman"/>
                <w:b/>
                <w:bCs/>
                <w:color w:val="FFFFFF" w:themeColor="background1"/>
                <w:szCs w:val="24"/>
                <w:lang w:eastAsia="en-GB"/>
              </w:rPr>
              <w:t>3.4%</w:t>
            </w:r>
          </w:p>
        </w:tc>
        <w:tc>
          <w:tcPr>
            <w:tcW w:w="12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71.6%</w:t>
            </w:r>
          </w:p>
        </w:tc>
        <w:tc>
          <w:tcPr>
            <w:tcW w:w="1640" w:type="dxa"/>
            <w:gridSpan w:val="2"/>
            <w:shd w:val="clear" w:color="auto" w:fill="auto"/>
            <w:noWrap/>
            <w:vAlign w:val="bottom"/>
            <w:hideMark/>
          </w:tcPr>
          <w:p w:rsidR="00895BEF" w:rsidRPr="00AE49C8" w:rsidRDefault="00895BEF" w:rsidP="00895BEF">
            <w:pPr>
              <w:spacing w:after="0" w:line="240" w:lineRule="auto"/>
              <w:ind w:left="361"/>
              <w:rPr>
                <w:rFonts w:eastAsia="Times New Roman"/>
                <w:color w:val="000000"/>
                <w:szCs w:val="24"/>
                <w:lang w:eastAsia="en-GB"/>
              </w:rPr>
            </w:pPr>
            <w:r w:rsidRPr="00AE49C8">
              <w:rPr>
                <w:rFonts w:eastAsia="Times New Roman"/>
                <w:color w:val="000000"/>
                <w:szCs w:val="24"/>
                <w:lang w:eastAsia="en-GB"/>
              </w:rPr>
              <w:t>16.6%</w:t>
            </w:r>
          </w:p>
        </w:tc>
        <w:tc>
          <w:tcPr>
            <w:tcW w:w="1855" w:type="dxa"/>
            <w:gridSpan w:val="2"/>
            <w:shd w:val="clear" w:color="auto" w:fill="009639"/>
            <w:noWrap/>
            <w:vAlign w:val="bottom"/>
            <w:hideMark/>
          </w:tcPr>
          <w:p w:rsidR="00895BEF" w:rsidRPr="00C92A79" w:rsidRDefault="00895BEF" w:rsidP="00895BEF">
            <w:pPr>
              <w:spacing w:after="0" w:line="240" w:lineRule="auto"/>
              <w:ind w:right="-590"/>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8.4%</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3</w:t>
            </w:r>
          </w:p>
        </w:tc>
        <w:tc>
          <w:tcPr>
            <w:tcW w:w="1078" w:type="dxa"/>
            <w:shd w:val="clear" w:color="auto" w:fill="auto"/>
            <w:noWrap/>
            <w:vAlign w:val="bottom"/>
            <w:hideMark/>
          </w:tcPr>
          <w:p w:rsidR="00895BEF" w:rsidRPr="00AE49C8" w:rsidRDefault="00895BEF" w:rsidP="00895BEF">
            <w:pPr>
              <w:spacing w:after="0" w:line="240" w:lineRule="auto"/>
              <w:ind w:left="6"/>
              <w:rPr>
                <w:rFonts w:eastAsia="Times New Roman"/>
                <w:color w:val="000000"/>
                <w:szCs w:val="24"/>
                <w:lang w:eastAsia="en-GB"/>
              </w:rPr>
            </w:pPr>
            <w:r w:rsidRPr="00AE49C8">
              <w:rPr>
                <w:rFonts w:eastAsia="Times New Roman"/>
                <w:color w:val="000000"/>
                <w:szCs w:val="24"/>
                <w:lang w:eastAsia="en-GB"/>
              </w:rPr>
              <w:t>2.9%</w:t>
            </w:r>
          </w:p>
        </w:tc>
        <w:tc>
          <w:tcPr>
            <w:tcW w:w="1260" w:type="dxa"/>
            <w:shd w:val="clear" w:color="auto" w:fill="009639"/>
            <w:noWrap/>
            <w:vAlign w:val="bottom"/>
            <w:hideMark/>
          </w:tcPr>
          <w:p w:rsidR="00895BEF" w:rsidRPr="00C92A79" w:rsidRDefault="00895BEF" w:rsidP="00895BE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78.5%</w:t>
            </w:r>
          </w:p>
        </w:tc>
        <w:tc>
          <w:tcPr>
            <w:tcW w:w="1640" w:type="dxa"/>
            <w:gridSpan w:val="2"/>
            <w:shd w:val="clear" w:color="auto" w:fill="auto"/>
            <w:noWrap/>
            <w:vAlign w:val="bottom"/>
            <w:hideMark/>
          </w:tcPr>
          <w:p w:rsidR="00895BEF" w:rsidRPr="00AE49C8" w:rsidRDefault="00895BEF" w:rsidP="00895BEF">
            <w:pPr>
              <w:spacing w:after="0" w:line="240" w:lineRule="auto"/>
              <w:ind w:left="361"/>
              <w:rPr>
                <w:rFonts w:eastAsia="Times New Roman"/>
                <w:color w:val="000000"/>
                <w:szCs w:val="24"/>
                <w:lang w:eastAsia="en-GB"/>
              </w:rPr>
            </w:pPr>
            <w:r w:rsidRPr="00AE49C8">
              <w:rPr>
                <w:rFonts w:eastAsia="Times New Roman"/>
                <w:color w:val="000000"/>
                <w:szCs w:val="24"/>
                <w:lang w:eastAsia="en-GB"/>
              </w:rPr>
              <w:t>12.8%</w:t>
            </w:r>
          </w:p>
        </w:tc>
        <w:tc>
          <w:tcPr>
            <w:tcW w:w="1855" w:type="dxa"/>
            <w:gridSpan w:val="2"/>
            <w:shd w:val="clear" w:color="auto" w:fill="auto"/>
            <w:noWrap/>
            <w:vAlign w:val="bottom"/>
            <w:hideMark/>
          </w:tcPr>
          <w:p w:rsidR="00895BEF" w:rsidRPr="00AE49C8" w:rsidRDefault="00895BEF" w:rsidP="00895BEF">
            <w:pPr>
              <w:spacing w:after="0" w:line="240" w:lineRule="auto"/>
              <w:ind w:right="-590"/>
              <w:jc w:val="center"/>
              <w:rPr>
                <w:rFonts w:eastAsia="Times New Roman"/>
                <w:color w:val="000000"/>
                <w:szCs w:val="24"/>
                <w:lang w:eastAsia="en-GB"/>
              </w:rPr>
            </w:pPr>
            <w:r w:rsidRPr="00AE49C8">
              <w:rPr>
                <w:rFonts w:eastAsia="Times New Roman"/>
                <w:color w:val="000000"/>
                <w:szCs w:val="24"/>
                <w:lang w:eastAsia="en-GB"/>
              </w:rPr>
              <w:t>5.7%</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4</w:t>
            </w:r>
          </w:p>
        </w:tc>
        <w:tc>
          <w:tcPr>
            <w:tcW w:w="1078" w:type="dxa"/>
            <w:shd w:val="clear" w:color="auto" w:fill="009639"/>
            <w:noWrap/>
            <w:vAlign w:val="bottom"/>
            <w:hideMark/>
          </w:tcPr>
          <w:p w:rsidR="00895BEF" w:rsidRPr="00C92A79" w:rsidRDefault="00895BEF" w:rsidP="00895BEF">
            <w:pPr>
              <w:spacing w:after="0" w:line="240" w:lineRule="auto"/>
              <w:ind w:left="6"/>
              <w:rPr>
                <w:rFonts w:eastAsia="Times New Roman"/>
                <w:b/>
                <w:bCs/>
                <w:color w:val="FFFFFF" w:themeColor="background1"/>
                <w:szCs w:val="24"/>
                <w:lang w:eastAsia="en-GB"/>
              </w:rPr>
            </w:pPr>
            <w:r w:rsidRPr="00C92A79">
              <w:rPr>
                <w:rFonts w:eastAsia="Times New Roman"/>
                <w:b/>
                <w:bCs/>
                <w:color w:val="FFFFFF" w:themeColor="background1"/>
                <w:szCs w:val="24"/>
                <w:lang w:eastAsia="en-GB"/>
              </w:rPr>
              <w:t>4.5%</w:t>
            </w:r>
          </w:p>
        </w:tc>
        <w:tc>
          <w:tcPr>
            <w:tcW w:w="1260" w:type="dxa"/>
            <w:shd w:val="clear" w:color="auto" w:fill="009639"/>
            <w:noWrap/>
            <w:vAlign w:val="bottom"/>
            <w:hideMark/>
          </w:tcPr>
          <w:p w:rsidR="00895BEF" w:rsidRPr="00C92A79" w:rsidRDefault="00895BEF" w:rsidP="00895BE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73.5%</w:t>
            </w:r>
          </w:p>
        </w:tc>
        <w:tc>
          <w:tcPr>
            <w:tcW w:w="1640" w:type="dxa"/>
            <w:gridSpan w:val="2"/>
            <w:shd w:val="clear" w:color="auto" w:fill="auto"/>
            <w:noWrap/>
            <w:vAlign w:val="bottom"/>
            <w:hideMark/>
          </w:tcPr>
          <w:p w:rsidR="00895BEF" w:rsidRPr="00AE49C8" w:rsidRDefault="00895BEF" w:rsidP="00895BEF">
            <w:pPr>
              <w:spacing w:after="0" w:line="240" w:lineRule="auto"/>
              <w:ind w:left="361"/>
              <w:rPr>
                <w:rFonts w:eastAsia="Times New Roman"/>
                <w:color w:val="000000"/>
                <w:szCs w:val="24"/>
                <w:lang w:eastAsia="en-GB"/>
              </w:rPr>
            </w:pPr>
            <w:r w:rsidRPr="00AE49C8">
              <w:rPr>
                <w:rFonts w:eastAsia="Times New Roman"/>
                <w:color w:val="000000"/>
                <w:szCs w:val="24"/>
                <w:lang w:eastAsia="en-GB"/>
              </w:rPr>
              <w:t>17.1%</w:t>
            </w:r>
          </w:p>
        </w:tc>
        <w:tc>
          <w:tcPr>
            <w:tcW w:w="1855" w:type="dxa"/>
            <w:gridSpan w:val="2"/>
            <w:shd w:val="clear" w:color="auto" w:fill="auto"/>
            <w:noWrap/>
            <w:vAlign w:val="bottom"/>
            <w:hideMark/>
          </w:tcPr>
          <w:p w:rsidR="00895BEF" w:rsidRPr="00AE49C8" w:rsidRDefault="00895BEF" w:rsidP="00895BEF">
            <w:pPr>
              <w:spacing w:after="0" w:line="240" w:lineRule="auto"/>
              <w:ind w:right="-590"/>
              <w:jc w:val="center"/>
              <w:rPr>
                <w:rFonts w:eastAsia="Times New Roman"/>
                <w:color w:val="000000"/>
                <w:szCs w:val="24"/>
                <w:lang w:eastAsia="en-GB"/>
              </w:rPr>
            </w:pPr>
            <w:r w:rsidRPr="00AE49C8">
              <w:rPr>
                <w:rFonts w:eastAsia="Times New Roman"/>
                <w:color w:val="000000"/>
                <w:szCs w:val="24"/>
                <w:lang w:eastAsia="en-GB"/>
              </w:rPr>
              <w:t>4.9%</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5</w:t>
            </w:r>
          </w:p>
        </w:tc>
        <w:tc>
          <w:tcPr>
            <w:tcW w:w="1078" w:type="dxa"/>
            <w:shd w:val="clear" w:color="auto" w:fill="auto"/>
            <w:noWrap/>
            <w:vAlign w:val="bottom"/>
            <w:hideMark/>
          </w:tcPr>
          <w:p w:rsidR="00895BEF" w:rsidRPr="00AE49C8" w:rsidRDefault="00895BEF" w:rsidP="00895BEF">
            <w:pPr>
              <w:spacing w:after="0" w:line="240" w:lineRule="auto"/>
              <w:ind w:left="6"/>
              <w:rPr>
                <w:rFonts w:eastAsia="Times New Roman"/>
                <w:color w:val="000000"/>
                <w:szCs w:val="24"/>
                <w:lang w:eastAsia="en-GB"/>
              </w:rPr>
            </w:pPr>
            <w:r w:rsidRPr="00AE49C8">
              <w:rPr>
                <w:rFonts w:eastAsia="Times New Roman"/>
                <w:color w:val="000000"/>
                <w:szCs w:val="24"/>
                <w:lang w:eastAsia="en-GB"/>
              </w:rPr>
              <w:t>2.7%</w:t>
            </w:r>
          </w:p>
        </w:tc>
        <w:tc>
          <w:tcPr>
            <w:tcW w:w="12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67.8%</w:t>
            </w:r>
          </w:p>
        </w:tc>
        <w:tc>
          <w:tcPr>
            <w:tcW w:w="1640" w:type="dxa"/>
            <w:gridSpan w:val="2"/>
            <w:shd w:val="clear" w:color="auto" w:fill="009639"/>
            <w:noWrap/>
            <w:vAlign w:val="bottom"/>
            <w:hideMark/>
          </w:tcPr>
          <w:p w:rsidR="00895BEF" w:rsidRPr="00C92A79" w:rsidRDefault="00895BEF" w:rsidP="00895BEF">
            <w:pPr>
              <w:spacing w:after="0" w:line="240" w:lineRule="auto"/>
              <w:ind w:left="361"/>
              <w:rPr>
                <w:rFonts w:eastAsia="Times New Roman"/>
                <w:b/>
                <w:bCs/>
                <w:color w:val="FFFFFF" w:themeColor="background1"/>
                <w:szCs w:val="24"/>
                <w:lang w:eastAsia="en-GB"/>
              </w:rPr>
            </w:pPr>
            <w:r w:rsidRPr="00C92A79">
              <w:rPr>
                <w:rFonts w:eastAsia="Times New Roman"/>
                <w:b/>
                <w:bCs/>
                <w:color w:val="FFFFFF" w:themeColor="background1"/>
                <w:szCs w:val="24"/>
                <w:lang w:eastAsia="en-GB"/>
              </w:rPr>
              <w:t>22.7%</w:t>
            </w:r>
          </w:p>
        </w:tc>
        <w:tc>
          <w:tcPr>
            <w:tcW w:w="1855" w:type="dxa"/>
            <w:gridSpan w:val="2"/>
            <w:shd w:val="clear" w:color="auto" w:fill="009639"/>
            <w:noWrap/>
            <w:vAlign w:val="bottom"/>
            <w:hideMark/>
          </w:tcPr>
          <w:p w:rsidR="00895BEF" w:rsidRPr="00C92A79" w:rsidRDefault="00895BEF" w:rsidP="00895BEF">
            <w:pPr>
              <w:spacing w:after="0" w:line="240" w:lineRule="auto"/>
              <w:ind w:right="-590"/>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6.8%</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6</w:t>
            </w:r>
          </w:p>
        </w:tc>
        <w:tc>
          <w:tcPr>
            <w:tcW w:w="1078" w:type="dxa"/>
            <w:shd w:val="clear" w:color="auto" w:fill="009639"/>
            <w:noWrap/>
            <w:vAlign w:val="bottom"/>
            <w:hideMark/>
          </w:tcPr>
          <w:p w:rsidR="00895BEF" w:rsidRPr="00C92A79" w:rsidRDefault="00895BEF" w:rsidP="00895BEF">
            <w:pPr>
              <w:spacing w:after="0" w:line="240" w:lineRule="auto"/>
              <w:ind w:left="6"/>
              <w:rPr>
                <w:rFonts w:eastAsia="Times New Roman"/>
                <w:b/>
                <w:bCs/>
                <w:color w:val="FFFFFF" w:themeColor="background1"/>
                <w:szCs w:val="24"/>
                <w:lang w:eastAsia="en-GB"/>
              </w:rPr>
            </w:pPr>
            <w:r w:rsidRPr="00C92A79">
              <w:rPr>
                <w:rFonts w:eastAsia="Times New Roman"/>
                <w:b/>
                <w:bCs/>
                <w:color w:val="FFFFFF" w:themeColor="background1"/>
                <w:szCs w:val="24"/>
                <w:lang w:eastAsia="en-GB"/>
              </w:rPr>
              <w:t>3.2%</w:t>
            </w:r>
          </w:p>
        </w:tc>
        <w:tc>
          <w:tcPr>
            <w:tcW w:w="1260" w:type="dxa"/>
            <w:shd w:val="clear" w:color="auto" w:fill="009639"/>
            <w:noWrap/>
            <w:vAlign w:val="bottom"/>
            <w:hideMark/>
          </w:tcPr>
          <w:p w:rsidR="00895BEF" w:rsidRPr="00C92A79" w:rsidRDefault="00895BEF" w:rsidP="00895BE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76.0%</w:t>
            </w:r>
          </w:p>
        </w:tc>
        <w:tc>
          <w:tcPr>
            <w:tcW w:w="1640" w:type="dxa"/>
            <w:gridSpan w:val="2"/>
            <w:shd w:val="clear" w:color="auto" w:fill="auto"/>
            <w:noWrap/>
            <w:vAlign w:val="bottom"/>
            <w:hideMark/>
          </w:tcPr>
          <w:p w:rsidR="00895BEF" w:rsidRPr="00AE49C8" w:rsidRDefault="00895BEF" w:rsidP="00895BEF">
            <w:pPr>
              <w:spacing w:after="0" w:line="240" w:lineRule="auto"/>
              <w:ind w:left="361"/>
              <w:rPr>
                <w:rFonts w:eastAsia="Times New Roman"/>
                <w:color w:val="000000"/>
                <w:szCs w:val="24"/>
                <w:lang w:eastAsia="en-GB"/>
              </w:rPr>
            </w:pPr>
            <w:r w:rsidRPr="00AE49C8">
              <w:rPr>
                <w:rFonts w:eastAsia="Times New Roman"/>
                <w:color w:val="000000"/>
                <w:szCs w:val="24"/>
                <w:lang w:eastAsia="en-GB"/>
              </w:rPr>
              <w:t>15.8%</w:t>
            </w:r>
          </w:p>
        </w:tc>
        <w:tc>
          <w:tcPr>
            <w:tcW w:w="1855" w:type="dxa"/>
            <w:gridSpan w:val="2"/>
            <w:shd w:val="clear" w:color="auto" w:fill="auto"/>
            <w:noWrap/>
            <w:vAlign w:val="bottom"/>
            <w:hideMark/>
          </w:tcPr>
          <w:p w:rsidR="00895BEF" w:rsidRPr="00AE49C8" w:rsidRDefault="00895BEF" w:rsidP="00895BEF">
            <w:pPr>
              <w:spacing w:after="0" w:line="240" w:lineRule="auto"/>
              <w:ind w:right="-590"/>
              <w:jc w:val="center"/>
              <w:rPr>
                <w:rFonts w:eastAsia="Times New Roman"/>
                <w:color w:val="000000"/>
                <w:szCs w:val="24"/>
                <w:lang w:eastAsia="en-GB"/>
              </w:rPr>
            </w:pPr>
            <w:r w:rsidRPr="00AE49C8">
              <w:rPr>
                <w:rFonts w:eastAsia="Times New Roman"/>
                <w:color w:val="000000"/>
                <w:szCs w:val="24"/>
                <w:lang w:eastAsia="en-GB"/>
              </w:rPr>
              <w:t>4.9%</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7</w:t>
            </w:r>
          </w:p>
        </w:tc>
        <w:tc>
          <w:tcPr>
            <w:tcW w:w="1078" w:type="dxa"/>
            <w:shd w:val="clear" w:color="auto" w:fill="auto"/>
            <w:noWrap/>
            <w:vAlign w:val="bottom"/>
            <w:hideMark/>
          </w:tcPr>
          <w:p w:rsidR="00895BEF" w:rsidRPr="00AE49C8" w:rsidRDefault="00895BEF" w:rsidP="00895BEF">
            <w:pPr>
              <w:spacing w:after="0" w:line="240" w:lineRule="auto"/>
              <w:ind w:left="6"/>
              <w:rPr>
                <w:rFonts w:eastAsia="Times New Roman"/>
                <w:color w:val="000000"/>
                <w:szCs w:val="24"/>
                <w:lang w:eastAsia="en-GB"/>
              </w:rPr>
            </w:pPr>
            <w:r w:rsidRPr="00AE49C8">
              <w:rPr>
                <w:rFonts w:eastAsia="Times New Roman"/>
                <w:color w:val="000000"/>
                <w:szCs w:val="24"/>
                <w:lang w:eastAsia="en-GB"/>
              </w:rPr>
              <w:t>2.4%</w:t>
            </w:r>
          </w:p>
        </w:tc>
        <w:tc>
          <w:tcPr>
            <w:tcW w:w="1260" w:type="dxa"/>
            <w:shd w:val="clear" w:color="auto" w:fill="009639"/>
            <w:noWrap/>
            <w:vAlign w:val="bottom"/>
            <w:hideMark/>
          </w:tcPr>
          <w:p w:rsidR="00895BEF" w:rsidRPr="00C92A79" w:rsidRDefault="00895BEF" w:rsidP="00895BE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72.8%</w:t>
            </w:r>
          </w:p>
        </w:tc>
        <w:tc>
          <w:tcPr>
            <w:tcW w:w="1640" w:type="dxa"/>
            <w:gridSpan w:val="2"/>
            <w:shd w:val="clear" w:color="auto" w:fill="auto"/>
            <w:noWrap/>
            <w:vAlign w:val="bottom"/>
            <w:hideMark/>
          </w:tcPr>
          <w:p w:rsidR="00895BEF" w:rsidRPr="00AE49C8" w:rsidRDefault="00895BEF" w:rsidP="00895BEF">
            <w:pPr>
              <w:spacing w:after="0" w:line="240" w:lineRule="auto"/>
              <w:ind w:left="361"/>
              <w:rPr>
                <w:rFonts w:eastAsia="Times New Roman"/>
                <w:color w:val="000000"/>
                <w:szCs w:val="24"/>
                <w:lang w:eastAsia="en-GB"/>
              </w:rPr>
            </w:pPr>
            <w:r w:rsidRPr="00AE49C8">
              <w:rPr>
                <w:rFonts w:eastAsia="Times New Roman"/>
                <w:color w:val="000000"/>
                <w:szCs w:val="24"/>
                <w:lang w:eastAsia="en-GB"/>
              </w:rPr>
              <w:t>17.5%</w:t>
            </w:r>
          </w:p>
        </w:tc>
        <w:tc>
          <w:tcPr>
            <w:tcW w:w="1855" w:type="dxa"/>
            <w:gridSpan w:val="2"/>
            <w:shd w:val="clear" w:color="auto" w:fill="009639"/>
            <w:noWrap/>
            <w:vAlign w:val="bottom"/>
            <w:hideMark/>
          </w:tcPr>
          <w:p w:rsidR="00895BEF" w:rsidRPr="00C92A79" w:rsidRDefault="00895BEF" w:rsidP="00895BEF">
            <w:pPr>
              <w:spacing w:after="0" w:line="240" w:lineRule="auto"/>
              <w:ind w:right="-590"/>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7.3%</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8a</w:t>
            </w:r>
          </w:p>
        </w:tc>
        <w:tc>
          <w:tcPr>
            <w:tcW w:w="1078" w:type="dxa"/>
            <w:shd w:val="clear" w:color="auto" w:fill="auto"/>
            <w:noWrap/>
            <w:vAlign w:val="bottom"/>
            <w:hideMark/>
          </w:tcPr>
          <w:p w:rsidR="00895BEF" w:rsidRPr="00AE49C8" w:rsidRDefault="00895BEF" w:rsidP="00895BEF">
            <w:pPr>
              <w:spacing w:after="0" w:line="240" w:lineRule="auto"/>
              <w:ind w:left="6"/>
              <w:rPr>
                <w:rFonts w:eastAsia="Times New Roman"/>
                <w:color w:val="000000"/>
                <w:szCs w:val="24"/>
                <w:lang w:eastAsia="en-GB"/>
              </w:rPr>
            </w:pPr>
            <w:r w:rsidRPr="00AE49C8">
              <w:rPr>
                <w:rFonts w:eastAsia="Times New Roman"/>
                <w:color w:val="000000"/>
                <w:szCs w:val="24"/>
                <w:lang w:eastAsia="en-GB"/>
              </w:rPr>
              <w:t>2.4%</w:t>
            </w:r>
          </w:p>
        </w:tc>
        <w:tc>
          <w:tcPr>
            <w:tcW w:w="1260" w:type="dxa"/>
            <w:shd w:val="clear" w:color="auto" w:fill="009639"/>
            <w:noWrap/>
            <w:vAlign w:val="bottom"/>
            <w:hideMark/>
          </w:tcPr>
          <w:p w:rsidR="00895BEF" w:rsidRPr="00C92A79" w:rsidRDefault="00895BEF" w:rsidP="00895BE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78.6%</w:t>
            </w:r>
          </w:p>
        </w:tc>
        <w:tc>
          <w:tcPr>
            <w:tcW w:w="1640" w:type="dxa"/>
            <w:gridSpan w:val="2"/>
            <w:shd w:val="clear" w:color="auto" w:fill="auto"/>
            <w:noWrap/>
            <w:vAlign w:val="bottom"/>
            <w:hideMark/>
          </w:tcPr>
          <w:p w:rsidR="00895BEF" w:rsidRPr="00AE49C8" w:rsidRDefault="00895BEF" w:rsidP="00895BEF">
            <w:pPr>
              <w:spacing w:after="0" w:line="240" w:lineRule="auto"/>
              <w:ind w:left="361"/>
              <w:rPr>
                <w:rFonts w:eastAsia="Times New Roman"/>
                <w:color w:val="000000"/>
                <w:szCs w:val="24"/>
                <w:lang w:eastAsia="en-GB"/>
              </w:rPr>
            </w:pPr>
            <w:r w:rsidRPr="00AE49C8">
              <w:rPr>
                <w:rFonts w:eastAsia="Times New Roman"/>
                <w:color w:val="000000"/>
                <w:szCs w:val="24"/>
                <w:lang w:eastAsia="en-GB"/>
              </w:rPr>
              <w:t>14.3%</w:t>
            </w:r>
          </w:p>
        </w:tc>
        <w:tc>
          <w:tcPr>
            <w:tcW w:w="1855" w:type="dxa"/>
            <w:gridSpan w:val="2"/>
            <w:shd w:val="clear" w:color="auto" w:fill="auto"/>
            <w:noWrap/>
            <w:vAlign w:val="bottom"/>
            <w:hideMark/>
          </w:tcPr>
          <w:p w:rsidR="00895BEF" w:rsidRPr="00AE49C8" w:rsidRDefault="00895BEF" w:rsidP="00895BEF">
            <w:pPr>
              <w:spacing w:after="0" w:line="240" w:lineRule="auto"/>
              <w:ind w:right="-590"/>
              <w:jc w:val="center"/>
              <w:rPr>
                <w:rFonts w:eastAsia="Times New Roman"/>
                <w:color w:val="000000"/>
                <w:szCs w:val="24"/>
                <w:lang w:eastAsia="en-GB"/>
              </w:rPr>
            </w:pPr>
            <w:r w:rsidRPr="00AE49C8">
              <w:rPr>
                <w:rFonts w:eastAsia="Times New Roman"/>
                <w:color w:val="000000"/>
                <w:szCs w:val="24"/>
                <w:lang w:eastAsia="en-GB"/>
              </w:rPr>
              <w:t>4.8%</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8b</w:t>
            </w:r>
          </w:p>
        </w:tc>
        <w:tc>
          <w:tcPr>
            <w:tcW w:w="1078" w:type="dxa"/>
            <w:shd w:val="clear" w:color="auto" w:fill="009639"/>
            <w:noWrap/>
            <w:vAlign w:val="bottom"/>
            <w:hideMark/>
          </w:tcPr>
          <w:p w:rsidR="00895BEF" w:rsidRPr="00C92A79" w:rsidRDefault="00895BEF" w:rsidP="00895BEF">
            <w:pPr>
              <w:spacing w:after="0" w:line="240" w:lineRule="auto"/>
              <w:ind w:left="6"/>
              <w:rPr>
                <w:rFonts w:eastAsia="Times New Roman"/>
                <w:b/>
                <w:bCs/>
                <w:color w:val="FFFFFF" w:themeColor="background1"/>
                <w:szCs w:val="24"/>
                <w:lang w:eastAsia="en-GB"/>
              </w:rPr>
            </w:pPr>
            <w:r w:rsidRPr="00C92A79">
              <w:rPr>
                <w:rFonts w:eastAsia="Times New Roman"/>
                <w:b/>
                <w:bCs/>
                <w:color w:val="FFFFFF" w:themeColor="background1"/>
                <w:szCs w:val="24"/>
                <w:lang w:eastAsia="en-GB"/>
              </w:rPr>
              <w:t>5.6%</w:t>
            </w:r>
          </w:p>
        </w:tc>
        <w:tc>
          <w:tcPr>
            <w:tcW w:w="1260" w:type="dxa"/>
            <w:shd w:val="clear" w:color="auto" w:fill="009639"/>
            <w:noWrap/>
            <w:vAlign w:val="bottom"/>
            <w:hideMark/>
          </w:tcPr>
          <w:p w:rsidR="00895BEF" w:rsidRPr="00C92A79" w:rsidRDefault="00895BEF" w:rsidP="00895BE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74.6%</w:t>
            </w:r>
          </w:p>
        </w:tc>
        <w:tc>
          <w:tcPr>
            <w:tcW w:w="1640" w:type="dxa"/>
            <w:gridSpan w:val="2"/>
            <w:shd w:val="clear" w:color="auto" w:fill="auto"/>
            <w:noWrap/>
            <w:vAlign w:val="bottom"/>
            <w:hideMark/>
          </w:tcPr>
          <w:p w:rsidR="00895BEF" w:rsidRPr="00AE49C8" w:rsidRDefault="00895BEF" w:rsidP="00895BEF">
            <w:pPr>
              <w:spacing w:after="0" w:line="240" w:lineRule="auto"/>
              <w:ind w:left="361"/>
              <w:rPr>
                <w:rFonts w:eastAsia="Times New Roman"/>
                <w:color w:val="000000"/>
                <w:szCs w:val="24"/>
                <w:lang w:eastAsia="en-GB"/>
              </w:rPr>
            </w:pPr>
            <w:r w:rsidRPr="00AE49C8">
              <w:rPr>
                <w:rFonts w:eastAsia="Times New Roman"/>
                <w:color w:val="000000"/>
                <w:szCs w:val="24"/>
                <w:lang w:eastAsia="en-GB"/>
              </w:rPr>
              <w:t>16.9%</w:t>
            </w:r>
          </w:p>
        </w:tc>
        <w:tc>
          <w:tcPr>
            <w:tcW w:w="1855" w:type="dxa"/>
            <w:gridSpan w:val="2"/>
            <w:shd w:val="clear" w:color="auto" w:fill="auto"/>
            <w:noWrap/>
            <w:vAlign w:val="bottom"/>
            <w:hideMark/>
          </w:tcPr>
          <w:p w:rsidR="00895BEF" w:rsidRPr="00AE49C8" w:rsidRDefault="00895BEF" w:rsidP="00895BEF">
            <w:pPr>
              <w:spacing w:after="0" w:line="240" w:lineRule="auto"/>
              <w:ind w:right="-590"/>
              <w:jc w:val="center"/>
              <w:rPr>
                <w:rFonts w:eastAsia="Times New Roman"/>
                <w:color w:val="000000"/>
                <w:szCs w:val="24"/>
                <w:lang w:eastAsia="en-GB"/>
              </w:rPr>
            </w:pPr>
            <w:r w:rsidRPr="00AE49C8">
              <w:rPr>
                <w:rFonts w:eastAsia="Times New Roman"/>
                <w:color w:val="000000"/>
                <w:szCs w:val="24"/>
                <w:lang w:eastAsia="en-GB"/>
              </w:rPr>
              <w:t>2.8%</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8c</w:t>
            </w:r>
          </w:p>
        </w:tc>
        <w:tc>
          <w:tcPr>
            <w:tcW w:w="1078" w:type="dxa"/>
            <w:shd w:val="clear" w:color="auto" w:fill="auto"/>
            <w:noWrap/>
            <w:vAlign w:val="bottom"/>
            <w:hideMark/>
          </w:tcPr>
          <w:p w:rsidR="00895BEF" w:rsidRPr="00AE49C8" w:rsidRDefault="00895BEF" w:rsidP="00895BEF">
            <w:pPr>
              <w:spacing w:after="0" w:line="240" w:lineRule="auto"/>
              <w:ind w:left="6"/>
              <w:rPr>
                <w:rFonts w:eastAsia="Times New Roman"/>
                <w:color w:val="000000"/>
                <w:szCs w:val="24"/>
                <w:lang w:eastAsia="en-GB"/>
              </w:rPr>
            </w:pPr>
            <w:r w:rsidRPr="00AE49C8">
              <w:rPr>
                <w:rFonts w:eastAsia="Times New Roman"/>
                <w:color w:val="000000"/>
                <w:szCs w:val="24"/>
                <w:lang w:eastAsia="en-GB"/>
              </w:rPr>
              <w:t>0.0%</w:t>
            </w:r>
          </w:p>
        </w:tc>
        <w:tc>
          <w:tcPr>
            <w:tcW w:w="12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70.0%</w:t>
            </w:r>
          </w:p>
        </w:tc>
        <w:tc>
          <w:tcPr>
            <w:tcW w:w="1640" w:type="dxa"/>
            <w:gridSpan w:val="2"/>
            <w:shd w:val="clear" w:color="auto" w:fill="009639"/>
            <w:noWrap/>
            <w:vAlign w:val="bottom"/>
            <w:hideMark/>
          </w:tcPr>
          <w:p w:rsidR="00895BEF" w:rsidRPr="00C92A79" w:rsidRDefault="00895BEF" w:rsidP="00895BEF">
            <w:pPr>
              <w:spacing w:after="0" w:line="240" w:lineRule="auto"/>
              <w:ind w:left="361"/>
              <w:rPr>
                <w:rFonts w:eastAsia="Times New Roman"/>
                <w:b/>
                <w:bCs/>
                <w:color w:val="FFFFFF" w:themeColor="background1"/>
                <w:szCs w:val="24"/>
                <w:lang w:eastAsia="en-GB"/>
              </w:rPr>
            </w:pPr>
            <w:r w:rsidRPr="00C92A79">
              <w:rPr>
                <w:rFonts w:eastAsia="Times New Roman"/>
                <w:b/>
                <w:bCs/>
                <w:color w:val="FFFFFF" w:themeColor="background1"/>
                <w:szCs w:val="24"/>
                <w:lang w:eastAsia="en-GB"/>
              </w:rPr>
              <w:t>20.0%</w:t>
            </w:r>
          </w:p>
        </w:tc>
        <w:tc>
          <w:tcPr>
            <w:tcW w:w="1855" w:type="dxa"/>
            <w:gridSpan w:val="2"/>
            <w:shd w:val="clear" w:color="auto" w:fill="009639"/>
            <w:noWrap/>
            <w:vAlign w:val="bottom"/>
            <w:hideMark/>
          </w:tcPr>
          <w:p w:rsidR="00895BEF" w:rsidRPr="00C92A79" w:rsidRDefault="00895BEF" w:rsidP="00895BEF">
            <w:pPr>
              <w:spacing w:after="0" w:line="240" w:lineRule="auto"/>
              <w:ind w:right="-590"/>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10.0%</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8d</w:t>
            </w:r>
          </w:p>
        </w:tc>
        <w:tc>
          <w:tcPr>
            <w:tcW w:w="1078" w:type="dxa"/>
            <w:shd w:val="clear" w:color="auto" w:fill="auto"/>
            <w:noWrap/>
            <w:vAlign w:val="bottom"/>
            <w:hideMark/>
          </w:tcPr>
          <w:p w:rsidR="00895BEF" w:rsidRPr="00AE49C8" w:rsidRDefault="00895BEF" w:rsidP="00895BEF">
            <w:pPr>
              <w:spacing w:after="0" w:line="240" w:lineRule="auto"/>
              <w:ind w:left="6"/>
              <w:rPr>
                <w:rFonts w:eastAsia="Times New Roman"/>
                <w:color w:val="000000"/>
                <w:szCs w:val="24"/>
                <w:lang w:eastAsia="en-GB"/>
              </w:rPr>
            </w:pPr>
            <w:r w:rsidRPr="00AE49C8">
              <w:rPr>
                <w:rFonts w:eastAsia="Times New Roman"/>
                <w:color w:val="000000"/>
                <w:szCs w:val="24"/>
                <w:lang w:eastAsia="en-GB"/>
              </w:rPr>
              <w:t>0.0%</w:t>
            </w:r>
          </w:p>
        </w:tc>
        <w:tc>
          <w:tcPr>
            <w:tcW w:w="12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50.0%</w:t>
            </w:r>
          </w:p>
        </w:tc>
        <w:tc>
          <w:tcPr>
            <w:tcW w:w="1640" w:type="dxa"/>
            <w:gridSpan w:val="2"/>
            <w:shd w:val="clear" w:color="auto" w:fill="009639"/>
            <w:noWrap/>
            <w:vAlign w:val="bottom"/>
            <w:hideMark/>
          </w:tcPr>
          <w:p w:rsidR="00895BEF" w:rsidRPr="00C92A79" w:rsidRDefault="00895BEF" w:rsidP="00895BEF">
            <w:pPr>
              <w:spacing w:after="0" w:line="240" w:lineRule="auto"/>
              <w:ind w:left="361"/>
              <w:rPr>
                <w:rFonts w:eastAsia="Times New Roman"/>
                <w:b/>
                <w:bCs/>
                <w:color w:val="FFFFFF" w:themeColor="background1"/>
                <w:szCs w:val="24"/>
                <w:lang w:eastAsia="en-GB"/>
              </w:rPr>
            </w:pPr>
            <w:r w:rsidRPr="00C92A79">
              <w:rPr>
                <w:rFonts w:eastAsia="Times New Roman"/>
                <w:b/>
                <w:bCs/>
                <w:color w:val="FFFFFF" w:themeColor="background1"/>
                <w:szCs w:val="24"/>
                <w:lang w:eastAsia="en-GB"/>
              </w:rPr>
              <w:t>50.0%</w:t>
            </w:r>
          </w:p>
        </w:tc>
        <w:tc>
          <w:tcPr>
            <w:tcW w:w="1855" w:type="dxa"/>
            <w:gridSpan w:val="2"/>
            <w:shd w:val="clear" w:color="auto" w:fill="auto"/>
            <w:noWrap/>
            <w:vAlign w:val="bottom"/>
            <w:hideMark/>
          </w:tcPr>
          <w:p w:rsidR="00895BEF" w:rsidRPr="00AE49C8" w:rsidRDefault="00895BEF" w:rsidP="00895BEF">
            <w:pPr>
              <w:spacing w:after="0" w:line="240" w:lineRule="auto"/>
              <w:ind w:right="-590"/>
              <w:jc w:val="center"/>
              <w:rPr>
                <w:rFonts w:eastAsia="Times New Roman"/>
                <w:color w:val="000000"/>
                <w:szCs w:val="24"/>
                <w:lang w:eastAsia="en-GB"/>
              </w:rPr>
            </w:pPr>
            <w:r w:rsidRPr="00AE49C8">
              <w:rPr>
                <w:rFonts w:eastAsia="Times New Roman"/>
                <w:color w:val="000000"/>
                <w:szCs w:val="24"/>
                <w:lang w:eastAsia="en-GB"/>
              </w:rPr>
              <w:t>0.0%</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Band 9</w:t>
            </w:r>
          </w:p>
        </w:tc>
        <w:tc>
          <w:tcPr>
            <w:tcW w:w="1078" w:type="dxa"/>
            <w:shd w:val="clear" w:color="auto" w:fill="auto"/>
            <w:noWrap/>
            <w:vAlign w:val="bottom"/>
            <w:hideMark/>
          </w:tcPr>
          <w:p w:rsidR="00895BEF" w:rsidRPr="00AE49C8" w:rsidRDefault="00895BEF" w:rsidP="00895BEF">
            <w:pPr>
              <w:spacing w:after="0" w:line="240" w:lineRule="auto"/>
              <w:ind w:left="6"/>
              <w:rPr>
                <w:rFonts w:eastAsia="Times New Roman"/>
                <w:color w:val="000000"/>
                <w:szCs w:val="24"/>
                <w:lang w:eastAsia="en-GB"/>
              </w:rPr>
            </w:pPr>
            <w:r w:rsidRPr="00AE49C8">
              <w:rPr>
                <w:rFonts w:eastAsia="Times New Roman"/>
                <w:color w:val="000000"/>
                <w:szCs w:val="24"/>
                <w:lang w:eastAsia="en-GB"/>
              </w:rPr>
              <w:t>0.0%</w:t>
            </w:r>
          </w:p>
        </w:tc>
        <w:tc>
          <w:tcPr>
            <w:tcW w:w="12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71.4%</w:t>
            </w:r>
          </w:p>
        </w:tc>
        <w:tc>
          <w:tcPr>
            <w:tcW w:w="1640" w:type="dxa"/>
            <w:gridSpan w:val="2"/>
            <w:shd w:val="clear" w:color="auto" w:fill="009639"/>
            <w:noWrap/>
            <w:vAlign w:val="bottom"/>
            <w:hideMark/>
          </w:tcPr>
          <w:p w:rsidR="00895BEF" w:rsidRPr="00C92A79" w:rsidRDefault="00895BEF" w:rsidP="00895BEF">
            <w:pPr>
              <w:spacing w:after="0" w:line="240" w:lineRule="auto"/>
              <w:ind w:left="361"/>
              <w:rPr>
                <w:rFonts w:eastAsia="Times New Roman"/>
                <w:b/>
                <w:bCs/>
                <w:color w:val="FFFFFF" w:themeColor="background1"/>
                <w:szCs w:val="24"/>
                <w:lang w:eastAsia="en-GB"/>
              </w:rPr>
            </w:pPr>
            <w:r w:rsidRPr="00C92A79">
              <w:rPr>
                <w:rFonts w:eastAsia="Times New Roman"/>
                <w:b/>
                <w:bCs/>
                <w:color w:val="FFFFFF" w:themeColor="background1"/>
                <w:szCs w:val="24"/>
                <w:lang w:eastAsia="en-GB"/>
              </w:rPr>
              <w:t>28.6%</w:t>
            </w:r>
          </w:p>
        </w:tc>
        <w:tc>
          <w:tcPr>
            <w:tcW w:w="1855" w:type="dxa"/>
            <w:gridSpan w:val="2"/>
            <w:shd w:val="clear" w:color="auto" w:fill="auto"/>
            <w:noWrap/>
            <w:vAlign w:val="bottom"/>
            <w:hideMark/>
          </w:tcPr>
          <w:p w:rsidR="00895BEF" w:rsidRPr="00AE49C8" w:rsidRDefault="00895BEF" w:rsidP="00895BEF">
            <w:pPr>
              <w:spacing w:after="0" w:line="240" w:lineRule="auto"/>
              <w:ind w:right="-590"/>
              <w:jc w:val="center"/>
              <w:rPr>
                <w:rFonts w:eastAsia="Times New Roman"/>
                <w:color w:val="000000"/>
                <w:szCs w:val="24"/>
                <w:lang w:eastAsia="en-GB"/>
              </w:rPr>
            </w:pPr>
            <w:r w:rsidRPr="00AE49C8">
              <w:rPr>
                <w:rFonts w:eastAsia="Times New Roman"/>
                <w:color w:val="000000"/>
                <w:szCs w:val="24"/>
                <w:lang w:eastAsia="en-GB"/>
              </w:rPr>
              <w:t>0.0%</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Directors</w:t>
            </w:r>
          </w:p>
        </w:tc>
        <w:tc>
          <w:tcPr>
            <w:tcW w:w="1078" w:type="dxa"/>
            <w:shd w:val="clear" w:color="auto" w:fill="auto"/>
            <w:noWrap/>
            <w:vAlign w:val="bottom"/>
            <w:hideMark/>
          </w:tcPr>
          <w:p w:rsidR="00895BEF" w:rsidRPr="00AE49C8" w:rsidRDefault="00895BEF" w:rsidP="00895BEF">
            <w:pPr>
              <w:spacing w:after="0" w:line="240" w:lineRule="auto"/>
              <w:ind w:left="6"/>
              <w:rPr>
                <w:rFonts w:eastAsia="Times New Roman"/>
                <w:color w:val="000000"/>
                <w:szCs w:val="24"/>
                <w:lang w:eastAsia="en-GB"/>
              </w:rPr>
            </w:pPr>
            <w:r w:rsidRPr="00AE49C8">
              <w:rPr>
                <w:rFonts w:eastAsia="Times New Roman"/>
                <w:color w:val="000000"/>
                <w:szCs w:val="24"/>
                <w:lang w:eastAsia="en-GB"/>
              </w:rPr>
              <w:t>0.0%</w:t>
            </w:r>
          </w:p>
        </w:tc>
        <w:tc>
          <w:tcPr>
            <w:tcW w:w="12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71.4%</w:t>
            </w:r>
          </w:p>
        </w:tc>
        <w:tc>
          <w:tcPr>
            <w:tcW w:w="1640" w:type="dxa"/>
            <w:gridSpan w:val="2"/>
            <w:shd w:val="clear" w:color="auto" w:fill="009639"/>
            <w:noWrap/>
            <w:vAlign w:val="bottom"/>
            <w:hideMark/>
          </w:tcPr>
          <w:p w:rsidR="00895BEF" w:rsidRPr="00C92A79" w:rsidRDefault="00895BEF" w:rsidP="00895BEF">
            <w:pPr>
              <w:spacing w:after="0" w:line="240" w:lineRule="auto"/>
              <w:ind w:left="361"/>
              <w:rPr>
                <w:rFonts w:eastAsia="Times New Roman"/>
                <w:b/>
                <w:bCs/>
                <w:color w:val="FFFFFF" w:themeColor="background1"/>
                <w:szCs w:val="24"/>
                <w:lang w:eastAsia="en-GB"/>
              </w:rPr>
            </w:pPr>
            <w:r w:rsidRPr="00C92A79">
              <w:rPr>
                <w:rFonts w:eastAsia="Times New Roman"/>
                <w:b/>
                <w:bCs/>
                <w:color w:val="FFFFFF" w:themeColor="background1"/>
                <w:szCs w:val="24"/>
                <w:lang w:eastAsia="en-GB"/>
              </w:rPr>
              <w:t>28.6%</w:t>
            </w:r>
          </w:p>
        </w:tc>
        <w:tc>
          <w:tcPr>
            <w:tcW w:w="1855" w:type="dxa"/>
            <w:gridSpan w:val="2"/>
            <w:shd w:val="clear" w:color="auto" w:fill="auto"/>
            <w:noWrap/>
            <w:vAlign w:val="bottom"/>
            <w:hideMark/>
          </w:tcPr>
          <w:p w:rsidR="00895BEF" w:rsidRPr="00AE49C8" w:rsidRDefault="00895BEF" w:rsidP="00895BEF">
            <w:pPr>
              <w:spacing w:after="0" w:line="240" w:lineRule="auto"/>
              <w:ind w:right="-590"/>
              <w:jc w:val="center"/>
              <w:rPr>
                <w:rFonts w:eastAsia="Times New Roman"/>
                <w:color w:val="000000"/>
                <w:szCs w:val="24"/>
                <w:lang w:eastAsia="en-GB"/>
              </w:rPr>
            </w:pPr>
            <w:r w:rsidRPr="00AE49C8">
              <w:rPr>
                <w:rFonts w:eastAsia="Times New Roman"/>
                <w:color w:val="000000"/>
                <w:szCs w:val="24"/>
                <w:lang w:eastAsia="en-GB"/>
              </w:rPr>
              <w:t>0.0%</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Consultant</w:t>
            </w:r>
          </w:p>
        </w:tc>
        <w:tc>
          <w:tcPr>
            <w:tcW w:w="1078" w:type="dxa"/>
            <w:shd w:val="clear" w:color="auto" w:fill="auto"/>
            <w:noWrap/>
            <w:vAlign w:val="bottom"/>
            <w:hideMark/>
          </w:tcPr>
          <w:p w:rsidR="00895BEF" w:rsidRPr="00AE49C8" w:rsidRDefault="00895BEF" w:rsidP="00895BEF">
            <w:pPr>
              <w:spacing w:after="0" w:line="240" w:lineRule="auto"/>
              <w:ind w:left="6"/>
              <w:rPr>
                <w:rFonts w:eastAsia="Times New Roman"/>
                <w:color w:val="000000"/>
                <w:szCs w:val="24"/>
                <w:lang w:eastAsia="en-GB"/>
              </w:rPr>
            </w:pPr>
            <w:r w:rsidRPr="00AE49C8">
              <w:rPr>
                <w:rFonts w:eastAsia="Times New Roman"/>
                <w:color w:val="000000"/>
                <w:szCs w:val="24"/>
                <w:lang w:eastAsia="en-GB"/>
              </w:rPr>
              <w:t>1.4%</w:t>
            </w:r>
          </w:p>
        </w:tc>
        <w:tc>
          <w:tcPr>
            <w:tcW w:w="12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65.9%</w:t>
            </w:r>
          </w:p>
        </w:tc>
        <w:tc>
          <w:tcPr>
            <w:tcW w:w="1640" w:type="dxa"/>
            <w:gridSpan w:val="2"/>
            <w:shd w:val="clear" w:color="auto" w:fill="009639"/>
            <w:noWrap/>
            <w:vAlign w:val="bottom"/>
            <w:hideMark/>
          </w:tcPr>
          <w:p w:rsidR="00895BEF" w:rsidRPr="00C92A79" w:rsidRDefault="00895BEF" w:rsidP="00895BEF">
            <w:pPr>
              <w:spacing w:after="0" w:line="240" w:lineRule="auto"/>
              <w:ind w:left="361"/>
              <w:rPr>
                <w:rFonts w:eastAsia="Times New Roman"/>
                <w:b/>
                <w:bCs/>
                <w:color w:val="FFFFFF" w:themeColor="background1"/>
                <w:szCs w:val="24"/>
                <w:lang w:eastAsia="en-GB"/>
              </w:rPr>
            </w:pPr>
            <w:r w:rsidRPr="00C92A79">
              <w:rPr>
                <w:rFonts w:eastAsia="Times New Roman"/>
                <w:b/>
                <w:bCs/>
                <w:color w:val="FFFFFF" w:themeColor="background1"/>
                <w:szCs w:val="24"/>
                <w:lang w:eastAsia="en-GB"/>
              </w:rPr>
              <w:t>22.8%</w:t>
            </w:r>
          </w:p>
        </w:tc>
        <w:tc>
          <w:tcPr>
            <w:tcW w:w="1855" w:type="dxa"/>
            <w:gridSpan w:val="2"/>
            <w:shd w:val="clear" w:color="auto" w:fill="009639"/>
            <w:noWrap/>
            <w:vAlign w:val="bottom"/>
            <w:hideMark/>
          </w:tcPr>
          <w:p w:rsidR="00895BEF" w:rsidRPr="00C92A79" w:rsidRDefault="00895BEF" w:rsidP="00895BEF">
            <w:pPr>
              <w:spacing w:after="0" w:line="240" w:lineRule="auto"/>
              <w:ind w:right="-590"/>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9.9%</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Middle Grade</w:t>
            </w:r>
          </w:p>
        </w:tc>
        <w:tc>
          <w:tcPr>
            <w:tcW w:w="1078" w:type="dxa"/>
            <w:shd w:val="clear" w:color="auto" w:fill="auto"/>
            <w:noWrap/>
            <w:vAlign w:val="bottom"/>
            <w:hideMark/>
          </w:tcPr>
          <w:p w:rsidR="00895BEF" w:rsidRPr="00AE49C8" w:rsidRDefault="00895BEF" w:rsidP="00895BEF">
            <w:pPr>
              <w:spacing w:after="0" w:line="240" w:lineRule="auto"/>
              <w:ind w:left="6"/>
              <w:rPr>
                <w:rFonts w:eastAsia="Times New Roman"/>
                <w:color w:val="000000"/>
                <w:szCs w:val="24"/>
                <w:lang w:eastAsia="en-GB"/>
              </w:rPr>
            </w:pPr>
            <w:r w:rsidRPr="00AE49C8">
              <w:rPr>
                <w:rFonts w:eastAsia="Times New Roman"/>
                <w:color w:val="000000"/>
                <w:szCs w:val="24"/>
                <w:lang w:eastAsia="en-GB"/>
              </w:rPr>
              <w:t>1.6%</w:t>
            </w:r>
          </w:p>
        </w:tc>
        <w:tc>
          <w:tcPr>
            <w:tcW w:w="12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68.1%</w:t>
            </w:r>
          </w:p>
        </w:tc>
        <w:tc>
          <w:tcPr>
            <w:tcW w:w="1640" w:type="dxa"/>
            <w:gridSpan w:val="2"/>
            <w:shd w:val="clear" w:color="auto" w:fill="009639"/>
            <w:noWrap/>
            <w:vAlign w:val="bottom"/>
            <w:hideMark/>
          </w:tcPr>
          <w:p w:rsidR="00895BEF" w:rsidRPr="00C92A79" w:rsidRDefault="00895BEF" w:rsidP="00895BEF">
            <w:pPr>
              <w:spacing w:after="0" w:line="240" w:lineRule="auto"/>
              <w:ind w:left="361"/>
              <w:rPr>
                <w:rFonts w:eastAsia="Times New Roman"/>
                <w:b/>
                <w:bCs/>
                <w:color w:val="FFFFFF" w:themeColor="background1"/>
                <w:szCs w:val="24"/>
                <w:lang w:eastAsia="en-GB"/>
              </w:rPr>
            </w:pPr>
            <w:r w:rsidRPr="00C92A79">
              <w:rPr>
                <w:rFonts w:eastAsia="Times New Roman"/>
                <w:b/>
                <w:bCs/>
                <w:color w:val="FFFFFF" w:themeColor="background1"/>
                <w:szCs w:val="24"/>
                <w:lang w:eastAsia="en-GB"/>
              </w:rPr>
              <w:t>28.2%</w:t>
            </w:r>
          </w:p>
        </w:tc>
        <w:tc>
          <w:tcPr>
            <w:tcW w:w="1855" w:type="dxa"/>
            <w:gridSpan w:val="2"/>
            <w:shd w:val="clear" w:color="auto" w:fill="auto"/>
            <w:noWrap/>
            <w:vAlign w:val="bottom"/>
            <w:hideMark/>
          </w:tcPr>
          <w:p w:rsidR="00895BEF" w:rsidRPr="00AE49C8" w:rsidRDefault="00895BEF" w:rsidP="00895BEF">
            <w:pPr>
              <w:spacing w:after="0" w:line="240" w:lineRule="auto"/>
              <w:ind w:right="-590"/>
              <w:jc w:val="center"/>
              <w:rPr>
                <w:rFonts w:eastAsia="Times New Roman"/>
                <w:color w:val="000000"/>
                <w:szCs w:val="24"/>
                <w:lang w:eastAsia="en-GB"/>
              </w:rPr>
            </w:pPr>
            <w:r w:rsidRPr="00AE49C8">
              <w:rPr>
                <w:rFonts w:eastAsia="Times New Roman"/>
                <w:color w:val="000000"/>
                <w:szCs w:val="24"/>
                <w:lang w:eastAsia="en-GB"/>
              </w:rPr>
              <w:t>2.1%</w:t>
            </w:r>
          </w:p>
        </w:tc>
      </w:tr>
      <w:tr w:rsidR="00895BEF" w:rsidRPr="00AE49C8" w:rsidTr="00C92A79">
        <w:trPr>
          <w:cantSplit/>
          <w:trHeight w:val="288"/>
          <w:tblHeader/>
        </w:trPr>
        <w:tc>
          <w:tcPr>
            <w:tcW w:w="302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Training</w:t>
            </w:r>
          </w:p>
        </w:tc>
        <w:tc>
          <w:tcPr>
            <w:tcW w:w="1078" w:type="dxa"/>
            <w:shd w:val="clear" w:color="auto" w:fill="009639"/>
            <w:noWrap/>
            <w:vAlign w:val="bottom"/>
            <w:hideMark/>
          </w:tcPr>
          <w:p w:rsidR="00895BEF" w:rsidRPr="00C92A79" w:rsidRDefault="00895BEF" w:rsidP="00895BEF">
            <w:pPr>
              <w:spacing w:after="0" w:line="240" w:lineRule="auto"/>
              <w:ind w:left="6"/>
              <w:rPr>
                <w:rFonts w:eastAsia="Times New Roman"/>
                <w:b/>
                <w:bCs/>
                <w:color w:val="FFFFFF" w:themeColor="background1"/>
                <w:szCs w:val="24"/>
                <w:lang w:eastAsia="en-GB"/>
              </w:rPr>
            </w:pPr>
            <w:r w:rsidRPr="00C92A79">
              <w:rPr>
                <w:rFonts w:eastAsia="Times New Roman"/>
                <w:b/>
                <w:bCs/>
                <w:color w:val="FFFFFF" w:themeColor="background1"/>
                <w:szCs w:val="24"/>
                <w:lang w:eastAsia="en-GB"/>
              </w:rPr>
              <w:t>6.8%</w:t>
            </w:r>
          </w:p>
        </w:tc>
        <w:tc>
          <w:tcPr>
            <w:tcW w:w="1260" w:type="dxa"/>
            <w:shd w:val="clear" w:color="auto" w:fill="auto"/>
            <w:noWrap/>
            <w:vAlign w:val="bottom"/>
            <w:hideMark/>
          </w:tcPr>
          <w:p w:rsidR="00895BEF" w:rsidRPr="00AE49C8" w:rsidRDefault="00895BEF" w:rsidP="00895BEF">
            <w:pPr>
              <w:spacing w:after="0" w:line="240" w:lineRule="auto"/>
              <w:rPr>
                <w:rFonts w:eastAsia="Times New Roman"/>
                <w:color w:val="000000"/>
                <w:szCs w:val="24"/>
                <w:lang w:eastAsia="en-GB"/>
              </w:rPr>
            </w:pPr>
            <w:r w:rsidRPr="00AE49C8">
              <w:rPr>
                <w:rFonts w:eastAsia="Times New Roman"/>
                <w:color w:val="000000"/>
                <w:szCs w:val="24"/>
                <w:lang w:eastAsia="en-GB"/>
              </w:rPr>
              <w:t>58.5%</w:t>
            </w:r>
          </w:p>
        </w:tc>
        <w:tc>
          <w:tcPr>
            <w:tcW w:w="1640" w:type="dxa"/>
            <w:gridSpan w:val="2"/>
            <w:shd w:val="clear" w:color="auto" w:fill="009639"/>
            <w:noWrap/>
            <w:vAlign w:val="bottom"/>
            <w:hideMark/>
          </w:tcPr>
          <w:p w:rsidR="00895BEF" w:rsidRPr="00C92A79" w:rsidRDefault="00895BEF" w:rsidP="00895BEF">
            <w:pPr>
              <w:spacing w:after="0" w:line="240" w:lineRule="auto"/>
              <w:ind w:left="361"/>
              <w:rPr>
                <w:rFonts w:eastAsia="Times New Roman"/>
                <w:b/>
                <w:bCs/>
                <w:color w:val="FFFFFF" w:themeColor="background1"/>
                <w:szCs w:val="24"/>
                <w:lang w:eastAsia="en-GB"/>
              </w:rPr>
            </w:pPr>
            <w:r w:rsidRPr="00C92A79">
              <w:rPr>
                <w:rFonts w:eastAsia="Times New Roman"/>
                <w:b/>
                <w:bCs/>
                <w:color w:val="FFFFFF" w:themeColor="background1"/>
                <w:szCs w:val="24"/>
                <w:lang w:eastAsia="en-GB"/>
              </w:rPr>
              <w:t>34.7%</w:t>
            </w:r>
          </w:p>
        </w:tc>
        <w:tc>
          <w:tcPr>
            <w:tcW w:w="1855" w:type="dxa"/>
            <w:gridSpan w:val="2"/>
            <w:shd w:val="clear" w:color="auto" w:fill="auto"/>
            <w:noWrap/>
            <w:vAlign w:val="bottom"/>
            <w:hideMark/>
          </w:tcPr>
          <w:p w:rsidR="00895BEF" w:rsidRPr="00AE49C8" w:rsidRDefault="00895BEF" w:rsidP="00895BEF">
            <w:pPr>
              <w:spacing w:after="0" w:line="240" w:lineRule="auto"/>
              <w:ind w:right="-590"/>
              <w:jc w:val="center"/>
              <w:rPr>
                <w:rFonts w:eastAsia="Times New Roman"/>
                <w:color w:val="000000"/>
                <w:szCs w:val="24"/>
                <w:lang w:eastAsia="en-GB"/>
              </w:rPr>
            </w:pPr>
            <w:r w:rsidRPr="00AE49C8">
              <w:rPr>
                <w:rFonts w:eastAsia="Times New Roman"/>
                <w:color w:val="000000"/>
                <w:szCs w:val="24"/>
                <w:lang w:eastAsia="en-GB"/>
              </w:rPr>
              <w:t>0.0%</w:t>
            </w:r>
          </w:p>
        </w:tc>
      </w:tr>
    </w:tbl>
    <w:p w:rsidR="00895BEF" w:rsidRPr="00AE49C8" w:rsidRDefault="00895BEF" w:rsidP="00895BEF">
      <w:pPr>
        <w:jc w:val="center"/>
        <w:rPr>
          <w:b/>
        </w:rPr>
      </w:pPr>
    </w:p>
    <w:p w:rsidR="00895BEF" w:rsidRPr="000D2F61" w:rsidRDefault="00895BEF" w:rsidP="00895BEF">
      <w:r w:rsidRPr="000D2F61">
        <w:t>Observations</w:t>
      </w:r>
    </w:p>
    <w:p w:rsidR="00895BEF" w:rsidRPr="00AE49C8" w:rsidRDefault="00A007D3" w:rsidP="00A007D3">
      <w:pPr>
        <w:pStyle w:val="ListParagraph"/>
      </w:pPr>
      <w:r w:rsidRPr="00AE49C8">
        <w:t>Compared to the overall workforce, there is a fair to good representation of disabled staff in bands 1-6, 8b and medical trainees.  There is a lower than expected representation of disabled staff in 7, 8a, 8c-9, directors, medical consultants, and middle grade.</w:t>
      </w:r>
    </w:p>
    <w:p w:rsidR="00A007D3" w:rsidRPr="00AE49C8" w:rsidRDefault="00A007D3" w:rsidP="00A007D3">
      <w:pPr>
        <w:pStyle w:val="ListParagraph"/>
      </w:pPr>
      <w:r w:rsidRPr="00AE49C8">
        <w:t>A high proportion of senior management and medical staff have declined to specify if they have a disability.  There are also spots throughout the organisation where the disability status is unknown.</w:t>
      </w:r>
    </w:p>
    <w:p w:rsidR="009D1627" w:rsidRPr="00AE49C8" w:rsidRDefault="00895BEF" w:rsidP="009D1627">
      <w:pPr>
        <w:pStyle w:val="Heading3"/>
      </w:pPr>
      <w:bookmarkStart w:id="41" w:name="_Toc88633988"/>
      <w:r w:rsidRPr="00AE49C8">
        <w:t>Breakdown of disability in recruitment processes</w:t>
      </w:r>
      <w:bookmarkEnd w:id="41"/>
    </w:p>
    <w:p w:rsidR="00895BEF" w:rsidRPr="00AE49C8" w:rsidRDefault="009D1627" w:rsidP="00895BEF">
      <w:r w:rsidRPr="00AE49C8">
        <w:t>T</w:t>
      </w:r>
      <w:r w:rsidR="00895BEF" w:rsidRPr="00AE49C8">
        <w:t>he data compares the three stages of recruitment compared to the workforce representation within the organisation.</w:t>
      </w:r>
    </w:p>
    <w:p w:rsidR="00C92A79" w:rsidRDefault="00C92A79">
      <w:pPr>
        <w:widowControl w:val="0"/>
        <w:rPr>
          <w:b/>
        </w:rPr>
      </w:pPr>
      <w:r>
        <w:rPr>
          <w:b/>
        </w:rPr>
        <w:br w:type="page"/>
      </w:r>
    </w:p>
    <w:p w:rsidR="00895BEF" w:rsidRPr="00AE49C8" w:rsidRDefault="00895BEF" w:rsidP="00895BEF">
      <w:pPr>
        <w:spacing w:line="240" w:lineRule="auto"/>
        <w:rPr>
          <w:b/>
        </w:rPr>
      </w:pPr>
      <w:r w:rsidRPr="00AE49C8">
        <w:rPr>
          <w:b/>
        </w:rPr>
        <w:lastRenderedPageBreak/>
        <w:t>BSUH</w:t>
      </w:r>
    </w:p>
    <w:tbl>
      <w:tblPr>
        <w:tblW w:w="8022" w:type="dxa"/>
        <w:jc w:val="center"/>
        <w:tblBorders>
          <w:insideH w:val="dotted" w:sz="4" w:space="0" w:color="auto"/>
        </w:tblBorders>
        <w:tblLook w:val="04A0" w:firstRow="1" w:lastRow="0" w:firstColumn="1" w:lastColumn="0" w:noHBand="0" w:noVBand="1"/>
        <w:tblCaption w:val="Recruitment process brokendown by disability status - the overall workforce representation data is included for reference."/>
      </w:tblPr>
      <w:tblGrid>
        <w:gridCol w:w="2089"/>
        <w:gridCol w:w="1657"/>
        <w:gridCol w:w="1470"/>
        <w:gridCol w:w="1403"/>
        <w:gridCol w:w="1403"/>
      </w:tblGrid>
      <w:tr w:rsidR="00565954" w:rsidRPr="00AE49C8" w:rsidTr="000D2F61">
        <w:trPr>
          <w:cantSplit/>
          <w:trHeight w:val="936"/>
          <w:tblHeader/>
          <w:jc w:val="center"/>
        </w:trPr>
        <w:tc>
          <w:tcPr>
            <w:tcW w:w="2089" w:type="dxa"/>
            <w:shd w:val="clear" w:color="auto" w:fill="auto"/>
            <w:noWrap/>
            <w:vAlign w:val="bottom"/>
            <w:hideMark/>
          </w:tcPr>
          <w:p w:rsidR="00565954" w:rsidRPr="00AE49C8" w:rsidRDefault="00565954"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Disability Status</w:t>
            </w:r>
          </w:p>
        </w:tc>
        <w:tc>
          <w:tcPr>
            <w:tcW w:w="1657" w:type="dxa"/>
            <w:shd w:val="clear" w:color="auto" w:fill="auto"/>
            <w:vAlign w:val="bottom"/>
            <w:hideMark/>
          </w:tcPr>
          <w:p w:rsidR="00565954" w:rsidRPr="00AE49C8" w:rsidRDefault="00565954"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Applications</w:t>
            </w:r>
          </w:p>
        </w:tc>
        <w:tc>
          <w:tcPr>
            <w:tcW w:w="1470" w:type="dxa"/>
            <w:shd w:val="clear" w:color="auto" w:fill="auto"/>
            <w:vAlign w:val="bottom"/>
            <w:hideMark/>
          </w:tcPr>
          <w:p w:rsidR="00565954" w:rsidRPr="00AE49C8" w:rsidRDefault="00565954"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Shortlisted</w:t>
            </w:r>
          </w:p>
        </w:tc>
        <w:tc>
          <w:tcPr>
            <w:tcW w:w="1403" w:type="dxa"/>
            <w:shd w:val="clear" w:color="auto" w:fill="auto"/>
            <w:vAlign w:val="bottom"/>
            <w:hideMark/>
          </w:tcPr>
          <w:p w:rsidR="00565954" w:rsidRPr="00AE49C8" w:rsidRDefault="00565954"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Appointed</w:t>
            </w:r>
          </w:p>
        </w:tc>
        <w:tc>
          <w:tcPr>
            <w:tcW w:w="1403" w:type="dxa"/>
            <w:shd w:val="clear" w:color="auto" w:fill="auto"/>
            <w:vAlign w:val="bottom"/>
            <w:hideMark/>
          </w:tcPr>
          <w:p w:rsidR="00565954" w:rsidRPr="00AE49C8" w:rsidRDefault="00565954"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Workforce</w:t>
            </w:r>
          </w:p>
        </w:tc>
      </w:tr>
      <w:tr w:rsidR="00565954" w:rsidRPr="00AE49C8" w:rsidTr="000D2F61">
        <w:trPr>
          <w:cantSplit/>
          <w:trHeight w:val="312"/>
          <w:tblHeader/>
          <w:jc w:val="center"/>
        </w:trPr>
        <w:tc>
          <w:tcPr>
            <w:tcW w:w="2089"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Disabled</w:t>
            </w:r>
          </w:p>
        </w:tc>
        <w:tc>
          <w:tcPr>
            <w:tcW w:w="1657"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4.5%</w:t>
            </w:r>
          </w:p>
        </w:tc>
        <w:tc>
          <w:tcPr>
            <w:tcW w:w="1470"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6.1%</w:t>
            </w:r>
          </w:p>
        </w:tc>
        <w:tc>
          <w:tcPr>
            <w:tcW w:w="1403"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3.0%</w:t>
            </w:r>
          </w:p>
        </w:tc>
        <w:tc>
          <w:tcPr>
            <w:tcW w:w="1403"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6.2%</w:t>
            </w:r>
          </w:p>
        </w:tc>
      </w:tr>
      <w:tr w:rsidR="00565954" w:rsidRPr="00AE49C8" w:rsidTr="000D2F61">
        <w:trPr>
          <w:cantSplit/>
          <w:trHeight w:val="312"/>
          <w:tblHeader/>
          <w:jc w:val="center"/>
        </w:trPr>
        <w:tc>
          <w:tcPr>
            <w:tcW w:w="2089"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Non-disabled</w:t>
            </w:r>
          </w:p>
        </w:tc>
        <w:tc>
          <w:tcPr>
            <w:tcW w:w="1657"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92.0%</w:t>
            </w:r>
          </w:p>
        </w:tc>
        <w:tc>
          <w:tcPr>
            <w:tcW w:w="1470"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84.9%</w:t>
            </w:r>
          </w:p>
        </w:tc>
        <w:tc>
          <w:tcPr>
            <w:tcW w:w="1403"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73.2%</w:t>
            </w:r>
          </w:p>
        </w:tc>
        <w:tc>
          <w:tcPr>
            <w:tcW w:w="1403"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82.6%</w:t>
            </w:r>
          </w:p>
        </w:tc>
      </w:tr>
      <w:tr w:rsidR="00565954" w:rsidRPr="00AE49C8" w:rsidTr="000D2F61">
        <w:trPr>
          <w:cantSplit/>
          <w:trHeight w:val="312"/>
          <w:tblHeader/>
          <w:jc w:val="center"/>
        </w:trPr>
        <w:tc>
          <w:tcPr>
            <w:tcW w:w="2089"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657"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1.3%</w:t>
            </w:r>
          </w:p>
        </w:tc>
        <w:tc>
          <w:tcPr>
            <w:tcW w:w="1470"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403"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0.7%</w:t>
            </w:r>
          </w:p>
        </w:tc>
        <w:tc>
          <w:tcPr>
            <w:tcW w:w="1403"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5.3%</w:t>
            </w:r>
          </w:p>
        </w:tc>
      </w:tr>
      <w:tr w:rsidR="00565954" w:rsidRPr="00AE49C8" w:rsidTr="000D2F61">
        <w:trPr>
          <w:cantSplit/>
          <w:trHeight w:val="312"/>
          <w:tblHeader/>
          <w:jc w:val="center"/>
        </w:trPr>
        <w:tc>
          <w:tcPr>
            <w:tcW w:w="2089"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657"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2.3%</w:t>
            </w:r>
          </w:p>
        </w:tc>
        <w:tc>
          <w:tcPr>
            <w:tcW w:w="1470"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7.4%</w:t>
            </w:r>
          </w:p>
        </w:tc>
        <w:tc>
          <w:tcPr>
            <w:tcW w:w="1403"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23.1%</w:t>
            </w:r>
          </w:p>
        </w:tc>
        <w:tc>
          <w:tcPr>
            <w:tcW w:w="1403"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5.9%</w:t>
            </w:r>
          </w:p>
        </w:tc>
      </w:tr>
      <w:tr w:rsidR="00565954" w:rsidRPr="00AE49C8" w:rsidTr="000D2F61">
        <w:trPr>
          <w:cantSplit/>
          <w:trHeight w:val="312"/>
          <w:tblHeader/>
          <w:jc w:val="center"/>
        </w:trPr>
        <w:tc>
          <w:tcPr>
            <w:tcW w:w="2089"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Total</w:t>
            </w:r>
          </w:p>
        </w:tc>
        <w:tc>
          <w:tcPr>
            <w:tcW w:w="1657"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470"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403"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403"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895BEF" w:rsidRPr="00AE49C8" w:rsidRDefault="00565954" w:rsidP="00565954">
      <w:pPr>
        <w:jc w:val="center"/>
        <w:rPr>
          <w:b/>
        </w:rPr>
      </w:pPr>
      <w:r w:rsidRPr="00AE49C8">
        <w:rPr>
          <w:noProof/>
          <w:lang w:eastAsia="en-GB"/>
        </w:rPr>
        <w:drawing>
          <wp:inline distT="0" distB="0" distL="0" distR="0" wp14:anchorId="64E16395" wp14:editId="35B62B1D">
            <wp:extent cx="5731510" cy="2914327"/>
            <wp:effectExtent l="0" t="0" r="2540" b="635"/>
            <wp:docPr id="32" name="Chart 32" title="Recruitment process brokendown by disability status comparing to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95BEF" w:rsidRPr="000D2F61" w:rsidRDefault="00895BEF" w:rsidP="00895BEF">
      <w:r w:rsidRPr="000D2F61">
        <w:t>Observations</w:t>
      </w:r>
    </w:p>
    <w:p w:rsidR="00895BEF" w:rsidRPr="00AE49C8" w:rsidRDefault="008F6F1E" w:rsidP="008F6F1E">
      <w:pPr>
        <w:pStyle w:val="ListParagraph"/>
      </w:pPr>
      <w:r w:rsidRPr="00AE49C8">
        <w:t>Compared to the workforce representation, disabled candidates are well represented at the shortlisting stage but have a proportionally lower number of applicants and appointments.</w:t>
      </w:r>
    </w:p>
    <w:p w:rsidR="008F6F1E" w:rsidRPr="00AE49C8" w:rsidRDefault="008F6F1E" w:rsidP="008F6F1E">
      <w:pPr>
        <w:pStyle w:val="ListParagraph"/>
      </w:pPr>
      <w:r w:rsidRPr="00AE49C8">
        <w:t xml:space="preserve">There are a low number of candidates who have declined to declare their disability status that has been appointed.  When moving throughout the recruitment stages, the representation of candidates whose disability status is unknown disproportionately grows. </w:t>
      </w:r>
    </w:p>
    <w:p w:rsidR="008F6F1E" w:rsidRPr="00AE49C8" w:rsidRDefault="008F6F1E" w:rsidP="008F6F1E">
      <w:pPr>
        <w:pStyle w:val="ListParagraph"/>
      </w:pPr>
      <w:r w:rsidRPr="00AE49C8">
        <w:t xml:space="preserve">From the application to shortlisting stage, there is a large proportion of disabled candidates.  This growth in representation could be helped by the guaranteed interview scheme that the Trust operates.  </w:t>
      </w:r>
      <w:r w:rsidR="008E6F14">
        <w:t>There is a lower proportion of disabled candidates from shortlisting to the appointment</w:t>
      </w:r>
      <w:r w:rsidRPr="00AE49C8">
        <w:t>.  The appointment representation is lower than the overall representation in the workforce.</w:t>
      </w:r>
    </w:p>
    <w:p w:rsidR="00C92A79" w:rsidRDefault="00C92A79">
      <w:pPr>
        <w:widowControl w:val="0"/>
        <w:rPr>
          <w:b/>
        </w:rPr>
      </w:pPr>
      <w:r>
        <w:rPr>
          <w:b/>
        </w:rPr>
        <w:br w:type="page"/>
      </w:r>
    </w:p>
    <w:p w:rsidR="00895BEF" w:rsidRPr="00AE49C8" w:rsidRDefault="00895BEF" w:rsidP="00895BEF">
      <w:pPr>
        <w:spacing w:line="240" w:lineRule="auto"/>
        <w:rPr>
          <w:b/>
        </w:rPr>
      </w:pPr>
      <w:r w:rsidRPr="00AE49C8">
        <w:rPr>
          <w:b/>
        </w:rPr>
        <w:lastRenderedPageBreak/>
        <w:t>WSHT</w:t>
      </w:r>
    </w:p>
    <w:tbl>
      <w:tblPr>
        <w:tblW w:w="7492" w:type="dxa"/>
        <w:jc w:val="center"/>
        <w:tblBorders>
          <w:insideH w:val="dotted" w:sz="4" w:space="0" w:color="auto"/>
        </w:tblBorders>
        <w:tblLook w:val="04A0" w:firstRow="1" w:lastRow="0" w:firstColumn="1" w:lastColumn="0" w:noHBand="0" w:noVBand="1"/>
        <w:tblCaption w:val="Recruitment process brokendown by disability status - the overall workforce representation data is included for reference."/>
      </w:tblPr>
      <w:tblGrid>
        <w:gridCol w:w="2308"/>
        <w:gridCol w:w="1657"/>
        <w:gridCol w:w="1470"/>
        <w:gridCol w:w="1403"/>
        <w:gridCol w:w="1403"/>
      </w:tblGrid>
      <w:tr w:rsidR="00565954" w:rsidRPr="00AE49C8" w:rsidTr="008F6F1E">
        <w:trPr>
          <w:cantSplit/>
          <w:trHeight w:val="459"/>
          <w:tblHeader/>
          <w:jc w:val="center"/>
        </w:trPr>
        <w:tc>
          <w:tcPr>
            <w:tcW w:w="2308" w:type="dxa"/>
            <w:shd w:val="clear" w:color="auto" w:fill="auto"/>
            <w:hideMark/>
          </w:tcPr>
          <w:p w:rsidR="00565954" w:rsidRPr="00AE49C8" w:rsidRDefault="00565954" w:rsidP="00565954">
            <w:pPr>
              <w:spacing w:after="0" w:line="240" w:lineRule="auto"/>
              <w:rPr>
                <w:rFonts w:eastAsia="Times New Roman"/>
                <w:b/>
                <w:color w:val="000000"/>
                <w:szCs w:val="24"/>
                <w:lang w:eastAsia="en-GB"/>
              </w:rPr>
            </w:pPr>
          </w:p>
        </w:tc>
        <w:tc>
          <w:tcPr>
            <w:tcW w:w="1416" w:type="dxa"/>
            <w:shd w:val="clear" w:color="auto" w:fill="auto"/>
            <w:hideMark/>
          </w:tcPr>
          <w:p w:rsidR="00565954" w:rsidRPr="00AE49C8" w:rsidRDefault="00565954"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Applications</w:t>
            </w:r>
          </w:p>
        </w:tc>
        <w:tc>
          <w:tcPr>
            <w:tcW w:w="1273" w:type="dxa"/>
            <w:shd w:val="clear" w:color="auto" w:fill="auto"/>
            <w:hideMark/>
          </w:tcPr>
          <w:p w:rsidR="00565954" w:rsidRPr="00AE49C8" w:rsidRDefault="00565954"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Shortlisted</w:t>
            </w:r>
          </w:p>
        </w:tc>
        <w:tc>
          <w:tcPr>
            <w:tcW w:w="1241" w:type="dxa"/>
            <w:shd w:val="clear" w:color="auto" w:fill="auto"/>
            <w:hideMark/>
          </w:tcPr>
          <w:p w:rsidR="00565954" w:rsidRPr="00AE49C8" w:rsidRDefault="00565954"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Appointed</w:t>
            </w:r>
          </w:p>
        </w:tc>
        <w:tc>
          <w:tcPr>
            <w:tcW w:w="1254" w:type="dxa"/>
            <w:shd w:val="clear" w:color="auto" w:fill="auto"/>
            <w:hideMark/>
          </w:tcPr>
          <w:p w:rsidR="00565954" w:rsidRPr="00AE49C8" w:rsidRDefault="00565954" w:rsidP="00565954">
            <w:pPr>
              <w:spacing w:after="0" w:line="240" w:lineRule="auto"/>
              <w:rPr>
                <w:rFonts w:eastAsia="Times New Roman"/>
                <w:b/>
                <w:color w:val="000000"/>
                <w:szCs w:val="24"/>
                <w:lang w:eastAsia="en-GB"/>
              </w:rPr>
            </w:pPr>
            <w:r w:rsidRPr="00AE49C8">
              <w:rPr>
                <w:rFonts w:eastAsia="Times New Roman"/>
                <w:b/>
                <w:color w:val="000000"/>
                <w:szCs w:val="24"/>
                <w:lang w:eastAsia="en-GB"/>
              </w:rPr>
              <w:t>Workforce</w:t>
            </w:r>
          </w:p>
        </w:tc>
      </w:tr>
      <w:tr w:rsidR="00565954" w:rsidRPr="00AE49C8" w:rsidTr="008F6F1E">
        <w:trPr>
          <w:cantSplit/>
          <w:trHeight w:val="312"/>
          <w:tblHeader/>
          <w:jc w:val="center"/>
        </w:trPr>
        <w:tc>
          <w:tcPr>
            <w:tcW w:w="2308"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Disabled</w:t>
            </w:r>
          </w:p>
        </w:tc>
        <w:tc>
          <w:tcPr>
            <w:tcW w:w="1416"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3.4%</w:t>
            </w:r>
          </w:p>
        </w:tc>
        <w:tc>
          <w:tcPr>
            <w:tcW w:w="1273"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5.2%</w:t>
            </w:r>
          </w:p>
        </w:tc>
        <w:tc>
          <w:tcPr>
            <w:tcW w:w="1241"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3.7%</w:t>
            </w:r>
          </w:p>
        </w:tc>
        <w:tc>
          <w:tcPr>
            <w:tcW w:w="1254"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3.1%</w:t>
            </w:r>
          </w:p>
        </w:tc>
      </w:tr>
      <w:tr w:rsidR="00565954" w:rsidRPr="00AE49C8" w:rsidTr="008F6F1E">
        <w:trPr>
          <w:cantSplit/>
          <w:trHeight w:val="312"/>
          <w:tblHeader/>
          <w:jc w:val="center"/>
        </w:trPr>
        <w:tc>
          <w:tcPr>
            <w:tcW w:w="2308"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Non-Disabled</w:t>
            </w:r>
          </w:p>
        </w:tc>
        <w:tc>
          <w:tcPr>
            <w:tcW w:w="1416"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95.5%</w:t>
            </w:r>
          </w:p>
        </w:tc>
        <w:tc>
          <w:tcPr>
            <w:tcW w:w="1273"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93.3%</w:t>
            </w:r>
          </w:p>
        </w:tc>
        <w:tc>
          <w:tcPr>
            <w:tcW w:w="1241"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94.3%</w:t>
            </w:r>
          </w:p>
        </w:tc>
        <w:tc>
          <w:tcPr>
            <w:tcW w:w="1254"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71.8%</w:t>
            </w:r>
          </w:p>
        </w:tc>
      </w:tr>
      <w:tr w:rsidR="00565954" w:rsidRPr="00AE49C8" w:rsidTr="008F6F1E">
        <w:trPr>
          <w:cantSplit/>
          <w:trHeight w:val="312"/>
          <w:tblHeader/>
          <w:jc w:val="center"/>
        </w:trPr>
        <w:tc>
          <w:tcPr>
            <w:tcW w:w="2308"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416"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1.1%</w:t>
            </w:r>
          </w:p>
        </w:tc>
        <w:tc>
          <w:tcPr>
            <w:tcW w:w="1273"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241"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2.0%</w:t>
            </w:r>
          </w:p>
        </w:tc>
        <w:tc>
          <w:tcPr>
            <w:tcW w:w="1254"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18.6%</w:t>
            </w:r>
          </w:p>
        </w:tc>
      </w:tr>
      <w:tr w:rsidR="00565954" w:rsidRPr="00AE49C8" w:rsidTr="008F6F1E">
        <w:trPr>
          <w:cantSplit/>
          <w:trHeight w:val="312"/>
          <w:tblHeader/>
          <w:jc w:val="center"/>
        </w:trPr>
        <w:tc>
          <w:tcPr>
            <w:tcW w:w="2308"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416"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0.5%</w:t>
            </w:r>
          </w:p>
        </w:tc>
        <w:tc>
          <w:tcPr>
            <w:tcW w:w="1273"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1.7%</w:t>
            </w:r>
          </w:p>
        </w:tc>
        <w:tc>
          <w:tcPr>
            <w:tcW w:w="1241"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4.0%</w:t>
            </w:r>
          </w:p>
        </w:tc>
        <w:tc>
          <w:tcPr>
            <w:tcW w:w="1254"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6.5%</w:t>
            </w:r>
          </w:p>
        </w:tc>
      </w:tr>
      <w:tr w:rsidR="00565954" w:rsidRPr="00AE49C8" w:rsidTr="008F6F1E">
        <w:trPr>
          <w:cantSplit/>
          <w:trHeight w:val="312"/>
          <w:tblHeader/>
          <w:jc w:val="center"/>
        </w:trPr>
        <w:tc>
          <w:tcPr>
            <w:tcW w:w="2308"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Total</w:t>
            </w:r>
          </w:p>
        </w:tc>
        <w:tc>
          <w:tcPr>
            <w:tcW w:w="1416"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273"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241"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254" w:type="dxa"/>
            <w:shd w:val="clear" w:color="auto" w:fill="auto"/>
            <w:noWrap/>
            <w:vAlign w:val="bottom"/>
            <w:hideMark/>
          </w:tcPr>
          <w:p w:rsidR="00565954" w:rsidRPr="00AE49C8" w:rsidRDefault="00565954" w:rsidP="00565954">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565954" w:rsidRPr="00AE49C8" w:rsidRDefault="00565954" w:rsidP="00565954">
      <w:pPr>
        <w:spacing w:line="240" w:lineRule="auto"/>
        <w:jc w:val="center"/>
        <w:rPr>
          <w:b/>
        </w:rPr>
      </w:pPr>
    </w:p>
    <w:p w:rsidR="00895BEF" w:rsidRPr="00AE49C8" w:rsidRDefault="00565954" w:rsidP="00565954">
      <w:pPr>
        <w:jc w:val="center"/>
        <w:rPr>
          <w:b/>
        </w:rPr>
      </w:pPr>
      <w:r w:rsidRPr="00AE49C8">
        <w:rPr>
          <w:noProof/>
          <w:lang w:eastAsia="en-GB"/>
        </w:rPr>
        <w:drawing>
          <wp:inline distT="0" distB="0" distL="0" distR="0" wp14:anchorId="28A0C52A" wp14:editId="3AB896A1">
            <wp:extent cx="5731510" cy="2854546"/>
            <wp:effectExtent l="0" t="0" r="2540" b="3175"/>
            <wp:docPr id="33" name="Chart 33" title="Recruitment process brokendown by disability status comparing to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95BEF" w:rsidRPr="000D2F61" w:rsidRDefault="00895BEF" w:rsidP="00895BEF">
      <w:r w:rsidRPr="000D2F61">
        <w:t>Observations</w:t>
      </w:r>
    </w:p>
    <w:p w:rsidR="00895BEF" w:rsidRPr="00AE49C8" w:rsidRDefault="008F6F1E" w:rsidP="008F6F1E">
      <w:pPr>
        <w:pStyle w:val="ListParagraph"/>
      </w:pPr>
      <w:r w:rsidRPr="00AE49C8">
        <w:t>Compared to the workforce representation, disabled applicants have a high representation throughout all stages of recruitment.</w:t>
      </w:r>
    </w:p>
    <w:p w:rsidR="008F6F1E" w:rsidRPr="00AE49C8" w:rsidRDefault="008F6F1E" w:rsidP="008F6F1E">
      <w:pPr>
        <w:pStyle w:val="ListParagraph"/>
      </w:pPr>
      <w:r w:rsidRPr="00AE49C8">
        <w:t>The overall declaration of disability is high in the recruitment processes.</w:t>
      </w:r>
    </w:p>
    <w:p w:rsidR="008F6F1E" w:rsidRPr="00AE49C8" w:rsidRDefault="008F6F1E" w:rsidP="008F6F1E">
      <w:pPr>
        <w:pStyle w:val="ListParagraph"/>
      </w:pPr>
      <w:r w:rsidRPr="00AE49C8">
        <w:t>From the application to the shortlisting stage, there is a greater representation of disabled candidates; this could be helped by the guaranteed interview scheme operated by the Trust.  From shortlisting to the appointment stage, there is a reduction of disabled candidates; however, the overall appointment of disabled candidates remains greater than the overall workforce representation.</w:t>
      </w:r>
    </w:p>
    <w:p w:rsidR="00C92A79" w:rsidRDefault="00C92A79">
      <w:pPr>
        <w:widowControl w:val="0"/>
        <w:rPr>
          <w:rFonts w:eastAsiaTheme="majorEastAsia"/>
          <w:b/>
          <w:bCs/>
          <w:color w:val="0070C0"/>
        </w:rPr>
      </w:pPr>
      <w:r>
        <w:br w:type="page"/>
      </w:r>
    </w:p>
    <w:p w:rsidR="00895BEF" w:rsidRPr="00AE49C8" w:rsidRDefault="00895BEF" w:rsidP="008F6F1E">
      <w:pPr>
        <w:pStyle w:val="Heading3"/>
      </w:pPr>
      <w:bookmarkStart w:id="42" w:name="_Toc88633989"/>
      <w:r w:rsidRPr="00AE49C8">
        <w:lastRenderedPageBreak/>
        <w:t>Uptake of non-mandatory training or continuing professional development</w:t>
      </w:r>
      <w:bookmarkEnd w:id="42"/>
    </w:p>
    <w:p w:rsidR="00895BEF" w:rsidRPr="00AE49C8" w:rsidRDefault="00895BEF" w:rsidP="00895BEF">
      <w:pPr>
        <w:rPr>
          <w:b/>
        </w:rPr>
      </w:pPr>
      <w:r w:rsidRPr="00AE49C8">
        <w:rPr>
          <w:b/>
        </w:rPr>
        <w:t>BSUH</w:t>
      </w:r>
    </w:p>
    <w:tbl>
      <w:tblPr>
        <w:tblW w:w="8715" w:type="dxa"/>
        <w:tblInd w:w="93" w:type="dxa"/>
        <w:tblBorders>
          <w:insideH w:val="dotted" w:sz="4" w:space="0" w:color="auto"/>
        </w:tblBorders>
        <w:tblLook w:val="04A0" w:firstRow="1" w:lastRow="0" w:firstColumn="1" w:lastColumn="0" w:noHBand="0" w:noVBand="1"/>
        <w:tblCaption w:val="Breakdown of non-mandatory training/CPD brokendown by disability status"/>
      </w:tblPr>
      <w:tblGrid>
        <w:gridCol w:w="2142"/>
        <w:gridCol w:w="2409"/>
        <w:gridCol w:w="2410"/>
        <w:gridCol w:w="1964"/>
      </w:tblGrid>
      <w:tr w:rsidR="00F3345C" w:rsidRPr="00AE49C8" w:rsidTr="00C953E3">
        <w:trPr>
          <w:cantSplit/>
          <w:trHeight w:val="312"/>
          <w:tblHeader/>
        </w:trPr>
        <w:tc>
          <w:tcPr>
            <w:tcW w:w="2142" w:type="dxa"/>
            <w:shd w:val="clear" w:color="auto" w:fill="auto"/>
            <w:noWrap/>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Disability Status</w:t>
            </w:r>
          </w:p>
        </w:tc>
        <w:tc>
          <w:tcPr>
            <w:tcW w:w="2409" w:type="dxa"/>
            <w:shd w:val="clear" w:color="auto" w:fill="auto"/>
            <w:noWrap/>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Number of staff attending training</w:t>
            </w:r>
          </w:p>
        </w:tc>
        <w:tc>
          <w:tcPr>
            <w:tcW w:w="2410" w:type="dxa"/>
            <w:shd w:val="clear" w:color="auto" w:fill="auto"/>
            <w:noWrap/>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 of staff attending training</w:t>
            </w:r>
          </w:p>
        </w:tc>
        <w:tc>
          <w:tcPr>
            <w:tcW w:w="1754" w:type="dxa"/>
            <w:shd w:val="clear" w:color="auto" w:fill="auto"/>
            <w:noWrap/>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Workforce Representation</w:t>
            </w:r>
          </w:p>
        </w:tc>
      </w:tr>
      <w:tr w:rsidR="00F3345C" w:rsidRPr="00AE49C8" w:rsidTr="00C953E3">
        <w:trPr>
          <w:cantSplit/>
          <w:trHeight w:val="312"/>
          <w:tblHeader/>
        </w:trPr>
        <w:tc>
          <w:tcPr>
            <w:tcW w:w="2142"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Disabled</w:t>
            </w:r>
          </w:p>
        </w:tc>
        <w:tc>
          <w:tcPr>
            <w:tcW w:w="2409"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9</w:t>
            </w:r>
          </w:p>
        </w:tc>
        <w:tc>
          <w:tcPr>
            <w:tcW w:w="241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2.7%</w:t>
            </w:r>
          </w:p>
        </w:tc>
        <w:tc>
          <w:tcPr>
            <w:tcW w:w="175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6.2%</w:t>
            </w:r>
          </w:p>
        </w:tc>
      </w:tr>
      <w:tr w:rsidR="00F3345C" w:rsidRPr="00AE49C8" w:rsidTr="00C953E3">
        <w:trPr>
          <w:cantSplit/>
          <w:trHeight w:val="312"/>
          <w:tblHeader/>
        </w:trPr>
        <w:tc>
          <w:tcPr>
            <w:tcW w:w="2142"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Not Disabled</w:t>
            </w:r>
          </w:p>
        </w:tc>
        <w:tc>
          <w:tcPr>
            <w:tcW w:w="2409"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318</w:t>
            </w:r>
          </w:p>
        </w:tc>
        <w:tc>
          <w:tcPr>
            <w:tcW w:w="241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95.2%</w:t>
            </w:r>
          </w:p>
        </w:tc>
        <w:tc>
          <w:tcPr>
            <w:tcW w:w="175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82.6%</w:t>
            </w:r>
          </w:p>
        </w:tc>
      </w:tr>
      <w:tr w:rsidR="00F3345C" w:rsidRPr="00AE49C8" w:rsidTr="00C953E3">
        <w:trPr>
          <w:cantSplit/>
          <w:trHeight w:val="312"/>
          <w:tblHeader/>
        </w:trPr>
        <w:tc>
          <w:tcPr>
            <w:tcW w:w="2142"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2409"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7</w:t>
            </w:r>
          </w:p>
        </w:tc>
        <w:tc>
          <w:tcPr>
            <w:tcW w:w="241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2.1%</w:t>
            </w:r>
          </w:p>
        </w:tc>
        <w:tc>
          <w:tcPr>
            <w:tcW w:w="175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5.3%</w:t>
            </w:r>
          </w:p>
        </w:tc>
      </w:tr>
      <w:tr w:rsidR="00F3345C" w:rsidRPr="00AE49C8" w:rsidTr="00C953E3">
        <w:trPr>
          <w:cantSplit/>
          <w:trHeight w:val="312"/>
          <w:tblHeader/>
        </w:trPr>
        <w:tc>
          <w:tcPr>
            <w:tcW w:w="2142"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2409"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241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75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5.9%</w:t>
            </w:r>
          </w:p>
        </w:tc>
      </w:tr>
      <w:tr w:rsidR="00F3345C" w:rsidRPr="00AE49C8" w:rsidTr="00C953E3">
        <w:trPr>
          <w:cantSplit/>
          <w:trHeight w:val="312"/>
          <w:tblHeader/>
        </w:trPr>
        <w:tc>
          <w:tcPr>
            <w:tcW w:w="2142"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Grand Total</w:t>
            </w:r>
          </w:p>
        </w:tc>
        <w:tc>
          <w:tcPr>
            <w:tcW w:w="2409"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334</w:t>
            </w:r>
          </w:p>
        </w:tc>
        <w:tc>
          <w:tcPr>
            <w:tcW w:w="241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75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F3345C" w:rsidRPr="00AE49C8" w:rsidRDefault="00F3345C" w:rsidP="00F3345C">
      <w:pPr>
        <w:jc w:val="center"/>
        <w:rPr>
          <w:b/>
        </w:rPr>
      </w:pPr>
    </w:p>
    <w:p w:rsidR="00895BEF" w:rsidRPr="00AE49C8" w:rsidRDefault="0096180E" w:rsidP="00895BEF">
      <w:pPr>
        <w:jc w:val="center"/>
        <w:rPr>
          <w:b/>
        </w:rPr>
      </w:pPr>
      <w:r w:rsidRPr="00AE49C8">
        <w:rPr>
          <w:noProof/>
          <w:lang w:eastAsia="en-GB"/>
        </w:rPr>
        <w:drawing>
          <wp:inline distT="0" distB="0" distL="0" distR="0" wp14:anchorId="56776512" wp14:editId="3D6D416D">
            <wp:extent cx="4572000" cy="2743200"/>
            <wp:effectExtent l="0" t="0" r="0" b="0"/>
            <wp:docPr id="63" name="Chart 63" title="Breakdown of non-mandatory training/CPD brokendown by disability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95BEF" w:rsidRPr="000D2F61" w:rsidRDefault="00895BEF" w:rsidP="00895BEF">
      <w:r w:rsidRPr="000D2F61">
        <w:t>Observations</w:t>
      </w:r>
    </w:p>
    <w:p w:rsidR="00C953E3" w:rsidRPr="00AE49C8" w:rsidRDefault="00C953E3" w:rsidP="00C953E3">
      <w:pPr>
        <w:pStyle w:val="ListParagraph"/>
      </w:pPr>
      <w:r w:rsidRPr="00AE49C8">
        <w:t>There is a lower proportion of disabled staff undertaking non-mandatory/CPD training than the overall workforce representation.</w:t>
      </w:r>
    </w:p>
    <w:p w:rsidR="00895BEF" w:rsidRPr="00AE49C8" w:rsidRDefault="00895BEF" w:rsidP="00895BEF">
      <w:pPr>
        <w:rPr>
          <w:b/>
        </w:rPr>
      </w:pPr>
    </w:p>
    <w:p w:rsidR="00895BEF" w:rsidRPr="00AE49C8" w:rsidRDefault="00895BEF" w:rsidP="00895BEF">
      <w:pPr>
        <w:rPr>
          <w:b/>
        </w:rPr>
      </w:pPr>
      <w:r w:rsidRPr="00AE49C8">
        <w:rPr>
          <w:b/>
        </w:rPr>
        <w:t>WSHT</w:t>
      </w:r>
    </w:p>
    <w:tbl>
      <w:tblPr>
        <w:tblW w:w="8432" w:type="dxa"/>
        <w:jc w:val="center"/>
        <w:tblBorders>
          <w:insideH w:val="dotted" w:sz="4" w:space="0" w:color="auto"/>
        </w:tblBorders>
        <w:tblLook w:val="04A0" w:firstRow="1" w:lastRow="0" w:firstColumn="1" w:lastColumn="0" w:noHBand="0" w:noVBand="1"/>
        <w:tblCaption w:val="Breakdown of non-mandatory training/CPD brokendown by disability status"/>
      </w:tblPr>
      <w:tblGrid>
        <w:gridCol w:w="2000"/>
        <w:gridCol w:w="2410"/>
        <w:gridCol w:w="2268"/>
        <w:gridCol w:w="1964"/>
      </w:tblGrid>
      <w:tr w:rsidR="00F3345C" w:rsidRPr="00AE49C8" w:rsidTr="00C953E3">
        <w:trPr>
          <w:cantSplit/>
          <w:trHeight w:val="312"/>
          <w:tblHeader/>
          <w:jc w:val="center"/>
        </w:trPr>
        <w:tc>
          <w:tcPr>
            <w:tcW w:w="2000" w:type="dxa"/>
            <w:shd w:val="clear" w:color="auto" w:fill="auto"/>
            <w:noWrap/>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Disability Status</w:t>
            </w:r>
          </w:p>
        </w:tc>
        <w:tc>
          <w:tcPr>
            <w:tcW w:w="2410" w:type="dxa"/>
            <w:shd w:val="clear" w:color="auto" w:fill="auto"/>
            <w:noWrap/>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Number of staff attending training</w:t>
            </w:r>
          </w:p>
        </w:tc>
        <w:tc>
          <w:tcPr>
            <w:tcW w:w="2268" w:type="dxa"/>
            <w:shd w:val="clear" w:color="auto" w:fill="auto"/>
            <w:noWrap/>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 of staff attending training</w:t>
            </w:r>
          </w:p>
        </w:tc>
        <w:tc>
          <w:tcPr>
            <w:tcW w:w="1754" w:type="dxa"/>
            <w:shd w:val="clear" w:color="auto" w:fill="auto"/>
            <w:noWrap/>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Workforce Representation</w:t>
            </w:r>
          </w:p>
        </w:tc>
      </w:tr>
      <w:tr w:rsidR="00F3345C" w:rsidRPr="00AE49C8" w:rsidTr="00C953E3">
        <w:trPr>
          <w:cantSplit/>
          <w:trHeight w:val="312"/>
          <w:tblHeader/>
          <w:jc w:val="center"/>
        </w:trPr>
        <w:tc>
          <w:tcPr>
            <w:tcW w:w="200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Disabled</w:t>
            </w:r>
          </w:p>
        </w:tc>
        <w:tc>
          <w:tcPr>
            <w:tcW w:w="241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90</w:t>
            </w:r>
          </w:p>
        </w:tc>
        <w:tc>
          <w:tcPr>
            <w:tcW w:w="2268"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3.3%</w:t>
            </w:r>
          </w:p>
        </w:tc>
        <w:tc>
          <w:tcPr>
            <w:tcW w:w="175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3.1%</w:t>
            </w:r>
          </w:p>
        </w:tc>
      </w:tr>
      <w:tr w:rsidR="00F3345C" w:rsidRPr="00AE49C8" w:rsidTr="00C953E3">
        <w:trPr>
          <w:cantSplit/>
          <w:trHeight w:val="312"/>
          <w:tblHeader/>
          <w:jc w:val="center"/>
        </w:trPr>
        <w:tc>
          <w:tcPr>
            <w:tcW w:w="200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Not Disabled</w:t>
            </w:r>
          </w:p>
        </w:tc>
        <w:tc>
          <w:tcPr>
            <w:tcW w:w="241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2045</w:t>
            </w:r>
          </w:p>
        </w:tc>
        <w:tc>
          <w:tcPr>
            <w:tcW w:w="2268"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74.6%</w:t>
            </w:r>
          </w:p>
        </w:tc>
        <w:tc>
          <w:tcPr>
            <w:tcW w:w="175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71.8%</w:t>
            </w:r>
          </w:p>
        </w:tc>
      </w:tr>
      <w:tr w:rsidR="00F3345C" w:rsidRPr="00AE49C8" w:rsidTr="00C953E3">
        <w:trPr>
          <w:cantSplit/>
          <w:trHeight w:val="312"/>
          <w:tblHeader/>
          <w:jc w:val="center"/>
        </w:trPr>
        <w:tc>
          <w:tcPr>
            <w:tcW w:w="200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241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474</w:t>
            </w:r>
          </w:p>
        </w:tc>
        <w:tc>
          <w:tcPr>
            <w:tcW w:w="2268"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17.3%</w:t>
            </w:r>
          </w:p>
        </w:tc>
        <w:tc>
          <w:tcPr>
            <w:tcW w:w="175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18.6%</w:t>
            </w:r>
          </w:p>
        </w:tc>
      </w:tr>
      <w:tr w:rsidR="00F3345C" w:rsidRPr="00AE49C8" w:rsidTr="00C953E3">
        <w:trPr>
          <w:cantSplit/>
          <w:trHeight w:val="312"/>
          <w:tblHeader/>
          <w:jc w:val="center"/>
        </w:trPr>
        <w:tc>
          <w:tcPr>
            <w:tcW w:w="200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241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132</w:t>
            </w:r>
          </w:p>
        </w:tc>
        <w:tc>
          <w:tcPr>
            <w:tcW w:w="2268"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4.8%</w:t>
            </w:r>
          </w:p>
        </w:tc>
        <w:tc>
          <w:tcPr>
            <w:tcW w:w="175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6.5%</w:t>
            </w:r>
          </w:p>
        </w:tc>
      </w:tr>
      <w:tr w:rsidR="00F3345C" w:rsidRPr="00AE49C8" w:rsidTr="00C953E3">
        <w:trPr>
          <w:cantSplit/>
          <w:trHeight w:val="312"/>
          <w:tblHeader/>
          <w:jc w:val="center"/>
        </w:trPr>
        <w:tc>
          <w:tcPr>
            <w:tcW w:w="200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Grand Total</w:t>
            </w:r>
          </w:p>
        </w:tc>
        <w:tc>
          <w:tcPr>
            <w:tcW w:w="241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2741</w:t>
            </w:r>
          </w:p>
        </w:tc>
        <w:tc>
          <w:tcPr>
            <w:tcW w:w="2268"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75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895BEF" w:rsidRPr="00AE49C8" w:rsidRDefault="0096180E" w:rsidP="00895BEF">
      <w:pPr>
        <w:jc w:val="center"/>
        <w:rPr>
          <w:b/>
        </w:rPr>
      </w:pPr>
      <w:r w:rsidRPr="00AE49C8">
        <w:rPr>
          <w:noProof/>
          <w:lang w:eastAsia="en-GB"/>
        </w:rPr>
        <w:lastRenderedPageBreak/>
        <w:drawing>
          <wp:inline distT="0" distB="0" distL="0" distR="0" wp14:anchorId="2373BCEE" wp14:editId="2A23B122">
            <wp:extent cx="4572000" cy="2971800"/>
            <wp:effectExtent l="0" t="0" r="0" b="0"/>
            <wp:docPr id="256" name="Chart 256" title="Breakdown of non-mandatory training/CPD brokendown by disability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95BEF" w:rsidRPr="000D2F61" w:rsidRDefault="00895BEF" w:rsidP="00895BEF">
      <w:r w:rsidRPr="000D2F61">
        <w:t>Observation</w:t>
      </w:r>
    </w:p>
    <w:p w:rsidR="00895BEF" w:rsidRPr="00AE49C8" w:rsidRDefault="00C953E3" w:rsidP="00C953E3">
      <w:pPr>
        <w:pStyle w:val="ListParagraph"/>
      </w:pPr>
      <w:r w:rsidRPr="00AE49C8">
        <w:t>There is a slightly higher proportion of disabled staff undertaking non-mandatory/CPD training than the overall workforce representation.</w:t>
      </w:r>
    </w:p>
    <w:p w:rsidR="00895BEF" w:rsidRPr="00AE49C8" w:rsidRDefault="00895BEF" w:rsidP="00C953E3">
      <w:pPr>
        <w:pStyle w:val="Heading3"/>
      </w:pPr>
      <w:bookmarkStart w:id="43" w:name="_Toc88633990"/>
      <w:r w:rsidRPr="00AE49C8">
        <w:t>Employee relations processes broken down by age</w:t>
      </w:r>
      <w:bookmarkEnd w:id="43"/>
    </w:p>
    <w:p w:rsidR="00895BEF" w:rsidRPr="00AE49C8" w:rsidRDefault="00895BEF" w:rsidP="00895BEF">
      <w:pPr>
        <w:rPr>
          <w:b/>
        </w:rPr>
      </w:pPr>
      <w:r w:rsidRPr="00AE49C8">
        <w:rPr>
          <w:b/>
        </w:rPr>
        <w:t>BSUH</w:t>
      </w:r>
    </w:p>
    <w:tbl>
      <w:tblPr>
        <w:tblW w:w="9796" w:type="dxa"/>
        <w:tblInd w:w="93" w:type="dxa"/>
        <w:tblBorders>
          <w:insideH w:val="dotted" w:sz="4" w:space="0" w:color="auto"/>
        </w:tblBorders>
        <w:tblLook w:val="04A0" w:firstRow="1" w:lastRow="0" w:firstColumn="1" w:lastColumn="0" w:noHBand="0" w:noVBand="1"/>
        <w:tblCaption w:val="Representation disability in capability issues"/>
      </w:tblPr>
      <w:tblGrid>
        <w:gridCol w:w="2000"/>
        <w:gridCol w:w="1559"/>
        <w:gridCol w:w="1559"/>
        <w:gridCol w:w="1363"/>
        <w:gridCol w:w="1363"/>
        <w:gridCol w:w="2254"/>
      </w:tblGrid>
      <w:tr w:rsidR="00F3345C" w:rsidRPr="00AE49C8" w:rsidTr="00C953E3">
        <w:trPr>
          <w:cantSplit/>
          <w:trHeight w:val="312"/>
          <w:tblHeader/>
        </w:trPr>
        <w:tc>
          <w:tcPr>
            <w:tcW w:w="2000"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Disability Status</w:t>
            </w:r>
          </w:p>
        </w:tc>
        <w:tc>
          <w:tcPr>
            <w:tcW w:w="1559"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(Non-UHR)</w:t>
            </w:r>
          </w:p>
        </w:tc>
        <w:tc>
          <w:tcPr>
            <w:tcW w:w="1559"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(Non-UHR) %</w:t>
            </w:r>
          </w:p>
        </w:tc>
        <w:tc>
          <w:tcPr>
            <w:tcW w:w="1212"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(UHR)</w:t>
            </w:r>
          </w:p>
        </w:tc>
        <w:tc>
          <w:tcPr>
            <w:tcW w:w="1212"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(UHR) %</w:t>
            </w:r>
          </w:p>
        </w:tc>
        <w:tc>
          <w:tcPr>
            <w:tcW w:w="2254"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Representation %</w:t>
            </w:r>
          </w:p>
        </w:tc>
      </w:tr>
      <w:tr w:rsidR="00F3345C" w:rsidRPr="00AE49C8" w:rsidTr="00C953E3">
        <w:trPr>
          <w:cantSplit/>
          <w:trHeight w:val="312"/>
          <w:tblHeader/>
        </w:trPr>
        <w:tc>
          <w:tcPr>
            <w:tcW w:w="200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559"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32</w:t>
            </w:r>
          </w:p>
        </w:tc>
        <w:tc>
          <w:tcPr>
            <w:tcW w:w="1559"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212"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8</w:t>
            </w:r>
          </w:p>
        </w:tc>
        <w:tc>
          <w:tcPr>
            <w:tcW w:w="1212"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225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5.3%</w:t>
            </w:r>
          </w:p>
        </w:tc>
      </w:tr>
      <w:tr w:rsidR="00F3345C" w:rsidRPr="00AE49C8" w:rsidTr="00C953E3">
        <w:trPr>
          <w:cantSplit/>
          <w:trHeight w:val="312"/>
          <w:tblHeader/>
        </w:trPr>
        <w:tc>
          <w:tcPr>
            <w:tcW w:w="2000"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559"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32</w:t>
            </w:r>
          </w:p>
        </w:tc>
        <w:tc>
          <w:tcPr>
            <w:tcW w:w="1559"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212"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8</w:t>
            </w:r>
          </w:p>
        </w:tc>
        <w:tc>
          <w:tcPr>
            <w:tcW w:w="1212"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225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p>
        </w:tc>
      </w:tr>
    </w:tbl>
    <w:p w:rsidR="00F3345C" w:rsidRPr="00AE49C8" w:rsidRDefault="00F3345C" w:rsidP="00895BEF">
      <w:pPr>
        <w:rPr>
          <w:b/>
        </w:rPr>
      </w:pPr>
    </w:p>
    <w:p w:rsidR="00895BEF" w:rsidRPr="00AE49C8" w:rsidRDefault="00F3345C" w:rsidP="00F3345C">
      <w:pPr>
        <w:jc w:val="center"/>
        <w:rPr>
          <w:b/>
        </w:rPr>
      </w:pPr>
      <w:r w:rsidRPr="00AE49C8">
        <w:rPr>
          <w:noProof/>
          <w:lang w:eastAsia="en-GB"/>
        </w:rPr>
        <w:drawing>
          <wp:inline distT="0" distB="0" distL="0" distR="0" wp14:anchorId="364F2172" wp14:editId="14C2DFD1">
            <wp:extent cx="5731510" cy="2904945"/>
            <wp:effectExtent l="0" t="0" r="2540" b="0"/>
            <wp:docPr id="37" name="Chart 37" title="Representation disability in capability issues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W w:w="11624" w:type="dxa"/>
        <w:jc w:val="center"/>
        <w:tblInd w:w="-1133" w:type="dxa"/>
        <w:tblBorders>
          <w:insideH w:val="dotted" w:sz="4" w:space="0" w:color="auto"/>
        </w:tblBorders>
        <w:tblLook w:val="04A0" w:firstRow="1" w:lastRow="0" w:firstColumn="1" w:lastColumn="0" w:noHBand="0" w:noVBand="1"/>
        <w:tblCaption w:val="Representation disability in harassment, grievance and disciplinary cases"/>
      </w:tblPr>
      <w:tblGrid>
        <w:gridCol w:w="1283"/>
        <w:gridCol w:w="1591"/>
        <w:gridCol w:w="1591"/>
        <w:gridCol w:w="1377"/>
        <w:gridCol w:w="1377"/>
        <w:gridCol w:w="1577"/>
        <w:gridCol w:w="1577"/>
        <w:gridCol w:w="1403"/>
      </w:tblGrid>
      <w:tr w:rsidR="00F3345C" w:rsidRPr="00AE49C8" w:rsidTr="00C92A79">
        <w:trPr>
          <w:cantSplit/>
          <w:trHeight w:val="312"/>
          <w:tblHeader/>
          <w:jc w:val="center"/>
        </w:trPr>
        <w:tc>
          <w:tcPr>
            <w:tcW w:w="1283"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lastRenderedPageBreak/>
              <w:t>Disability Status</w:t>
            </w:r>
          </w:p>
        </w:tc>
        <w:tc>
          <w:tcPr>
            <w:tcW w:w="1591"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Harassment Cases</w:t>
            </w:r>
          </w:p>
        </w:tc>
        <w:tc>
          <w:tcPr>
            <w:tcW w:w="1591"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Harassment Cases %</w:t>
            </w:r>
          </w:p>
        </w:tc>
        <w:tc>
          <w:tcPr>
            <w:tcW w:w="1377"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Grievance Cases</w:t>
            </w:r>
          </w:p>
        </w:tc>
        <w:tc>
          <w:tcPr>
            <w:tcW w:w="1377"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Grievance Cases %</w:t>
            </w:r>
          </w:p>
        </w:tc>
        <w:tc>
          <w:tcPr>
            <w:tcW w:w="1577"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Disciplinary Cases</w:t>
            </w:r>
          </w:p>
        </w:tc>
        <w:tc>
          <w:tcPr>
            <w:tcW w:w="1577"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Disciplinary Cases %</w:t>
            </w:r>
          </w:p>
        </w:tc>
        <w:tc>
          <w:tcPr>
            <w:tcW w:w="1251" w:type="dxa"/>
            <w:shd w:val="clear" w:color="auto" w:fill="auto"/>
            <w:noWrap/>
            <w:vAlign w:val="bottom"/>
            <w:hideMark/>
          </w:tcPr>
          <w:p w:rsidR="00F3345C" w:rsidRPr="00AE49C8" w:rsidRDefault="00C92A79" w:rsidP="00C92A79">
            <w:pPr>
              <w:spacing w:after="0" w:line="240" w:lineRule="auto"/>
              <w:rPr>
                <w:rFonts w:eastAsia="Times New Roman"/>
                <w:b/>
                <w:bCs/>
                <w:color w:val="000000"/>
                <w:szCs w:val="24"/>
                <w:lang w:eastAsia="en-GB"/>
              </w:rPr>
            </w:pPr>
            <w:r>
              <w:rPr>
                <w:rFonts w:eastAsia="Times New Roman"/>
                <w:b/>
                <w:bCs/>
                <w:color w:val="000000"/>
                <w:szCs w:val="24"/>
                <w:lang w:eastAsia="en-GB"/>
              </w:rPr>
              <w:t xml:space="preserve">Workforce </w:t>
            </w:r>
            <w:r>
              <w:rPr>
                <w:rFonts w:eastAsia="Times New Roman"/>
                <w:b/>
                <w:bCs/>
                <w:color w:val="000000"/>
                <w:szCs w:val="24"/>
                <w:lang w:eastAsia="en-GB"/>
              </w:rPr>
              <w:br/>
              <w:t>Rep</w:t>
            </w:r>
            <w:r w:rsidR="00F3345C" w:rsidRPr="00AE49C8">
              <w:rPr>
                <w:rFonts w:eastAsia="Times New Roman"/>
                <w:b/>
                <w:bCs/>
                <w:color w:val="000000"/>
                <w:szCs w:val="24"/>
                <w:lang w:eastAsia="en-GB"/>
              </w:rPr>
              <w:t xml:space="preserve"> %</w:t>
            </w:r>
          </w:p>
        </w:tc>
      </w:tr>
      <w:tr w:rsidR="00F3345C" w:rsidRPr="00AE49C8" w:rsidTr="00C92A79">
        <w:trPr>
          <w:cantSplit/>
          <w:trHeight w:val="312"/>
          <w:tblHeader/>
          <w:jc w:val="center"/>
        </w:trPr>
        <w:tc>
          <w:tcPr>
            <w:tcW w:w="1283"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59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159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377"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9</w:t>
            </w:r>
          </w:p>
        </w:tc>
        <w:tc>
          <w:tcPr>
            <w:tcW w:w="1377"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577"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23</w:t>
            </w:r>
          </w:p>
        </w:tc>
        <w:tc>
          <w:tcPr>
            <w:tcW w:w="1577"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25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5.30%</w:t>
            </w:r>
          </w:p>
        </w:tc>
      </w:tr>
      <w:tr w:rsidR="00F3345C" w:rsidRPr="00AE49C8" w:rsidTr="00C92A79">
        <w:trPr>
          <w:cantSplit/>
          <w:trHeight w:val="312"/>
          <w:tblHeader/>
          <w:jc w:val="center"/>
        </w:trPr>
        <w:tc>
          <w:tcPr>
            <w:tcW w:w="1283"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591"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4</w:t>
            </w:r>
          </w:p>
        </w:tc>
        <w:tc>
          <w:tcPr>
            <w:tcW w:w="1591"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377"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9</w:t>
            </w:r>
          </w:p>
        </w:tc>
        <w:tc>
          <w:tcPr>
            <w:tcW w:w="1377"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577"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23</w:t>
            </w:r>
          </w:p>
        </w:tc>
        <w:tc>
          <w:tcPr>
            <w:tcW w:w="1577"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25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p>
        </w:tc>
      </w:tr>
    </w:tbl>
    <w:p w:rsidR="00895BEF" w:rsidRPr="00AE49C8" w:rsidRDefault="00895BEF" w:rsidP="00895BEF">
      <w:pPr>
        <w:rPr>
          <w:b/>
        </w:rPr>
      </w:pPr>
    </w:p>
    <w:p w:rsidR="00895BEF" w:rsidRPr="00AE49C8" w:rsidRDefault="00F3345C" w:rsidP="00F3345C">
      <w:pPr>
        <w:jc w:val="center"/>
        <w:rPr>
          <w:b/>
        </w:rPr>
      </w:pPr>
      <w:r w:rsidRPr="00AE49C8">
        <w:rPr>
          <w:noProof/>
          <w:lang w:eastAsia="en-GB"/>
        </w:rPr>
        <w:drawing>
          <wp:inline distT="0" distB="0" distL="0" distR="0" wp14:anchorId="131120C2" wp14:editId="13225F10">
            <wp:extent cx="5731510" cy="2521007"/>
            <wp:effectExtent l="0" t="0" r="2540" b="0"/>
            <wp:docPr id="38" name="Chart 38" title="Representation disability in harassment, grievance and disciplinary cases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W w:w="10402" w:type="dxa"/>
        <w:jc w:val="center"/>
        <w:tblBorders>
          <w:insideH w:val="dotted" w:sz="4" w:space="0" w:color="auto"/>
        </w:tblBorders>
        <w:tblLook w:val="04A0" w:firstRow="1" w:lastRow="0" w:firstColumn="1" w:lastColumn="0" w:noHBand="0" w:noVBand="1"/>
        <w:tblCaption w:val="Representation disability in dismissals"/>
      </w:tblPr>
      <w:tblGrid>
        <w:gridCol w:w="1976"/>
        <w:gridCol w:w="1480"/>
        <w:gridCol w:w="1471"/>
        <w:gridCol w:w="1736"/>
        <w:gridCol w:w="1984"/>
        <w:gridCol w:w="1985"/>
      </w:tblGrid>
      <w:tr w:rsidR="00F3345C" w:rsidRPr="00AE49C8" w:rsidTr="00C953E3">
        <w:trPr>
          <w:cantSplit/>
          <w:trHeight w:val="312"/>
          <w:tblHeader/>
          <w:jc w:val="center"/>
        </w:trPr>
        <w:tc>
          <w:tcPr>
            <w:tcW w:w="1976"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Disability Status</w:t>
            </w:r>
          </w:p>
        </w:tc>
        <w:tc>
          <w:tcPr>
            <w:tcW w:w="1480"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All Dismissals %</w:t>
            </w:r>
          </w:p>
        </w:tc>
        <w:tc>
          <w:tcPr>
            <w:tcW w:w="1241"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All Dismissals</w:t>
            </w:r>
          </w:p>
        </w:tc>
        <w:tc>
          <w:tcPr>
            <w:tcW w:w="1736"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Dismissals (Sickness only)</w:t>
            </w:r>
          </w:p>
        </w:tc>
        <w:tc>
          <w:tcPr>
            <w:tcW w:w="1984"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Dismissals (Sickness only) %</w:t>
            </w:r>
          </w:p>
        </w:tc>
        <w:tc>
          <w:tcPr>
            <w:tcW w:w="1985"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Representation %</w:t>
            </w:r>
          </w:p>
        </w:tc>
      </w:tr>
      <w:tr w:rsidR="00F3345C" w:rsidRPr="00AE49C8" w:rsidTr="00C953E3">
        <w:trPr>
          <w:cantSplit/>
          <w:trHeight w:val="312"/>
          <w:tblHeader/>
          <w:jc w:val="center"/>
        </w:trPr>
        <w:tc>
          <w:tcPr>
            <w:tcW w:w="1976"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48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17</w:t>
            </w:r>
          </w:p>
        </w:tc>
        <w:tc>
          <w:tcPr>
            <w:tcW w:w="124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736"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13</w:t>
            </w:r>
          </w:p>
        </w:tc>
        <w:tc>
          <w:tcPr>
            <w:tcW w:w="198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98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5.30%</w:t>
            </w:r>
          </w:p>
        </w:tc>
      </w:tr>
      <w:tr w:rsidR="00F3345C" w:rsidRPr="00AE49C8" w:rsidTr="00C953E3">
        <w:trPr>
          <w:cantSplit/>
          <w:trHeight w:val="312"/>
          <w:tblHeader/>
          <w:jc w:val="center"/>
        </w:trPr>
        <w:tc>
          <w:tcPr>
            <w:tcW w:w="1976"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480"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17</w:t>
            </w:r>
          </w:p>
        </w:tc>
        <w:tc>
          <w:tcPr>
            <w:tcW w:w="1241"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736"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13</w:t>
            </w:r>
          </w:p>
        </w:tc>
        <w:tc>
          <w:tcPr>
            <w:tcW w:w="1984"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98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p>
        </w:tc>
      </w:tr>
    </w:tbl>
    <w:p w:rsidR="00895BEF" w:rsidRPr="00AE49C8" w:rsidRDefault="00895BEF" w:rsidP="00895BEF">
      <w:pPr>
        <w:rPr>
          <w:b/>
        </w:rPr>
      </w:pPr>
    </w:p>
    <w:p w:rsidR="00895BEF" w:rsidRPr="00AE49C8" w:rsidRDefault="00F3345C" w:rsidP="00895BEF">
      <w:pPr>
        <w:jc w:val="center"/>
        <w:rPr>
          <w:b/>
        </w:rPr>
      </w:pPr>
      <w:r w:rsidRPr="00AE49C8">
        <w:rPr>
          <w:noProof/>
          <w:lang w:eastAsia="en-GB"/>
        </w:rPr>
        <w:drawing>
          <wp:inline distT="0" distB="0" distL="0" distR="0" wp14:anchorId="28A59F36" wp14:editId="74D9AF82">
            <wp:extent cx="5731510" cy="2904945"/>
            <wp:effectExtent l="0" t="0" r="2540" b="0"/>
            <wp:docPr id="41" name="Chart 41" title="Representation disability in dismissals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95BEF" w:rsidRPr="000D2F61" w:rsidRDefault="00895BEF" w:rsidP="00895BEF">
      <w:r w:rsidRPr="000D2F61">
        <w:t>Observations</w:t>
      </w:r>
    </w:p>
    <w:p w:rsidR="00895BEF" w:rsidRPr="00AE49C8" w:rsidRDefault="00D079FF" w:rsidP="00D079FF">
      <w:pPr>
        <w:pStyle w:val="ListParagraph"/>
      </w:pPr>
      <w:r w:rsidRPr="00AE49C8">
        <w:lastRenderedPageBreak/>
        <w:t>In all employee relations procedures/processes, all staff that have been subject to them have declined to provide their disability status.</w:t>
      </w:r>
    </w:p>
    <w:p w:rsidR="00895BEF" w:rsidRPr="00AE49C8" w:rsidRDefault="00895BEF" w:rsidP="00895BEF">
      <w:pPr>
        <w:rPr>
          <w:b/>
        </w:rPr>
      </w:pPr>
      <w:r w:rsidRPr="00AE49C8">
        <w:rPr>
          <w:b/>
        </w:rPr>
        <w:t>WSHT</w:t>
      </w:r>
    </w:p>
    <w:tbl>
      <w:tblPr>
        <w:tblW w:w="8951" w:type="dxa"/>
        <w:tblInd w:w="93" w:type="dxa"/>
        <w:tblBorders>
          <w:insideH w:val="dotted" w:sz="4" w:space="0" w:color="auto"/>
        </w:tblBorders>
        <w:tblLook w:val="04A0" w:firstRow="1" w:lastRow="0" w:firstColumn="1" w:lastColumn="0" w:noHBand="0" w:noVBand="1"/>
        <w:tblCaption w:val="Representation of disability in employee relations proceedures"/>
      </w:tblPr>
      <w:tblGrid>
        <w:gridCol w:w="1621"/>
        <w:gridCol w:w="1304"/>
        <w:gridCol w:w="1304"/>
        <w:gridCol w:w="1492"/>
        <w:gridCol w:w="1492"/>
        <w:gridCol w:w="1936"/>
      </w:tblGrid>
      <w:tr w:rsidR="00F3345C" w:rsidRPr="00AE49C8" w:rsidTr="00474AA3">
        <w:trPr>
          <w:cantSplit/>
          <w:trHeight w:val="312"/>
          <w:tblHeader/>
        </w:trPr>
        <w:tc>
          <w:tcPr>
            <w:tcW w:w="1716"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Disability Status</w:t>
            </w:r>
          </w:p>
        </w:tc>
        <w:tc>
          <w:tcPr>
            <w:tcW w:w="1217"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Grievance Cases</w:t>
            </w:r>
          </w:p>
        </w:tc>
        <w:tc>
          <w:tcPr>
            <w:tcW w:w="1217"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Grievance Cases %</w:t>
            </w:r>
          </w:p>
        </w:tc>
        <w:tc>
          <w:tcPr>
            <w:tcW w:w="1375"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Disciplinary Cases</w:t>
            </w:r>
          </w:p>
        </w:tc>
        <w:tc>
          <w:tcPr>
            <w:tcW w:w="1375"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Disciplinary Cases %</w:t>
            </w:r>
          </w:p>
        </w:tc>
        <w:tc>
          <w:tcPr>
            <w:tcW w:w="2051"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Representation %</w:t>
            </w:r>
          </w:p>
        </w:tc>
      </w:tr>
      <w:tr w:rsidR="00F3345C" w:rsidRPr="00AE49C8" w:rsidTr="00474AA3">
        <w:trPr>
          <w:cantSplit/>
          <w:trHeight w:val="312"/>
          <w:tblHeader/>
        </w:trPr>
        <w:tc>
          <w:tcPr>
            <w:tcW w:w="1716"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Disabled</w:t>
            </w:r>
          </w:p>
        </w:tc>
        <w:tc>
          <w:tcPr>
            <w:tcW w:w="1217"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p>
        </w:tc>
        <w:tc>
          <w:tcPr>
            <w:tcW w:w="1217"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37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37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3.8%</w:t>
            </w:r>
          </w:p>
        </w:tc>
        <w:tc>
          <w:tcPr>
            <w:tcW w:w="205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3.1%</w:t>
            </w:r>
          </w:p>
        </w:tc>
      </w:tr>
      <w:tr w:rsidR="00F3345C" w:rsidRPr="00AE49C8" w:rsidTr="00474AA3">
        <w:trPr>
          <w:cantSplit/>
          <w:trHeight w:val="312"/>
          <w:tblHeader/>
        </w:trPr>
        <w:tc>
          <w:tcPr>
            <w:tcW w:w="1716"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Not Disabled</w:t>
            </w:r>
          </w:p>
        </w:tc>
        <w:tc>
          <w:tcPr>
            <w:tcW w:w="1217"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19</w:t>
            </w:r>
          </w:p>
        </w:tc>
        <w:tc>
          <w:tcPr>
            <w:tcW w:w="1217"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67.9%</w:t>
            </w:r>
          </w:p>
        </w:tc>
        <w:tc>
          <w:tcPr>
            <w:tcW w:w="137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31</w:t>
            </w:r>
          </w:p>
        </w:tc>
        <w:tc>
          <w:tcPr>
            <w:tcW w:w="137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58.5%</w:t>
            </w:r>
          </w:p>
        </w:tc>
        <w:tc>
          <w:tcPr>
            <w:tcW w:w="205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71.8%</w:t>
            </w:r>
          </w:p>
        </w:tc>
      </w:tr>
      <w:tr w:rsidR="00F3345C" w:rsidRPr="00AE49C8" w:rsidTr="00474AA3">
        <w:trPr>
          <w:cantSplit/>
          <w:trHeight w:val="312"/>
          <w:tblHeader/>
        </w:trPr>
        <w:tc>
          <w:tcPr>
            <w:tcW w:w="1716"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217"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9</w:t>
            </w:r>
          </w:p>
        </w:tc>
        <w:tc>
          <w:tcPr>
            <w:tcW w:w="1217"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32.1%</w:t>
            </w:r>
          </w:p>
        </w:tc>
        <w:tc>
          <w:tcPr>
            <w:tcW w:w="137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20</w:t>
            </w:r>
          </w:p>
        </w:tc>
        <w:tc>
          <w:tcPr>
            <w:tcW w:w="137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37.7%</w:t>
            </w:r>
          </w:p>
        </w:tc>
        <w:tc>
          <w:tcPr>
            <w:tcW w:w="205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6.5%</w:t>
            </w:r>
          </w:p>
        </w:tc>
      </w:tr>
      <w:tr w:rsidR="00F3345C" w:rsidRPr="00AE49C8" w:rsidTr="00474AA3">
        <w:trPr>
          <w:cantSplit/>
          <w:trHeight w:val="312"/>
          <w:tblHeader/>
        </w:trPr>
        <w:tc>
          <w:tcPr>
            <w:tcW w:w="1716"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217"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28</w:t>
            </w:r>
          </w:p>
        </w:tc>
        <w:tc>
          <w:tcPr>
            <w:tcW w:w="1217"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375"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53</w:t>
            </w:r>
          </w:p>
        </w:tc>
        <w:tc>
          <w:tcPr>
            <w:tcW w:w="1375"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205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p>
        </w:tc>
      </w:tr>
    </w:tbl>
    <w:p w:rsidR="00895BEF" w:rsidRPr="00AE49C8" w:rsidRDefault="00895BEF" w:rsidP="00895BEF">
      <w:pPr>
        <w:rPr>
          <w:b/>
        </w:rPr>
      </w:pPr>
    </w:p>
    <w:p w:rsidR="00895BEF" w:rsidRPr="00AE49C8" w:rsidRDefault="00F3345C" w:rsidP="00895BEF">
      <w:pPr>
        <w:rPr>
          <w:b/>
        </w:rPr>
      </w:pPr>
      <w:r w:rsidRPr="00AE49C8">
        <w:rPr>
          <w:noProof/>
          <w:lang w:eastAsia="en-GB"/>
        </w:rPr>
        <w:drawing>
          <wp:inline distT="0" distB="0" distL="0" distR="0" wp14:anchorId="5E2F06B6" wp14:editId="4D2150F4">
            <wp:extent cx="5731510" cy="2726141"/>
            <wp:effectExtent l="0" t="0" r="2540" b="0"/>
            <wp:docPr id="42" name="Chart 42" title="Representation of disability in employee relations proceedures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95BEF" w:rsidRPr="000D2F61" w:rsidRDefault="00895BEF" w:rsidP="00895BEF">
      <w:r w:rsidRPr="000D2F61">
        <w:t>Observations</w:t>
      </w:r>
    </w:p>
    <w:p w:rsidR="00895BEF" w:rsidRPr="00AE49C8" w:rsidRDefault="00252775" w:rsidP="00252775">
      <w:pPr>
        <w:pStyle w:val="ListParagraph"/>
      </w:pPr>
      <w:r w:rsidRPr="00AE49C8">
        <w:t>Disabled staff were not involved in grievance cases, but there was a slightly higher representation of disabled staff in disciplinary processes than the overall workforce representation.</w:t>
      </w:r>
    </w:p>
    <w:p w:rsidR="00895BEF" w:rsidRPr="00AE49C8" w:rsidRDefault="00895BEF" w:rsidP="005C54A6">
      <w:pPr>
        <w:pStyle w:val="Heading3"/>
      </w:pPr>
      <w:bookmarkStart w:id="44" w:name="_Toc88633991"/>
      <w:r w:rsidRPr="00AE49C8">
        <w:t xml:space="preserve">Leavers broken down by </w:t>
      </w:r>
      <w:r w:rsidR="00F3345C" w:rsidRPr="00AE49C8">
        <w:t>disability</w:t>
      </w:r>
      <w:bookmarkEnd w:id="44"/>
    </w:p>
    <w:p w:rsidR="00895BEF" w:rsidRPr="00AE49C8" w:rsidRDefault="00895BEF" w:rsidP="00895BEF">
      <w:pPr>
        <w:rPr>
          <w:b/>
        </w:rPr>
      </w:pPr>
      <w:r w:rsidRPr="00AE49C8">
        <w:rPr>
          <w:b/>
        </w:rPr>
        <w:t>BSUH</w:t>
      </w:r>
    </w:p>
    <w:tbl>
      <w:tblPr>
        <w:tblW w:w="8886" w:type="dxa"/>
        <w:tblInd w:w="93" w:type="dxa"/>
        <w:tblBorders>
          <w:insideH w:val="dotted" w:sz="4" w:space="0" w:color="auto"/>
        </w:tblBorders>
        <w:tblLook w:val="04A0" w:firstRow="1" w:lastRow="0" w:firstColumn="1" w:lastColumn="0" w:noHBand="0" w:noVBand="1"/>
        <w:tblCaption w:val="Breakdown of leavers by disability status"/>
      </w:tblPr>
      <w:tblGrid>
        <w:gridCol w:w="2283"/>
        <w:gridCol w:w="1843"/>
        <w:gridCol w:w="1701"/>
        <w:gridCol w:w="1559"/>
        <w:gridCol w:w="1500"/>
      </w:tblGrid>
      <w:tr w:rsidR="00F3345C" w:rsidRPr="00AE49C8" w:rsidTr="005C54A6">
        <w:trPr>
          <w:cantSplit/>
          <w:trHeight w:val="312"/>
          <w:tblHeader/>
        </w:trPr>
        <w:tc>
          <w:tcPr>
            <w:tcW w:w="2283"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Disability Status</w:t>
            </w:r>
          </w:p>
        </w:tc>
        <w:tc>
          <w:tcPr>
            <w:tcW w:w="1843"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BSUH Leavers</w:t>
            </w:r>
          </w:p>
        </w:tc>
        <w:tc>
          <w:tcPr>
            <w:tcW w:w="1701"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BSUH Leavers (%)</w:t>
            </w:r>
          </w:p>
        </w:tc>
        <w:tc>
          <w:tcPr>
            <w:tcW w:w="1559"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in Workforce</w:t>
            </w:r>
          </w:p>
        </w:tc>
        <w:tc>
          <w:tcPr>
            <w:tcW w:w="1500"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 in Workforce</w:t>
            </w:r>
          </w:p>
        </w:tc>
      </w:tr>
      <w:tr w:rsidR="00F3345C" w:rsidRPr="00AE49C8" w:rsidTr="005C54A6">
        <w:trPr>
          <w:cantSplit/>
          <w:trHeight w:val="312"/>
          <w:tblHeader/>
        </w:trPr>
        <w:tc>
          <w:tcPr>
            <w:tcW w:w="2283"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Not Disabled</w:t>
            </w:r>
          </w:p>
        </w:tc>
        <w:tc>
          <w:tcPr>
            <w:tcW w:w="1843"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1217</w:t>
            </w:r>
          </w:p>
        </w:tc>
        <w:tc>
          <w:tcPr>
            <w:tcW w:w="170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79.7%</w:t>
            </w:r>
          </w:p>
        </w:tc>
        <w:tc>
          <w:tcPr>
            <w:tcW w:w="1559"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7331</w:t>
            </w:r>
          </w:p>
        </w:tc>
        <w:tc>
          <w:tcPr>
            <w:tcW w:w="150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82.6%</w:t>
            </w:r>
          </w:p>
        </w:tc>
      </w:tr>
      <w:tr w:rsidR="00F3345C" w:rsidRPr="00AE49C8" w:rsidTr="005C54A6">
        <w:trPr>
          <w:cantSplit/>
          <w:trHeight w:val="312"/>
          <w:tblHeader/>
        </w:trPr>
        <w:tc>
          <w:tcPr>
            <w:tcW w:w="2283"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Disabled</w:t>
            </w:r>
          </w:p>
        </w:tc>
        <w:tc>
          <w:tcPr>
            <w:tcW w:w="1843"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98</w:t>
            </w:r>
          </w:p>
        </w:tc>
        <w:tc>
          <w:tcPr>
            <w:tcW w:w="170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6.4%</w:t>
            </w:r>
          </w:p>
        </w:tc>
        <w:tc>
          <w:tcPr>
            <w:tcW w:w="1559"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547</w:t>
            </w:r>
          </w:p>
        </w:tc>
        <w:tc>
          <w:tcPr>
            <w:tcW w:w="150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6.2%</w:t>
            </w:r>
          </w:p>
        </w:tc>
      </w:tr>
      <w:tr w:rsidR="00F3345C" w:rsidRPr="00AE49C8" w:rsidTr="005C54A6">
        <w:trPr>
          <w:cantSplit/>
          <w:trHeight w:val="312"/>
          <w:tblHeader/>
        </w:trPr>
        <w:tc>
          <w:tcPr>
            <w:tcW w:w="2283"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843"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7</w:t>
            </w:r>
          </w:p>
        </w:tc>
        <w:tc>
          <w:tcPr>
            <w:tcW w:w="170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0.5%</w:t>
            </w:r>
          </w:p>
        </w:tc>
        <w:tc>
          <w:tcPr>
            <w:tcW w:w="1559"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473</w:t>
            </w:r>
          </w:p>
        </w:tc>
        <w:tc>
          <w:tcPr>
            <w:tcW w:w="150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5.3%</w:t>
            </w:r>
          </w:p>
        </w:tc>
      </w:tr>
      <w:tr w:rsidR="00F3345C" w:rsidRPr="00AE49C8" w:rsidTr="005C54A6">
        <w:trPr>
          <w:cantSplit/>
          <w:trHeight w:val="312"/>
          <w:tblHeader/>
        </w:trPr>
        <w:tc>
          <w:tcPr>
            <w:tcW w:w="2283"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843"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205</w:t>
            </w:r>
          </w:p>
        </w:tc>
        <w:tc>
          <w:tcPr>
            <w:tcW w:w="170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13.4%</w:t>
            </w:r>
          </w:p>
        </w:tc>
        <w:tc>
          <w:tcPr>
            <w:tcW w:w="1559"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522</w:t>
            </w:r>
          </w:p>
        </w:tc>
        <w:tc>
          <w:tcPr>
            <w:tcW w:w="1500"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5.9%</w:t>
            </w:r>
          </w:p>
        </w:tc>
      </w:tr>
      <w:tr w:rsidR="00F3345C" w:rsidRPr="00AE49C8" w:rsidTr="005C54A6">
        <w:trPr>
          <w:cantSplit/>
          <w:trHeight w:val="312"/>
          <w:tblHeader/>
        </w:trPr>
        <w:tc>
          <w:tcPr>
            <w:tcW w:w="2283" w:type="dxa"/>
            <w:shd w:val="clear" w:color="auto" w:fill="auto"/>
            <w:noWrap/>
            <w:vAlign w:val="center"/>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Grand Total</w:t>
            </w:r>
          </w:p>
        </w:tc>
        <w:tc>
          <w:tcPr>
            <w:tcW w:w="1843" w:type="dxa"/>
            <w:shd w:val="clear" w:color="auto" w:fill="auto"/>
            <w:noWrap/>
            <w:vAlign w:val="center"/>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1527</w:t>
            </w:r>
          </w:p>
        </w:tc>
        <w:tc>
          <w:tcPr>
            <w:tcW w:w="1701"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559"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8873</w:t>
            </w:r>
          </w:p>
        </w:tc>
        <w:tc>
          <w:tcPr>
            <w:tcW w:w="1500"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r>
    </w:tbl>
    <w:p w:rsidR="00895BEF" w:rsidRPr="00AE49C8" w:rsidRDefault="00895BEF" w:rsidP="00895BEF">
      <w:pPr>
        <w:rPr>
          <w:b/>
        </w:rPr>
      </w:pPr>
    </w:p>
    <w:p w:rsidR="00895BEF" w:rsidRPr="00AE49C8" w:rsidRDefault="00F3345C" w:rsidP="00895BEF">
      <w:pPr>
        <w:rPr>
          <w:b/>
        </w:rPr>
      </w:pPr>
      <w:r w:rsidRPr="00AE49C8">
        <w:rPr>
          <w:noProof/>
          <w:lang w:eastAsia="en-GB"/>
        </w:rPr>
        <w:lastRenderedPageBreak/>
        <w:drawing>
          <wp:inline distT="0" distB="0" distL="0" distR="0" wp14:anchorId="122B7C81" wp14:editId="29542EDE">
            <wp:extent cx="5731510" cy="3125388"/>
            <wp:effectExtent l="0" t="0" r="2540" b="0"/>
            <wp:docPr id="43" name="Chart 43" title="Breakdown of leavers by disability status compared to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95BEF" w:rsidRPr="000D2F61" w:rsidRDefault="00895BEF" w:rsidP="00895BEF">
      <w:r w:rsidRPr="000D2F61">
        <w:t>Observations</w:t>
      </w:r>
    </w:p>
    <w:p w:rsidR="00895BEF" w:rsidRPr="00AE49C8" w:rsidRDefault="005C54A6" w:rsidP="005C54A6">
      <w:pPr>
        <w:pStyle w:val="ListParagraph"/>
      </w:pPr>
      <w:r w:rsidRPr="00AE49C8">
        <w:t>A proportionate number of disabled staff have left the organisation compared to the overall workforce representation.</w:t>
      </w:r>
    </w:p>
    <w:p w:rsidR="005C54A6" w:rsidRPr="00AE49C8" w:rsidRDefault="005C54A6" w:rsidP="005C54A6">
      <w:pPr>
        <w:pStyle w:val="ListParagraph"/>
      </w:pPr>
      <w:r w:rsidRPr="00AE49C8">
        <w:t>There is also a high proportion of staff whose disability status is unknown that have left the organisation. This group of staff may impact the future overall disability representation of the workforce.</w:t>
      </w:r>
    </w:p>
    <w:p w:rsidR="00895BEF" w:rsidRPr="00AE49C8" w:rsidRDefault="00895BEF" w:rsidP="00895BEF">
      <w:pPr>
        <w:rPr>
          <w:b/>
        </w:rPr>
      </w:pPr>
      <w:r w:rsidRPr="00AE49C8">
        <w:rPr>
          <w:b/>
        </w:rPr>
        <w:t>WSHT</w:t>
      </w:r>
    </w:p>
    <w:tbl>
      <w:tblPr>
        <w:tblW w:w="9796" w:type="dxa"/>
        <w:tblInd w:w="93" w:type="dxa"/>
        <w:tblBorders>
          <w:insideH w:val="dotted" w:sz="4" w:space="0" w:color="auto"/>
        </w:tblBorders>
        <w:tblLook w:val="04A0" w:firstRow="1" w:lastRow="0" w:firstColumn="1" w:lastColumn="0" w:noHBand="0" w:noVBand="1"/>
        <w:tblCaption w:val="Breakdown of leavers by disability status"/>
      </w:tblPr>
      <w:tblGrid>
        <w:gridCol w:w="2142"/>
        <w:gridCol w:w="2126"/>
        <w:gridCol w:w="1843"/>
        <w:gridCol w:w="1701"/>
        <w:gridCol w:w="1984"/>
      </w:tblGrid>
      <w:tr w:rsidR="00F3345C" w:rsidRPr="00AE49C8" w:rsidTr="005C54A6">
        <w:trPr>
          <w:cantSplit/>
          <w:trHeight w:val="312"/>
          <w:tblHeader/>
        </w:trPr>
        <w:tc>
          <w:tcPr>
            <w:tcW w:w="2142"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Disability Status</w:t>
            </w:r>
          </w:p>
        </w:tc>
        <w:tc>
          <w:tcPr>
            <w:tcW w:w="2126"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WSHT Leavers</w:t>
            </w:r>
          </w:p>
        </w:tc>
        <w:tc>
          <w:tcPr>
            <w:tcW w:w="1843"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WSHT Leavers (%)</w:t>
            </w:r>
          </w:p>
        </w:tc>
        <w:tc>
          <w:tcPr>
            <w:tcW w:w="1701"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in Workforce</w:t>
            </w:r>
          </w:p>
        </w:tc>
        <w:tc>
          <w:tcPr>
            <w:tcW w:w="1984" w:type="dxa"/>
            <w:shd w:val="clear" w:color="auto" w:fill="auto"/>
            <w:noWrap/>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 in Workforce</w:t>
            </w:r>
          </w:p>
        </w:tc>
      </w:tr>
      <w:tr w:rsidR="00F3345C" w:rsidRPr="00AE49C8" w:rsidTr="005C54A6">
        <w:trPr>
          <w:cantSplit/>
          <w:trHeight w:val="312"/>
          <w:tblHeader/>
        </w:trPr>
        <w:tc>
          <w:tcPr>
            <w:tcW w:w="2142"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Not Disabled</w:t>
            </w:r>
          </w:p>
        </w:tc>
        <w:tc>
          <w:tcPr>
            <w:tcW w:w="2126"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448</w:t>
            </w:r>
          </w:p>
        </w:tc>
        <w:tc>
          <w:tcPr>
            <w:tcW w:w="1843"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65.7%</w:t>
            </w:r>
          </w:p>
        </w:tc>
        <w:tc>
          <w:tcPr>
            <w:tcW w:w="170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5401</w:t>
            </w:r>
          </w:p>
        </w:tc>
        <w:tc>
          <w:tcPr>
            <w:tcW w:w="198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71.8%</w:t>
            </w:r>
          </w:p>
        </w:tc>
      </w:tr>
      <w:tr w:rsidR="00F3345C" w:rsidRPr="00AE49C8" w:rsidTr="005C54A6">
        <w:trPr>
          <w:cantSplit/>
          <w:trHeight w:val="312"/>
          <w:tblHeader/>
        </w:trPr>
        <w:tc>
          <w:tcPr>
            <w:tcW w:w="2142"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Disabled</w:t>
            </w:r>
          </w:p>
        </w:tc>
        <w:tc>
          <w:tcPr>
            <w:tcW w:w="2126"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33</w:t>
            </w:r>
          </w:p>
        </w:tc>
        <w:tc>
          <w:tcPr>
            <w:tcW w:w="1843"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4.8%</w:t>
            </w:r>
          </w:p>
        </w:tc>
        <w:tc>
          <w:tcPr>
            <w:tcW w:w="170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230</w:t>
            </w:r>
          </w:p>
        </w:tc>
        <w:tc>
          <w:tcPr>
            <w:tcW w:w="198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3.1%</w:t>
            </w:r>
          </w:p>
        </w:tc>
      </w:tr>
      <w:tr w:rsidR="00F3345C" w:rsidRPr="00AE49C8" w:rsidTr="005C54A6">
        <w:trPr>
          <w:cantSplit/>
          <w:trHeight w:val="312"/>
          <w:tblHeader/>
        </w:trPr>
        <w:tc>
          <w:tcPr>
            <w:tcW w:w="2142"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2126"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173</w:t>
            </w:r>
          </w:p>
        </w:tc>
        <w:tc>
          <w:tcPr>
            <w:tcW w:w="1843"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25.4%</w:t>
            </w:r>
          </w:p>
        </w:tc>
        <w:tc>
          <w:tcPr>
            <w:tcW w:w="170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1401</w:t>
            </w:r>
          </w:p>
        </w:tc>
        <w:tc>
          <w:tcPr>
            <w:tcW w:w="198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18.6%</w:t>
            </w:r>
          </w:p>
        </w:tc>
      </w:tr>
      <w:tr w:rsidR="00F3345C" w:rsidRPr="00AE49C8" w:rsidTr="005C54A6">
        <w:trPr>
          <w:cantSplit/>
          <w:trHeight w:val="312"/>
          <w:tblHeader/>
        </w:trPr>
        <w:tc>
          <w:tcPr>
            <w:tcW w:w="2142"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2126" w:type="dxa"/>
            <w:shd w:val="clear" w:color="auto" w:fill="auto"/>
            <w:noWrap/>
            <w:vAlign w:val="center"/>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28</w:t>
            </w:r>
          </w:p>
        </w:tc>
        <w:tc>
          <w:tcPr>
            <w:tcW w:w="1843"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4.1%</w:t>
            </w:r>
          </w:p>
        </w:tc>
        <w:tc>
          <w:tcPr>
            <w:tcW w:w="1701"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487</w:t>
            </w:r>
          </w:p>
        </w:tc>
        <w:tc>
          <w:tcPr>
            <w:tcW w:w="1984"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6.5%</w:t>
            </w:r>
          </w:p>
        </w:tc>
      </w:tr>
      <w:tr w:rsidR="00F3345C" w:rsidRPr="00AE49C8" w:rsidTr="005C54A6">
        <w:trPr>
          <w:cantSplit/>
          <w:trHeight w:val="312"/>
          <w:tblHeader/>
        </w:trPr>
        <w:tc>
          <w:tcPr>
            <w:tcW w:w="2142" w:type="dxa"/>
            <w:shd w:val="clear" w:color="auto" w:fill="auto"/>
            <w:noWrap/>
            <w:vAlign w:val="center"/>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Grand Total</w:t>
            </w:r>
          </w:p>
        </w:tc>
        <w:tc>
          <w:tcPr>
            <w:tcW w:w="2126" w:type="dxa"/>
            <w:shd w:val="clear" w:color="auto" w:fill="auto"/>
            <w:noWrap/>
            <w:vAlign w:val="center"/>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682</w:t>
            </w:r>
          </w:p>
        </w:tc>
        <w:tc>
          <w:tcPr>
            <w:tcW w:w="1843"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701"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7519</w:t>
            </w:r>
          </w:p>
        </w:tc>
        <w:tc>
          <w:tcPr>
            <w:tcW w:w="1984"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r>
    </w:tbl>
    <w:p w:rsidR="00895BEF" w:rsidRPr="00AE49C8" w:rsidRDefault="00895BEF" w:rsidP="00895BEF">
      <w:pPr>
        <w:rPr>
          <w:b/>
        </w:rPr>
      </w:pPr>
    </w:p>
    <w:p w:rsidR="00895BEF" w:rsidRPr="00AE49C8" w:rsidRDefault="00F3345C" w:rsidP="00F3345C">
      <w:pPr>
        <w:jc w:val="center"/>
        <w:rPr>
          <w:b/>
        </w:rPr>
      </w:pPr>
      <w:r w:rsidRPr="00AE49C8">
        <w:rPr>
          <w:noProof/>
          <w:lang w:eastAsia="en-GB"/>
        </w:rPr>
        <w:lastRenderedPageBreak/>
        <w:drawing>
          <wp:inline distT="0" distB="0" distL="0" distR="0" wp14:anchorId="1D96B180" wp14:editId="39242D7A">
            <wp:extent cx="4665519" cy="2763982"/>
            <wp:effectExtent l="0" t="0" r="1905" b="0"/>
            <wp:docPr id="44" name="Chart 44" title="Breakdown of leavers by disability status compared to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95BEF" w:rsidRPr="000D2F61" w:rsidRDefault="00895BEF" w:rsidP="00895BEF">
      <w:r w:rsidRPr="000D2F61">
        <w:t>Observations</w:t>
      </w:r>
    </w:p>
    <w:p w:rsidR="00895BEF" w:rsidRPr="00AE49C8" w:rsidRDefault="005C54A6" w:rsidP="005C54A6">
      <w:pPr>
        <w:pStyle w:val="ListParagraph"/>
      </w:pPr>
      <w:r w:rsidRPr="00AE49C8">
        <w:t>A proportionate number of disabled staff are leaving the organisation compared to the overall workforce representation.</w:t>
      </w:r>
    </w:p>
    <w:p w:rsidR="005C54A6" w:rsidRPr="00AE49C8" w:rsidRDefault="005C54A6" w:rsidP="005C54A6">
      <w:pPr>
        <w:pStyle w:val="ListParagraph"/>
      </w:pPr>
      <w:r w:rsidRPr="00AE49C8">
        <w:t>A high proportion of leavers are staff that have declined to specify their disability status have left the organisation.</w:t>
      </w:r>
    </w:p>
    <w:p w:rsidR="00F3345C" w:rsidRPr="00AE49C8" w:rsidRDefault="00F3345C" w:rsidP="00F3345C">
      <w:pPr>
        <w:pStyle w:val="Heading2"/>
        <w:rPr>
          <w:rFonts w:cs="Arial"/>
        </w:rPr>
      </w:pPr>
      <w:bookmarkStart w:id="45" w:name="_Toc88633992"/>
      <w:r w:rsidRPr="00AE49C8">
        <w:rPr>
          <w:rFonts w:cs="Arial"/>
        </w:rPr>
        <w:t>Ethnicity</w:t>
      </w:r>
      <w:bookmarkEnd w:id="45"/>
    </w:p>
    <w:p w:rsidR="00F3345C" w:rsidRPr="00AE49C8" w:rsidRDefault="00F3345C" w:rsidP="00FF33A2">
      <w:pPr>
        <w:pStyle w:val="Heading3"/>
      </w:pPr>
      <w:bookmarkStart w:id="46" w:name="_Toc88633993"/>
      <w:r w:rsidRPr="00AE49C8">
        <w:t>Representation of staff within the workforce broken down by ethnicity</w:t>
      </w:r>
      <w:bookmarkEnd w:id="46"/>
    </w:p>
    <w:tbl>
      <w:tblPr>
        <w:tblW w:w="11105" w:type="dxa"/>
        <w:tblInd w:w="-912" w:type="dxa"/>
        <w:tblLook w:val="04A0" w:firstRow="1" w:lastRow="0" w:firstColumn="1" w:lastColumn="0" w:noHBand="0" w:noVBand="1"/>
        <w:tblCaption w:val="Overall ethnicity profile of BSUH and WSHT's workforces"/>
      </w:tblPr>
      <w:tblGrid>
        <w:gridCol w:w="2180"/>
        <w:gridCol w:w="960"/>
        <w:gridCol w:w="1820"/>
        <w:gridCol w:w="1720"/>
        <w:gridCol w:w="960"/>
        <w:gridCol w:w="960"/>
        <w:gridCol w:w="1209"/>
        <w:gridCol w:w="1296"/>
      </w:tblGrid>
      <w:tr w:rsidR="00F3345C" w:rsidRPr="00AE49C8" w:rsidTr="00FF33A2">
        <w:trPr>
          <w:cantSplit/>
          <w:trHeight w:val="312"/>
          <w:tblHeader/>
        </w:trPr>
        <w:tc>
          <w:tcPr>
            <w:tcW w:w="2180"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Ethnicity</w:t>
            </w:r>
          </w:p>
        </w:tc>
        <w:tc>
          <w:tcPr>
            <w:tcW w:w="960"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Asian</w:t>
            </w:r>
          </w:p>
        </w:tc>
        <w:tc>
          <w:tcPr>
            <w:tcW w:w="1820"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Black</w:t>
            </w:r>
          </w:p>
        </w:tc>
        <w:tc>
          <w:tcPr>
            <w:tcW w:w="1720"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Mixed</w:t>
            </w:r>
          </w:p>
        </w:tc>
        <w:tc>
          <w:tcPr>
            <w:tcW w:w="960"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Other</w:t>
            </w:r>
          </w:p>
        </w:tc>
        <w:tc>
          <w:tcPr>
            <w:tcW w:w="960"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White</w:t>
            </w:r>
          </w:p>
        </w:tc>
        <w:tc>
          <w:tcPr>
            <w:tcW w:w="1209"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White-Other</w:t>
            </w:r>
          </w:p>
        </w:tc>
        <w:tc>
          <w:tcPr>
            <w:tcW w:w="1296"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Unknown</w:t>
            </w:r>
          </w:p>
        </w:tc>
      </w:tr>
      <w:tr w:rsidR="00F3345C" w:rsidRPr="00AE49C8" w:rsidTr="00FF33A2">
        <w:trPr>
          <w:cantSplit/>
          <w:trHeight w:val="312"/>
          <w:tblHeader/>
        </w:trPr>
        <w:tc>
          <w:tcPr>
            <w:tcW w:w="2180" w:type="dxa"/>
            <w:tcBorders>
              <w:top w:val="nil"/>
              <w:left w:val="nil"/>
              <w:bottom w:val="nil"/>
              <w:right w:val="nil"/>
            </w:tcBorders>
            <w:shd w:val="clear" w:color="000000" w:fill="C5D9F1"/>
            <w:noWrap/>
            <w:vAlign w:val="bottom"/>
            <w:hideMark/>
          </w:tcPr>
          <w:p w:rsidR="00F3345C" w:rsidRPr="00AE49C8" w:rsidRDefault="00F3345C" w:rsidP="00F3345C">
            <w:pPr>
              <w:spacing w:after="0" w:line="240" w:lineRule="auto"/>
              <w:jc w:val="center"/>
              <w:rPr>
                <w:rFonts w:eastAsia="Times New Roman"/>
                <w:b/>
                <w:bCs/>
                <w:szCs w:val="24"/>
                <w:lang w:eastAsia="en-GB"/>
              </w:rPr>
            </w:pPr>
            <w:r w:rsidRPr="00AE49C8">
              <w:rPr>
                <w:rFonts w:eastAsia="Times New Roman"/>
                <w:b/>
                <w:bCs/>
                <w:szCs w:val="24"/>
                <w:lang w:eastAsia="en-GB"/>
              </w:rPr>
              <w:t>2019/20 (BSUH)</w:t>
            </w:r>
          </w:p>
        </w:tc>
        <w:tc>
          <w:tcPr>
            <w:tcW w:w="960" w:type="dxa"/>
            <w:tcBorders>
              <w:top w:val="nil"/>
              <w:left w:val="nil"/>
              <w:bottom w:val="nil"/>
              <w:right w:val="nil"/>
            </w:tcBorders>
            <w:shd w:val="clear" w:color="000000" w:fill="C5D9F1"/>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9.1%</w:t>
            </w:r>
          </w:p>
        </w:tc>
        <w:tc>
          <w:tcPr>
            <w:tcW w:w="1820" w:type="dxa"/>
            <w:tcBorders>
              <w:top w:val="nil"/>
              <w:left w:val="nil"/>
              <w:bottom w:val="nil"/>
              <w:right w:val="nil"/>
            </w:tcBorders>
            <w:shd w:val="clear" w:color="000000" w:fill="C5D9F1"/>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2.9%</w:t>
            </w:r>
          </w:p>
        </w:tc>
        <w:tc>
          <w:tcPr>
            <w:tcW w:w="1720" w:type="dxa"/>
            <w:tcBorders>
              <w:top w:val="nil"/>
              <w:left w:val="nil"/>
              <w:bottom w:val="nil"/>
              <w:right w:val="nil"/>
            </w:tcBorders>
            <w:shd w:val="clear" w:color="000000" w:fill="C5D9F1"/>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2.6%</w:t>
            </w:r>
          </w:p>
        </w:tc>
        <w:tc>
          <w:tcPr>
            <w:tcW w:w="960" w:type="dxa"/>
            <w:tcBorders>
              <w:top w:val="nil"/>
              <w:left w:val="nil"/>
              <w:bottom w:val="nil"/>
              <w:right w:val="nil"/>
            </w:tcBorders>
            <w:shd w:val="clear" w:color="000000" w:fill="C5D9F1"/>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3.9%</w:t>
            </w:r>
          </w:p>
        </w:tc>
        <w:tc>
          <w:tcPr>
            <w:tcW w:w="960" w:type="dxa"/>
            <w:tcBorders>
              <w:top w:val="nil"/>
              <w:left w:val="nil"/>
              <w:bottom w:val="nil"/>
              <w:right w:val="nil"/>
            </w:tcBorders>
            <w:shd w:val="clear" w:color="000000" w:fill="C5D9F1"/>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65.5%</w:t>
            </w:r>
          </w:p>
        </w:tc>
        <w:tc>
          <w:tcPr>
            <w:tcW w:w="1209" w:type="dxa"/>
            <w:tcBorders>
              <w:top w:val="nil"/>
              <w:left w:val="nil"/>
              <w:bottom w:val="nil"/>
              <w:right w:val="nil"/>
            </w:tcBorders>
            <w:shd w:val="clear" w:color="000000" w:fill="C5D9F1"/>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12.8%</w:t>
            </w:r>
          </w:p>
        </w:tc>
        <w:tc>
          <w:tcPr>
            <w:tcW w:w="1296" w:type="dxa"/>
            <w:tcBorders>
              <w:top w:val="nil"/>
              <w:left w:val="nil"/>
              <w:bottom w:val="nil"/>
              <w:right w:val="nil"/>
            </w:tcBorders>
            <w:shd w:val="clear" w:color="000000" w:fill="C5D9F1"/>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3.3%</w:t>
            </w:r>
          </w:p>
        </w:tc>
      </w:tr>
      <w:tr w:rsidR="00F3345C" w:rsidRPr="00AE49C8" w:rsidTr="00FF33A2">
        <w:trPr>
          <w:cantSplit/>
          <w:trHeight w:val="312"/>
          <w:tblHeader/>
        </w:trPr>
        <w:tc>
          <w:tcPr>
            <w:tcW w:w="2180" w:type="dxa"/>
            <w:tcBorders>
              <w:top w:val="nil"/>
              <w:left w:val="nil"/>
              <w:bottom w:val="nil"/>
              <w:right w:val="nil"/>
            </w:tcBorders>
            <w:shd w:val="clear" w:color="000000" w:fill="41B6E6"/>
            <w:noWrap/>
            <w:vAlign w:val="bottom"/>
            <w:hideMark/>
          </w:tcPr>
          <w:p w:rsidR="00F3345C" w:rsidRPr="00AE49C8" w:rsidRDefault="00F3345C" w:rsidP="00F3345C">
            <w:pPr>
              <w:spacing w:after="0" w:line="240" w:lineRule="auto"/>
              <w:jc w:val="center"/>
              <w:rPr>
                <w:rFonts w:eastAsia="Times New Roman"/>
                <w:b/>
                <w:bCs/>
                <w:szCs w:val="24"/>
                <w:lang w:eastAsia="en-GB"/>
              </w:rPr>
            </w:pPr>
            <w:r w:rsidRPr="00AE49C8">
              <w:rPr>
                <w:rFonts w:eastAsia="Times New Roman"/>
                <w:b/>
                <w:bCs/>
                <w:szCs w:val="24"/>
                <w:lang w:eastAsia="en-GB"/>
              </w:rPr>
              <w:t>2020/21 (BSUH)</w:t>
            </w:r>
          </w:p>
        </w:tc>
        <w:tc>
          <w:tcPr>
            <w:tcW w:w="960" w:type="dxa"/>
            <w:tcBorders>
              <w:top w:val="nil"/>
              <w:left w:val="nil"/>
              <w:bottom w:val="nil"/>
              <w:right w:val="nil"/>
            </w:tcBorders>
            <w:shd w:val="clear" w:color="000000" w:fill="41B6E6"/>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9.6%</w:t>
            </w:r>
          </w:p>
        </w:tc>
        <w:tc>
          <w:tcPr>
            <w:tcW w:w="1820" w:type="dxa"/>
            <w:tcBorders>
              <w:top w:val="nil"/>
              <w:left w:val="nil"/>
              <w:bottom w:val="nil"/>
              <w:right w:val="nil"/>
            </w:tcBorders>
            <w:shd w:val="clear" w:color="000000" w:fill="41B6E6"/>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2.9%</w:t>
            </w:r>
          </w:p>
        </w:tc>
        <w:tc>
          <w:tcPr>
            <w:tcW w:w="1720" w:type="dxa"/>
            <w:tcBorders>
              <w:top w:val="nil"/>
              <w:left w:val="nil"/>
              <w:bottom w:val="nil"/>
              <w:right w:val="nil"/>
            </w:tcBorders>
            <w:shd w:val="clear" w:color="000000" w:fill="41B6E6"/>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3.0%</w:t>
            </w:r>
          </w:p>
        </w:tc>
        <w:tc>
          <w:tcPr>
            <w:tcW w:w="960" w:type="dxa"/>
            <w:tcBorders>
              <w:top w:val="nil"/>
              <w:left w:val="nil"/>
              <w:bottom w:val="nil"/>
              <w:right w:val="nil"/>
            </w:tcBorders>
            <w:shd w:val="clear" w:color="000000" w:fill="41B6E6"/>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3.9%</w:t>
            </w:r>
          </w:p>
        </w:tc>
        <w:tc>
          <w:tcPr>
            <w:tcW w:w="960" w:type="dxa"/>
            <w:tcBorders>
              <w:top w:val="nil"/>
              <w:left w:val="nil"/>
              <w:bottom w:val="nil"/>
              <w:right w:val="nil"/>
            </w:tcBorders>
            <w:shd w:val="clear" w:color="000000" w:fill="41B6E6"/>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65.1%</w:t>
            </w:r>
          </w:p>
        </w:tc>
        <w:tc>
          <w:tcPr>
            <w:tcW w:w="1209" w:type="dxa"/>
            <w:tcBorders>
              <w:top w:val="nil"/>
              <w:left w:val="nil"/>
              <w:bottom w:val="nil"/>
              <w:right w:val="nil"/>
            </w:tcBorders>
            <w:shd w:val="clear" w:color="000000" w:fill="41B6E6"/>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12.6%</w:t>
            </w:r>
          </w:p>
        </w:tc>
        <w:tc>
          <w:tcPr>
            <w:tcW w:w="1296" w:type="dxa"/>
            <w:tcBorders>
              <w:top w:val="nil"/>
              <w:left w:val="nil"/>
              <w:bottom w:val="nil"/>
              <w:right w:val="nil"/>
            </w:tcBorders>
            <w:shd w:val="clear" w:color="000000" w:fill="41B6E6"/>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2.9%</w:t>
            </w:r>
          </w:p>
        </w:tc>
      </w:tr>
      <w:tr w:rsidR="00F3345C" w:rsidRPr="00AE49C8" w:rsidTr="00FF33A2">
        <w:trPr>
          <w:cantSplit/>
          <w:trHeight w:val="312"/>
          <w:tblHeader/>
        </w:trPr>
        <w:tc>
          <w:tcPr>
            <w:tcW w:w="2180" w:type="dxa"/>
            <w:tcBorders>
              <w:top w:val="nil"/>
              <w:left w:val="nil"/>
              <w:bottom w:val="nil"/>
              <w:right w:val="nil"/>
            </w:tcBorders>
            <w:shd w:val="clear" w:color="000000" w:fill="D8E4BC"/>
            <w:noWrap/>
            <w:vAlign w:val="bottom"/>
            <w:hideMark/>
          </w:tcPr>
          <w:p w:rsidR="00F3345C" w:rsidRPr="00AE49C8" w:rsidRDefault="00F3345C" w:rsidP="00F3345C">
            <w:pPr>
              <w:spacing w:after="0" w:line="240" w:lineRule="auto"/>
              <w:jc w:val="center"/>
              <w:rPr>
                <w:rFonts w:eastAsia="Times New Roman"/>
                <w:b/>
                <w:bCs/>
                <w:szCs w:val="24"/>
                <w:lang w:eastAsia="en-GB"/>
              </w:rPr>
            </w:pPr>
            <w:r w:rsidRPr="00AE49C8">
              <w:rPr>
                <w:rFonts w:eastAsia="Times New Roman"/>
                <w:b/>
                <w:bCs/>
                <w:szCs w:val="24"/>
                <w:lang w:eastAsia="en-GB"/>
              </w:rPr>
              <w:t>2019/20 (WSHT)</w:t>
            </w:r>
          </w:p>
        </w:tc>
        <w:tc>
          <w:tcPr>
            <w:tcW w:w="960" w:type="dxa"/>
            <w:tcBorders>
              <w:top w:val="nil"/>
              <w:left w:val="nil"/>
              <w:bottom w:val="nil"/>
              <w:right w:val="nil"/>
            </w:tcBorders>
            <w:shd w:val="clear" w:color="000000" w:fill="D8E4BC"/>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9.7%</w:t>
            </w:r>
          </w:p>
        </w:tc>
        <w:tc>
          <w:tcPr>
            <w:tcW w:w="1820" w:type="dxa"/>
            <w:tcBorders>
              <w:top w:val="nil"/>
              <w:left w:val="nil"/>
              <w:bottom w:val="nil"/>
              <w:right w:val="nil"/>
            </w:tcBorders>
            <w:shd w:val="clear" w:color="000000" w:fill="D8E4BC"/>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1.9%</w:t>
            </w:r>
          </w:p>
        </w:tc>
        <w:tc>
          <w:tcPr>
            <w:tcW w:w="1720" w:type="dxa"/>
            <w:tcBorders>
              <w:top w:val="nil"/>
              <w:left w:val="nil"/>
              <w:bottom w:val="nil"/>
              <w:right w:val="nil"/>
            </w:tcBorders>
            <w:shd w:val="clear" w:color="000000" w:fill="D8E4BC"/>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1.4%</w:t>
            </w:r>
          </w:p>
        </w:tc>
        <w:tc>
          <w:tcPr>
            <w:tcW w:w="960" w:type="dxa"/>
            <w:tcBorders>
              <w:top w:val="nil"/>
              <w:left w:val="nil"/>
              <w:bottom w:val="nil"/>
              <w:right w:val="nil"/>
            </w:tcBorders>
            <w:shd w:val="clear" w:color="000000" w:fill="D8E4BC"/>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3.7%</w:t>
            </w:r>
          </w:p>
        </w:tc>
        <w:tc>
          <w:tcPr>
            <w:tcW w:w="960" w:type="dxa"/>
            <w:tcBorders>
              <w:top w:val="nil"/>
              <w:left w:val="nil"/>
              <w:bottom w:val="nil"/>
              <w:right w:val="nil"/>
            </w:tcBorders>
            <w:shd w:val="clear" w:color="000000" w:fill="D8E4BC"/>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68.7%</w:t>
            </w:r>
          </w:p>
        </w:tc>
        <w:tc>
          <w:tcPr>
            <w:tcW w:w="1209" w:type="dxa"/>
            <w:tcBorders>
              <w:top w:val="nil"/>
              <w:left w:val="nil"/>
              <w:bottom w:val="nil"/>
              <w:right w:val="nil"/>
            </w:tcBorders>
            <w:shd w:val="clear" w:color="000000" w:fill="D8E4BC"/>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8.6%</w:t>
            </w:r>
          </w:p>
        </w:tc>
        <w:tc>
          <w:tcPr>
            <w:tcW w:w="1296" w:type="dxa"/>
            <w:tcBorders>
              <w:top w:val="nil"/>
              <w:left w:val="nil"/>
              <w:bottom w:val="nil"/>
              <w:right w:val="nil"/>
            </w:tcBorders>
            <w:shd w:val="clear" w:color="000000" w:fill="D8E4BC"/>
            <w:noWrap/>
            <w:vAlign w:val="bottom"/>
            <w:hideMark/>
          </w:tcPr>
          <w:p w:rsidR="00F3345C" w:rsidRPr="00AE49C8" w:rsidRDefault="00F3345C" w:rsidP="00F3345C">
            <w:pPr>
              <w:spacing w:after="0" w:line="240" w:lineRule="auto"/>
              <w:jc w:val="center"/>
              <w:rPr>
                <w:rFonts w:eastAsia="Times New Roman"/>
                <w:szCs w:val="24"/>
                <w:lang w:eastAsia="en-GB"/>
              </w:rPr>
            </w:pPr>
            <w:r w:rsidRPr="00AE49C8">
              <w:rPr>
                <w:rFonts w:eastAsia="Times New Roman"/>
                <w:szCs w:val="24"/>
                <w:lang w:eastAsia="en-GB"/>
              </w:rPr>
              <w:t>6.1%</w:t>
            </w:r>
          </w:p>
        </w:tc>
      </w:tr>
      <w:tr w:rsidR="00F3345C" w:rsidRPr="00AE49C8" w:rsidTr="00FF33A2">
        <w:trPr>
          <w:cantSplit/>
          <w:trHeight w:val="312"/>
          <w:tblHeader/>
        </w:trPr>
        <w:tc>
          <w:tcPr>
            <w:tcW w:w="2180" w:type="dxa"/>
            <w:tcBorders>
              <w:top w:val="nil"/>
              <w:left w:val="nil"/>
              <w:bottom w:val="nil"/>
              <w:right w:val="nil"/>
            </w:tcBorders>
            <w:shd w:val="clear" w:color="000000" w:fill="009639"/>
            <w:noWrap/>
            <w:vAlign w:val="bottom"/>
            <w:hideMark/>
          </w:tcPr>
          <w:p w:rsidR="00F3345C" w:rsidRPr="00AE49C8" w:rsidRDefault="00F3345C" w:rsidP="00F3345C">
            <w:pPr>
              <w:spacing w:after="0" w:line="240" w:lineRule="auto"/>
              <w:jc w:val="center"/>
              <w:rPr>
                <w:rFonts w:eastAsia="Times New Roman"/>
                <w:b/>
                <w:bCs/>
                <w:color w:val="FFFFFF"/>
                <w:szCs w:val="24"/>
                <w:lang w:eastAsia="en-GB"/>
              </w:rPr>
            </w:pPr>
            <w:r w:rsidRPr="00AE49C8">
              <w:rPr>
                <w:rFonts w:eastAsia="Times New Roman"/>
                <w:b/>
                <w:bCs/>
                <w:color w:val="FFFFFF"/>
                <w:szCs w:val="24"/>
                <w:lang w:eastAsia="en-GB"/>
              </w:rPr>
              <w:t>2020/21 (WSHT)</w:t>
            </w:r>
          </w:p>
        </w:tc>
        <w:tc>
          <w:tcPr>
            <w:tcW w:w="960" w:type="dxa"/>
            <w:tcBorders>
              <w:top w:val="nil"/>
              <w:left w:val="nil"/>
              <w:bottom w:val="nil"/>
              <w:right w:val="nil"/>
            </w:tcBorders>
            <w:shd w:val="clear" w:color="000000" w:fill="009639"/>
            <w:noWrap/>
            <w:vAlign w:val="bottom"/>
            <w:hideMark/>
          </w:tcPr>
          <w:p w:rsidR="00F3345C" w:rsidRPr="00AE49C8" w:rsidRDefault="00F3345C" w:rsidP="00F3345C">
            <w:pPr>
              <w:spacing w:after="0" w:line="240" w:lineRule="auto"/>
              <w:jc w:val="center"/>
              <w:rPr>
                <w:rFonts w:eastAsia="Times New Roman"/>
                <w:color w:val="FFFFFF"/>
                <w:szCs w:val="24"/>
                <w:lang w:eastAsia="en-GB"/>
              </w:rPr>
            </w:pPr>
            <w:r w:rsidRPr="00AE49C8">
              <w:rPr>
                <w:rFonts w:eastAsia="Times New Roman"/>
                <w:color w:val="FFFFFF"/>
                <w:szCs w:val="24"/>
                <w:lang w:eastAsia="en-GB"/>
              </w:rPr>
              <w:t>11.1%</w:t>
            </w:r>
          </w:p>
        </w:tc>
        <w:tc>
          <w:tcPr>
            <w:tcW w:w="1820" w:type="dxa"/>
            <w:tcBorders>
              <w:top w:val="nil"/>
              <w:left w:val="nil"/>
              <w:bottom w:val="nil"/>
              <w:right w:val="nil"/>
            </w:tcBorders>
            <w:shd w:val="clear" w:color="000000" w:fill="009639"/>
            <w:noWrap/>
            <w:vAlign w:val="bottom"/>
            <w:hideMark/>
          </w:tcPr>
          <w:p w:rsidR="00F3345C" w:rsidRPr="00AE49C8" w:rsidRDefault="00F3345C" w:rsidP="00F3345C">
            <w:pPr>
              <w:spacing w:after="0" w:line="240" w:lineRule="auto"/>
              <w:jc w:val="center"/>
              <w:rPr>
                <w:rFonts w:eastAsia="Times New Roman"/>
                <w:color w:val="FFFFFF"/>
                <w:szCs w:val="24"/>
                <w:lang w:eastAsia="en-GB"/>
              </w:rPr>
            </w:pPr>
            <w:r w:rsidRPr="00AE49C8">
              <w:rPr>
                <w:rFonts w:eastAsia="Times New Roman"/>
                <w:color w:val="FFFFFF"/>
                <w:szCs w:val="24"/>
                <w:lang w:eastAsia="en-GB"/>
              </w:rPr>
              <w:t>1.8%</w:t>
            </w:r>
          </w:p>
        </w:tc>
        <w:tc>
          <w:tcPr>
            <w:tcW w:w="1720" w:type="dxa"/>
            <w:tcBorders>
              <w:top w:val="nil"/>
              <w:left w:val="nil"/>
              <w:bottom w:val="nil"/>
              <w:right w:val="nil"/>
            </w:tcBorders>
            <w:shd w:val="clear" w:color="000000" w:fill="009639"/>
            <w:noWrap/>
            <w:vAlign w:val="bottom"/>
            <w:hideMark/>
          </w:tcPr>
          <w:p w:rsidR="00F3345C" w:rsidRPr="00AE49C8" w:rsidRDefault="00F3345C" w:rsidP="00F3345C">
            <w:pPr>
              <w:spacing w:after="0" w:line="240" w:lineRule="auto"/>
              <w:jc w:val="center"/>
              <w:rPr>
                <w:rFonts w:eastAsia="Times New Roman"/>
                <w:color w:val="FFFFFF"/>
                <w:szCs w:val="24"/>
                <w:lang w:eastAsia="en-GB"/>
              </w:rPr>
            </w:pPr>
            <w:r w:rsidRPr="00AE49C8">
              <w:rPr>
                <w:rFonts w:eastAsia="Times New Roman"/>
                <w:color w:val="FFFFFF"/>
                <w:szCs w:val="24"/>
                <w:lang w:eastAsia="en-GB"/>
              </w:rPr>
              <w:t>1.5%</w:t>
            </w:r>
          </w:p>
        </w:tc>
        <w:tc>
          <w:tcPr>
            <w:tcW w:w="960" w:type="dxa"/>
            <w:tcBorders>
              <w:top w:val="nil"/>
              <w:left w:val="nil"/>
              <w:bottom w:val="nil"/>
              <w:right w:val="nil"/>
            </w:tcBorders>
            <w:shd w:val="clear" w:color="000000" w:fill="009639"/>
            <w:noWrap/>
            <w:vAlign w:val="bottom"/>
            <w:hideMark/>
          </w:tcPr>
          <w:p w:rsidR="00F3345C" w:rsidRPr="00AE49C8" w:rsidRDefault="00F3345C" w:rsidP="00F3345C">
            <w:pPr>
              <w:spacing w:after="0" w:line="240" w:lineRule="auto"/>
              <w:jc w:val="center"/>
              <w:rPr>
                <w:rFonts w:eastAsia="Times New Roman"/>
                <w:color w:val="FFFFFF"/>
                <w:szCs w:val="24"/>
                <w:lang w:eastAsia="en-GB"/>
              </w:rPr>
            </w:pPr>
            <w:r w:rsidRPr="00AE49C8">
              <w:rPr>
                <w:rFonts w:eastAsia="Times New Roman"/>
                <w:color w:val="FFFFFF"/>
                <w:szCs w:val="24"/>
                <w:lang w:eastAsia="en-GB"/>
              </w:rPr>
              <w:t>3.7%</w:t>
            </w:r>
          </w:p>
        </w:tc>
        <w:tc>
          <w:tcPr>
            <w:tcW w:w="960" w:type="dxa"/>
            <w:tcBorders>
              <w:top w:val="nil"/>
              <w:left w:val="nil"/>
              <w:bottom w:val="nil"/>
              <w:right w:val="nil"/>
            </w:tcBorders>
            <w:shd w:val="clear" w:color="000000" w:fill="009639"/>
            <w:noWrap/>
            <w:vAlign w:val="bottom"/>
            <w:hideMark/>
          </w:tcPr>
          <w:p w:rsidR="00F3345C" w:rsidRPr="00AE49C8" w:rsidRDefault="00F3345C" w:rsidP="00F3345C">
            <w:pPr>
              <w:spacing w:after="0" w:line="240" w:lineRule="auto"/>
              <w:jc w:val="center"/>
              <w:rPr>
                <w:rFonts w:eastAsia="Times New Roman"/>
                <w:color w:val="FFFFFF"/>
                <w:szCs w:val="24"/>
                <w:lang w:eastAsia="en-GB"/>
              </w:rPr>
            </w:pPr>
            <w:r w:rsidRPr="00AE49C8">
              <w:rPr>
                <w:rFonts w:eastAsia="Times New Roman"/>
                <w:color w:val="FFFFFF"/>
                <w:szCs w:val="24"/>
                <w:lang w:eastAsia="en-GB"/>
              </w:rPr>
              <w:t>68.4%</w:t>
            </w:r>
          </w:p>
        </w:tc>
        <w:tc>
          <w:tcPr>
            <w:tcW w:w="1209" w:type="dxa"/>
            <w:tcBorders>
              <w:top w:val="nil"/>
              <w:left w:val="nil"/>
              <w:bottom w:val="nil"/>
              <w:right w:val="nil"/>
            </w:tcBorders>
            <w:shd w:val="clear" w:color="000000" w:fill="009639"/>
            <w:noWrap/>
            <w:vAlign w:val="bottom"/>
            <w:hideMark/>
          </w:tcPr>
          <w:p w:rsidR="00F3345C" w:rsidRPr="00AE49C8" w:rsidRDefault="00F3345C" w:rsidP="00F3345C">
            <w:pPr>
              <w:spacing w:after="0" w:line="240" w:lineRule="auto"/>
              <w:jc w:val="center"/>
              <w:rPr>
                <w:rFonts w:eastAsia="Times New Roman"/>
                <w:color w:val="FFFFFF"/>
                <w:szCs w:val="24"/>
                <w:lang w:eastAsia="en-GB"/>
              </w:rPr>
            </w:pPr>
            <w:r w:rsidRPr="00AE49C8">
              <w:rPr>
                <w:rFonts w:eastAsia="Times New Roman"/>
                <w:color w:val="FFFFFF"/>
                <w:szCs w:val="24"/>
                <w:lang w:eastAsia="en-GB"/>
              </w:rPr>
              <w:t>8.2%</w:t>
            </w:r>
          </w:p>
        </w:tc>
        <w:tc>
          <w:tcPr>
            <w:tcW w:w="1296" w:type="dxa"/>
            <w:tcBorders>
              <w:top w:val="nil"/>
              <w:left w:val="nil"/>
              <w:bottom w:val="nil"/>
              <w:right w:val="nil"/>
            </w:tcBorders>
            <w:shd w:val="clear" w:color="000000" w:fill="009639"/>
            <w:noWrap/>
            <w:vAlign w:val="bottom"/>
            <w:hideMark/>
          </w:tcPr>
          <w:p w:rsidR="00F3345C" w:rsidRPr="00AE49C8" w:rsidRDefault="00F3345C" w:rsidP="00F3345C">
            <w:pPr>
              <w:spacing w:after="0" w:line="240" w:lineRule="auto"/>
              <w:jc w:val="center"/>
              <w:rPr>
                <w:rFonts w:eastAsia="Times New Roman"/>
                <w:color w:val="FFFFFF"/>
                <w:szCs w:val="24"/>
                <w:lang w:eastAsia="en-GB"/>
              </w:rPr>
            </w:pPr>
            <w:r w:rsidRPr="00AE49C8">
              <w:rPr>
                <w:rFonts w:eastAsia="Times New Roman"/>
                <w:color w:val="FFFFFF"/>
                <w:szCs w:val="24"/>
                <w:lang w:eastAsia="en-GB"/>
              </w:rPr>
              <w:t>5.3%</w:t>
            </w:r>
          </w:p>
        </w:tc>
      </w:tr>
      <w:tr w:rsidR="00F3345C" w:rsidRPr="00AE49C8" w:rsidTr="00FF33A2">
        <w:trPr>
          <w:cantSplit/>
          <w:trHeight w:val="624"/>
          <w:tblHeader/>
        </w:trPr>
        <w:tc>
          <w:tcPr>
            <w:tcW w:w="2180" w:type="dxa"/>
            <w:tcBorders>
              <w:top w:val="nil"/>
              <w:left w:val="nil"/>
              <w:bottom w:val="nil"/>
              <w:right w:val="nil"/>
            </w:tcBorders>
            <w:shd w:val="clear" w:color="000000" w:fill="FFB81C"/>
            <w:vAlign w:val="center"/>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Census 2011 (SE England)</w:t>
            </w:r>
          </w:p>
        </w:tc>
        <w:tc>
          <w:tcPr>
            <w:tcW w:w="960" w:type="dxa"/>
            <w:tcBorders>
              <w:top w:val="nil"/>
              <w:left w:val="nil"/>
              <w:bottom w:val="nil"/>
              <w:right w:val="nil"/>
            </w:tcBorders>
            <w:shd w:val="clear" w:color="000000" w:fill="FFB81C"/>
            <w:noWrap/>
            <w:vAlign w:val="center"/>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5.2%</w:t>
            </w:r>
          </w:p>
        </w:tc>
        <w:tc>
          <w:tcPr>
            <w:tcW w:w="1820" w:type="dxa"/>
            <w:tcBorders>
              <w:top w:val="nil"/>
              <w:left w:val="nil"/>
              <w:bottom w:val="nil"/>
              <w:right w:val="nil"/>
            </w:tcBorders>
            <w:shd w:val="clear" w:color="000000" w:fill="FFB81C"/>
            <w:noWrap/>
            <w:vAlign w:val="center"/>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1.6%</w:t>
            </w:r>
          </w:p>
        </w:tc>
        <w:tc>
          <w:tcPr>
            <w:tcW w:w="1720" w:type="dxa"/>
            <w:tcBorders>
              <w:top w:val="nil"/>
              <w:left w:val="nil"/>
              <w:bottom w:val="nil"/>
              <w:right w:val="nil"/>
            </w:tcBorders>
            <w:shd w:val="clear" w:color="000000" w:fill="FFB81C"/>
            <w:noWrap/>
            <w:vAlign w:val="center"/>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1.9%</w:t>
            </w:r>
          </w:p>
        </w:tc>
        <w:tc>
          <w:tcPr>
            <w:tcW w:w="960" w:type="dxa"/>
            <w:tcBorders>
              <w:top w:val="nil"/>
              <w:left w:val="nil"/>
              <w:bottom w:val="nil"/>
              <w:right w:val="nil"/>
            </w:tcBorders>
            <w:shd w:val="clear" w:color="000000" w:fill="FFB81C"/>
            <w:noWrap/>
            <w:vAlign w:val="center"/>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0.6%</w:t>
            </w:r>
          </w:p>
        </w:tc>
        <w:tc>
          <w:tcPr>
            <w:tcW w:w="960" w:type="dxa"/>
            <w:tcBorders>
              <w:top w:val="nil"/>
              <w:left w:val="nil"/>
              <w:bottom w:val="nil"/>
              <w:right w:val="nil"/>
            </w:tcBorders>
            <w:shd w:val="clear" w:color="000000" w:fill="FFB81C"/>
            <w:noWrap/>
            <w:vAlign w:val="center"/>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85.2%</w:t>
            </w:r>
          </w:p>
        </w:tc>
        <w:tc>
          <w:tcPr>
            <w:tcW w:w="1209" w:type="dxa"/>
            <w:tcBorders>
              <w:top w:val="nil"/>
              <w:left w:val="nil"/>
              <w:bottom w:val="nil"/>
              <w:right w:val="nil"/>
            </w:tcBorders>
            <w:shd w:val="clear" w:color="000000" w:fill="FFB81C"/>
            <w:noWrap/>
            <w:vAlign w:val="center"/>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5.4%</w:t>
            </w:r>
          </w:p>
        </w:tc>
        <w:tc>
          <w:tcPr>
            <w:tcW w:w="1296" w:type="dxa"/>
            <w:tcBorders>
              <w:top w:val="nil"/>
              <w:left w:val="nil"/>
              <w:bottom w:val="nil"/>
              <w:right w:val="nil"/>
            </w:tcBorders>
            <w:shd w:val="clear" w:color="000000" w:fill="FFB81C"/>
            <w:noWrap/>
            <w:vAlign w:val="center"/>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 </w:t>
            </w:r>
          </w:p>
        </w:tc>
      </w:tr>
    </w:tbl>
    <w:p w:rsidR="00F3345C" w:rsidRPr="00AE49C8" w:rsidRDefault="00F3345C" w:rsidP="00F3345C">
      <w:pPr>
        <w:rPr>
          <w:b/>
        </w:rPr>
      </w:pPr>
    </w:p>
    <w:p w:rsidR="00F3345C" w:rsidRPr="00AE49C8" w:rsidRDefault="00F3345C" w:rsidP="00F3345C">
      <w:pPr>
        <w:rPr>
          <w:b/>
        </w:rPr>
      </w:pPr>
      <w:r w:rsidRPr="00AE49C8">
        <w:rPr>
          <w:noProof/>
          <w:lang w:eastAsia="en-GB"/>
        </w:rPr>
        <w:lastRenderedPageBreak/>
        <w:drawing>
          <wp:inline distT="0" distB="0" distL="0" distR="0" wp14:anchorId="3BF18114" wp14:editId="3AF1BB5A">
            <wp:extent cx="5731510" cy="3192745"/>
            <wp:effectExtent l="0" t="0" r="2540" b="8255"/>
            <wp:docPr id="56" name="Chart 56" title="Overall ethnicity profile of BSUH and WSHT's workforces compared to the 2011 Census."/>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3345C" w:rsidRPr="000D2F61" w:rsidRDefault="00F3345C" w:rsidP="00F3345C">
      <w:r w:rsidRPr="000D2F61">
        <w:t>Observations:</w:t>
      </w:r>
    </w:p>
    <w:p w:rsidR="00FF33A2" w:rsidRPr="00AE49C8" w:rsidRDefault="00FF33A2" w:rsidP="00FF33A2">
      <w:pPr>
        <w:pStyle w:val="ListParagraph"/>
      </w:pPr>
      <w:r w:rsidRPr="00AE49C8">
        <w:t>Overall the workforce representation for most ethnic groups is greater than the 2011 Census data; this excludes white for BSUH and white and mixed heritage groups for WSHT.</w:t>
      </w:r>
    </w:p>
    <w:p w:rsidR="00FF33A2" w:rsidRPr="00AE49C8" w:rsidRDefault="00FF33A2" w:rsidP="00FF33A2">
      <w:pPr>
        <w:pStyle w:val="ListParagraph"/>
      </w:pPr>
      <w:r w:rsidRPr="00AE49C8">
        <w:t>Compared to the previous year, there have not been significant changes in the ethnicity profiles of the workforces.  WSHT has seen an increase of more than 1% of Asian staff.</w:t>
      </w:r>
    </w:p>
    <w:p w:rsidR="00FF33A2" w:rsidRPr="00AE49C8" w:rsidRDefault="00F3345C" w:rsidP="00FF33A2">
      <w:pPr>
        <w:pStyle w:val="Heading3"/>
      </w:pPr>
      <w:bookmarkStart w:id="47" w:name="_Toc88633994"/>
      <w:r w:rsidRPr="00AE49C8">
        <w:t>Breakdown of ethnicity by pay banding</w:t>
      </w:r>
      <w:bookmarkEnd w:id="47"/>
      <w:r w:rsidRPr="00AE49C8">
        <w:t xml:space="preserve"> </w:t>
      </w:r>
    </w:p>
    <w:p w:rsidR="00F3345C" w:rsidRPr="00AE49C8" w:rsidRDefault="00FF33A2" w:rsidP="00F3345C">
      <w:r w:rsidRPr="00AE49C8">
        <w:t xml:space="preserve">Items </w:t>
      </w:r>
      <w:r w:rsidR="00F3345C" w:rsidRPr="00AE49C8">
        <w:t>in bold highlight where there is a great representation of that particular group compared to the representation in the overall workforce</w:t>
      </w:r>
    </w:p>
    <w:p w:rsidR="00F3345C" w:rsidRPr="00AE49C8" w:rsidRDefault="00F3345C" w:rsidP="00F3345C">
      <w:pPr>
        <w:rPr>
          <w:b/>
        </w:rPr>
      </w:pPr>
      <w:r w:rsidRPr="00AE49C8">
        <w:rPr>
          <w:b/>
        </w:rPr>
        <w:t>BSUH</w:t>
      </w:r>
    </w:p>
    <w:tbl>
      <w:tblPr>
        <w:tblW w:w="9958" w:type="dxa"/>
        <w:tblInd w:w="93" w:type="dxa"/>
        <w:tblBorders>
          <w:insideH w:val="dotted" w:sz="4" w:space="0" w:color="auto"/>
        </w:tblBorders>
        <w:tblLook w:val="04A0" w:firstRow="1" w:lastRow="0" w:firstColumn="1" w:lastColumn="0" w:noHBand="0" w:noVBand="1"/>
        <w:tblCaption w:val="Ethnicity breakdown of the workforce by payband or grade"/>
      </w:tblPr>
      <w:tblGrid>
        <w:gridCol w:w="1917"/>
        <w:gridCol w:w="897"/>
        <w:gridCol w:w="1182"/>
        <w:gridCol w:w="897"/>
        <w:gridCol w:w="897"/>
        <w:gridCol w:w="1030"/>
        <w:gridCol w:w="1842"/>
        <w:gridCol w:w="1296"/>
      </w:tblGrid>
      <w:tr w:rsidR="00F3345C" w:rsidRPr="00AE49C8" w:rsidTr="000C64DA">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b/>
                <w:bCs/>
                <w:color w:val="000000"/>
                <w:lang w:eastAsia="en-GB"/>
              </w:rPr>
            </w:pPr>
            <w:r w:rsidRPr="00AE49C8">
              <w:rPr>
                <w:rFonts w:eastAsia="Times New Roman"/>
                <w:b/>
                <w:bCs/>
                <w:color w:val="000000"/>
                <w:lang w:eastAsia="en-GB"/>
              </w:rPr>
              <w:t>Pay Band</w:t>
            </w:r>
          </w:p>
        </w:tc>
        <w:tc>
          <w:tcPr>
            <w:tcW w:w="897" w:type="dxa"/>
            <w:shd w:val="clear" w:color="auto" w:fill="auto"/>
            <w:noWrap/>
            <w:vAlign w:val="bottom"/>
            <w:hideMark/>
          </w:tcPr>
          <w:p w:rsidR="00F3345C" w:rsidRPr="00AE49C8" w:rsidRDefault="00F3345C" w:rsidP="00F3345C">
            <w:pPr>
              <w:spacing w:after="0" w:line="240" w:lineRule="auto"/>
              <w:rPr>
                <w:rFonts w:eastAsia="Times New Roman"/>
                <w:b/>
                <w:bCs/>
                <w:color w:val="000000"/>
                <w:lang w:eastAsia="en-GB"/>
              </w:rPr>
            </w:pPr>
            <w:r w:rsidRPr="00AE49C8">
              <w:rPr>
                <w:rFonts w:eastAsia="Times New Roman"/>
                <w:b/>
                <w:bCs/>
                <w:color w:val="000000"/>
                <w:lang w:eastAsia="en-GB"/>
              </w:rPr>
              <w:t>Asian</w:t>
            </w:r>
          </w:p>
        </w:tc>
        <w:tc>
          <w:tcPr>
            <w:tcW w:w="1182" w:type="dxa"/>
            <w:shd w:val="clear" w:color="auto" w:fill="auto"/>
            <w:noWrap/>
            <w:vAlign w:val="bottom"/>
            <w:hideMark/>
          </w:tcPr>
          <w:p w:rsidR="00F3345C" w:rsidRPr="00AE49C8" w:rsidRDefault="00F3345C" w:rsidP="00F3345C">
            <w:pPr>
              <w:spacing w:after="0" w:line="240" w:lineRule="auto"/>
              <w:rPr>
                <w:rFonts w:eastAsia="Times New Roman"/>
                <w:b/>
                <w:bCs/>
                <w:color w:val="000000"/>
                <w:lang w:eastAsia="en-GB"/>
              </w:rPr>
            </w:pPr>
            <w:r w:rsidRPr="00AE49C8">
              <w:rPr>
                <w:rFonts w:eastAsia="Times New Roman"/>
                <w:b/>
                <w:bCs/>
                <w:color w:val="000000"/>
                <w:lang w:eastAsia="en-GB"/>
              </w:rPr>
              <w:t>Black</w:t>
            </w:r>
          </w:p>
        </w:tc>
        <w:tc>
          <w:tcPr>
            <w:tcW w:w="897" w:type="dxa"/>
            <w:shd w:val="clear" w:color="auto" w:fill="auto"/>
            <w:noWrap/>
            <w:vAlign w:val="bottom"/>
            <w:hideMark/>
          </w:tcPr>
          <w:p w:rsidR="00F3345C" w:rsidRPr="00AE49C8" w:rsidRDefault="00F3345C" w:rsidP="00F3345C">
            <w:pPr>
              <w:spacing w:after="0" w:line="240" w:lineRule="auto"/>
              <w:rPr>
                <w:rFonts w:eastAsia="Times New Roman"/>
                <w:b/>
                <w:bCs/>
                <w:color w:val="000000"/>
                <w:lang w:eastAsia="en-GB"/>
              </w:rPr>
            </w:pPr>
            <w:r w:rsidRPr="00AE49C8">
              <w:rPr>
                <w:rFonts w:eastAsia="Times New Roman"/>
                <w:b/>
                <w:bCs/>
                <w:color w:val="000000"/>
                <w:lang w:eastAsia="en-GB"/>
              </w:rPr>
              <w:t>Other</w:t>
            </w:r>
          </w:p>
        </w:tc>
        <w:tc>
          <w:tcPr>
            <w:tcW w:w="897" w:type="dxa"/>
            <w:shd w:val="clear" w:color="auto" w:fill="auto"/>
            <w:noWrap/>
            <w:vAlign w:val="bottom"/>
            <w:hideMark/>
          </w:tcPr>
          <w:p w:rsidR="00F3345C" w:rsidRPr="00AE49C8" w:rsidRDefault="00F3345C" w:rsidP="00F3345C">
            <w:pPr>
              <w:spacing w:after="0" w:line="240" w:lineRule="auto"/>
              <w:rPr>
                <w:rFonts w:eastAsia="Times New Roman"/>
                <w:b/>
                <w:bCs/>
                <w:color w:val="000000"/>
                <w:lang w:eastAsia="en-GB"/>
              </w:rPr>
            </w:pPr>
            <w:r w:rsidRPr="00AE49C8">
              <w:rPr>
                <w:rFonts w:eastAsia="Times New Roman"/>
                <w:b/>
                <w:bCs/>
                <w:color w:val="000000"/>
                <w:lang w:eastAsia="en-GB"/>
              </w:rPr>
              <w:t>Mixed</w:t>
            </w:r>
          </w:p>
        </w:tc>
        <w:tc>
          <w:tcPr>
            <w:tcW w:w="1030" w:type="dxa"/>
            <w:shd w:val="clear" w:color="auto" w:fill="auto"/>
            <w:noWrap/>
            <w:vAlign w:val="bottom"/>
            <w:hideMark/>
          </w:tcPr>
          <w:p w:rsidR="00F3345C" w:rsidRPr="00AE49C8" w:rsidRDefault="00F3345C" w:rsidP="00F3345C">
            <w:pPr>
              <w:spacing w:after="0" w:line="240" w:lineRule="auto"/>
              <w:rPr>
                <w:rFonts w:eastAsia="Times New Roman"/>
                <w:b/>
                <w:bCs/>
                <w:color w:val="000000"/>
                <w:lang w:eastAsia="en-GB"/>
              </w:rPr>
            </w:pPr>
            <w:r w:rsidRPr="00AE49C8">
              <w:rPr>
                <w:rFonts w:eastAsia="Times New Roman"/>
                <w:b/>
                <w:bCs/>
                <w:color w:val="000000"/>
                <w:lang w:eastAsia="en-GB"/>
              </w:rPr>
              <w:t>White</w:t>
            </w:r>
          </w:p>
        </w:tc>
        <w:tc>
          <w:tcPr>
            <w:tcW w:w="1842" w:type="dxa"/>
            <w:shd w:val="clear" w:color="auto" w:fill="auto"/>
            <w:noWrap/>
            <w:vAlign w:val="bottom"/>
            <w:hideMark/>
          </w:tcPr>
          <w:p w:rsidR="00F3345C" w:rsidRPr="00AE49C8" w:rsidRDefault="00F3345C" w:rsidP="00F3345C">
            <w:pPr>
              <w:spacing w:after="0" w:line="240" w:lineRule="auto"/>
              <w:rPr>
                <w:rFonts w:eastAsia="Times New Roman"/>
                <w:b/>
                <w:bCs/>
                <w:color w:val="000000"/>
                <w:lang w:eastAsia="en-GB"/>
              </w:rPr>
            </w:pPr>
            <w:r w:rsidRPr="00AE49C8">
              <w:rPr>
                <w:rFonts w:eastAsia="Times New Roman"/>
                <w:b/>
                <w:bCs/>
                <w:color w:val="000000"/>
                <w:lang w:eastAsia="en-GB"/>
              </w:rPr>
              <w:t>White-Other</w:t>
            </w:r>
          </w:p>
        </w:tc>
        <w:tc>
          <w:tcPr>
            <w:tcW w:w="1296" w:type="dxa"/>
            <w:shd w:val="clear" w:color="auto" w:fill="auto"/>
            <w:noWrap/>
            <w:vAlign w:val="bottom"/>
            <w:hideMark/>
          </w:tcPr>
          <w:p w:rsidR="00F3345C" w:rsidRPr="00AE49C8" w:rsidRDefault="00F3345C" w:rsidP="00F3345C">
            <w:pPr>
              <w:spacing w:after="0" w:line="240" w:lineRule="auto"/>
              <w:rPr>
                <w:rFonts w:eastAsia="Times New Roman"/>
                <w:b/>
                <w:bCs/>
                <w:color w:val="000000"/>
                <w:lang w:eastAsia="en-GB"/>
              </w:rPr>
            </w:pPr>
            <w:r w:rsidRPr="00AE49C8">
              <w:rPr>
                <w:rFonts w:eastAsia="Times New Roman"/>
                <w:b/>
                <w:bCs/>
                <w:color w:val="000000"/>
                <w:lang w:eastAsia="en-GB"/>
              </w:rPr>
              <w:t>Unknown</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C92A79">
            <w:pPr>
              <w:tabs>
                <w:tab w:val="left" w:pos="1701"/>
              </w:tabs>
              <w:spacing w:after="0" w:line="240" w:lineRule="auto"/>
              <w:rPr>
                <w:rFonts w:eastAsia="Times New Roman"/>
                <w:color w:val="000000"/>
                <w:lang w:eastAsia="en-GB"/>
              </w:rPr>
            </w:pPr>
            <w:r w:rsidRPr="00AE49C8">
              <w:rPr>
                <w:rFonts w:eastAsia="Times New Roman"/>
                <w:color w:val="000000"/>
                <w:lang w:eastAsia="en-GB"/>
              </w:rPr>
              <w:t>Band 1</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6.7%</w:t>
            </w:r>
          </w:p>
        </w:tc>
        <w:tc>
          <w:tcPr>
            <w:tcW w:w="1182"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7.9%</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4.5%</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6.7%</w:t>
            </w:r>
          </w:p>
        </w:tc>
        <w:tc>
          <w:tcPr>
            <w:tcW w:w="1030"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19.1%</w:t>
            </w:r>
          </w:p>
        </w:tc>
        <w:tc>
          <w:tcPr>
            <w:tcW w:w="1842"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47.2%</w:t>
            </w:r>
          </w:p>
        </w:tc>
        <w:tc>
          <w:tcPr>
            <w:tcW w:w="1296" w:type="dxa"/>
            <w:shd w:val="clear" w:color="auto" w:fill="41B6E6"/>
            <w:noWrap/>
            <w:vAlign w:val="bottom"/>
            <w:hideMark/>
          </w:tcPr>
          <w:p w:rsidR="00F3345C" w:rsidRPr="00AE49C8" w:rsidRDefault="00F3345C" w:rsidP="00F3345C">
            <w:pPr>
              <w:spacing w:after="0" w:line="240" w:lineRule="auto"/>
              <w:jc w:val="center"/>
              <w:rPr>
                <w:rFonts w:eastAsia="Times New Roman"/>
                <w:b/>
                <w:bCs/>
                <w:color w:val="000000"/>
                <w:lang w:eastAsia="en-GB"/>
              </w:rPr>
            </w:pPr>
            <w:r w:rsidRPr="00C92A79">
              <w:rPr>
                <w:rFonts w:eastAsia="Times New Roman"/>
                <w:b/>
                <w:bCs/>
                <w:color w:val="FFFFFF" w:themeColor="background1"/>
                <w:lang w:eastAsia="en-GB"/>
              </w:rPr>
              <w:t>7.9%</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t>Band 2</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10.2%</w:t>
            </w:r>
          </w:p>
        </w:tc>
        <w:tc>
          <w:tcPr>
            <w:tcW w:w="1182"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2.9%</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3.9%</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3.2%</w:t>
            </w:r>
          </w:p>
        </w:tc>
        <w:tc>
          <w:tcPr>
            <w:tcW w:w="1030"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58.1%</w:t>
            </w:r>
          </w:p>
        </w:tc>
        <w:tc>
          <w:tcPr>
            <w:tcW w:w="1842"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19.9%</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1.8%</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t>Band 3</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6.2%</w:t>
            </w:r>
          </w:p>
        </w:tc>
        <w:tc>
          <w:tcPr>
            <w:tcW w:w="118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2.8%</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3.6%</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3.0%</w:t>
            </w:r>
          </w:p>
        </w:tc>
        <w:tc>
          <w:tcPr>
            <w:tcW w:w="1030"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71.7%</w:t>
            </w:r>
          </w:p>
        </w:tc>
        <w:tc>
          <w:tcPr>
            <w:tcW w:w="184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11.4%</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1.3%</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t>Band 4</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4.8%</w:t>
            </w:r>
          </w:p>
        </w:tc>
        <w:tc>
          <w:tcPr>
            <w:tcW w:w="1182"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3.6%</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1.5%</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2.1%</w:t>
            </w:r>
          </w:p>
        </w:tc>
        <w:tc>
          <w:tcPr>
            <w:tcW w:w="1030"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77.7%</w:t>
            </w:r>
          </w:p>
        </w:tc>
        <w:tc>
          <w:tcPr>
            <w:tcW w:w="184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8.1%</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2.2%</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t>Band 5</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12.6%</w:t>
            </w:r>
          </w:p>
        </w:tc>
        <w:tc>
          <w:tcPr>
            <w:tcW w:w="1182"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3.8%</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6.3%</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2.5%</w:t>
            </w:r>
          </w:p>
        </w:tc>
        <w:tc>
          <w:tcPr>
            <w:tcW w:w="1030"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58.5%</w:t>
            </w:r>
          </w:p>
        </w:tc>
        <w:tc>
          <w:tcPr>
            <w:tcW w:w="1842" w:type="dxa"/>
            <w:shd w:val="clear" w:color="auto" w:fill="41B6E6"/>
            <w:noWrap/>
            <w:vAlign w:val="bottom"/>
            <w:hideMark/>
          </w:tcPr>
          <w:p w:rsidR="00F3345C" w:rsidRPr="00AE49C8" w:rsidRDefault="00F3345C" w:rsidP="00F3345C">
            <w:pPr>
              <w:spacing w:after="0" w:line="240" w:lineRule="auto"/>
              <w:jc w:val="center"/>
              <w:rPr>
                <w:rFonts w:eastAsia="Times New Roman"/>
                <w:b/>
                <w:bCs/>
                <w:color w:val="000000"/>
                <w:lang w:eastAsia="en-GB"/>
              </w:rPr>
            </w:pPr>
            <w:r w:rsidRPr="00C92A79">
              <w:rPr>
                <w:rFonts w:eastAsia="Times New Roman"/>
                <w:b/>
                <w:bCs/>
                <w:color w:val="FFFFFF" w:themeColor="background1"/>
                <w:lang w:eastAsia="en-GB"/>
              </w:rPr>
              <w:t>14.3%</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2.1%</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t>Band 6</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6.9%</w:t>
            </w:r>
          </w:p>
        </w:tc>
        <w:tc>
          <w:tcPr>
            <w:tcW w:w="118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2.3%</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4.5%</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1.9%</w:t>
            </w:r>
          </w:p>
        </w:tc>
        <w:tc>
          <w:tcPr>
            <w:tcW w:w="1030"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70.1%</w:t>
            </w:r>
          </w:p>
        </w:tc>
        <w:tc>
          <w:tcPr>
            <w:tcW w:w="184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12.1%</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2.3%</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t>Band 7</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4.7%</w:t>
            </w:r>
          </w:p>
        </w:tc>
        <w:tc>
          <w:tcPr>
            <w:tcW w:w="118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1.8%</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1.6%</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2.8%</w:t>
            </w:r>
          </w:p>
        </w:tc>
        <w:tc>
          <w:tcPr>
            <w:tcW w:w="1030"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81.9%</w:t>
            </w:r>
          </w:p>
        </w:tc>
        <w:tc>
          <w:tcPr>
            <w:tcW w:w="184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6.0%</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1.2%</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t>Band 8a</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4.3%</w:t>
            </w:r>
          </w:p>
        </w:tc>
        <w:tc>
          <w:tcPr>
            <w:tcW w:w="118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2.3%</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1.9%</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3.1%</w:t>
            </w:r>
          </w:p>
        </w:tc>
        <w:tc>
          <w:tcPr>
            <w:tcW w:w="1030"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83.7%</w:t>
            </w:r>
          </w:p>
        </w:tc>
        <w:tc>
          <w:tcPr>
            <w:tcW w:w="184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3.5%</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1.2%</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t>Band 8b</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2.7%</w:t>
            </w:r>
          </w:p>
        </w:tc>
        <w:tc>
          <w:tcPr>
            <w:tcW w:w="118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2.7%</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0.9%</w:t>
            </w:r>
          </w:p>
        </w:tc>
        <w:tc>
          <w:tcPr>
            <w:tcW w:w="1030"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87.5%</w:t>
            </w:r>
          </w:p>
        </w:tc>
        <w:tc>
          <w:tcPr>
            <w:tcW w:w="184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4.5%</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1.8%</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t>Band 8c</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1182"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5.0%</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1030"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87.5%</w:t>
            </w:r>
          </w:p>
        </w:tc>
        <w:tc>
          <w:tcPr>
            <w:tcW w:w="184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5.0%</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2.5%</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t>Band 8d</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1182"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4.8%</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4.8%</w:t>
            </w:r>
          </w:p>
        </w:tc>
        <w:tc>
          <w:tcPr>
            <w:tcW w:w="1030"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81.0%</w:t>
            </w:r>
          </w:p>
        </w:tc>
        <w:tc>
          <w:tcPr>
            <w:tcW w:w="184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9.5%</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t>Band 9</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1182"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6.3%</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1030"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81.3%</w:t>
            </w:r>
          </w:p>
        </w:tc>
        <w:tc>
          <w:tcPr>
            <w:tcW w:w="184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1296"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12.5%</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t>Directors</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9.1%</w:t>
            </w:r>
          </w:p>
        </w:tc>
        <w:tc>
          <w:tcPr>
            <w:tcW w:w="118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1030"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54.5%</w:t>
            </w:r>
          </w:p>
        </w:tc>
        <w:tc>
          <w:tcPr>
            <w:tcW w:w="184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1296"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36.4%</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lastRenderedPageBreak/>
              <w:t>Medical &amp; Dental - Consultant</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21.3%</w:t>
            </w:r>
          </w:p>
        </w:tc>
        <w:tc>
          <w:tcPr>
            <w:tcW w:w="118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2.5%</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3.7%</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3.7%</w:t>
            </w:r>
          </w:p>
        </w:tc>
        <w:tc>
          <w:tcPr>
            <w:tcW w:w="1030"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54.6%</w:t>
            </w:r>
          </w:p>
        </w:tc>
        <w:tc>
          <w:tcPr>
            <w:tcW w:w="184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11.2%</w:t>
            </w:r>
          </w:p>
        </w:tc>
        <w:tc>
          <w:tcPr>
            <w:tcW w:w="1296"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3.1%</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t>Medical &amp; Dental - Middle Grade</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21.8%</w:t>
            </w:r>
          </w:p>
        </w:tc>
        <w:tc>
          <w:tcPr>
            <w:tcW w:w="1182"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5.5%</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10.9%</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9.1%</w:t>
            </w:r>
          </w:p>
        </w:tc>
        <w:tc>
          <w:tcPr>
            <w:tcW w:w="1030"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32.7%</w:t>
            </w:r>
          </w:p>
        </w:tc>
        <w:tc>
          <w:tcPr>
            <w:tcW w:w="1842" w:type="dxa"/>
            <w:shd w:val="clear" w:color="auto" w:fill="41B6E6"/>
            <w:noWrap/>
            <w:vAlign w:val="bottom"/>
            <w:hideMark/>
          </w:tcPr>
          <w:p w:rsidR="00F3345C" w:rsidRPr="00AE49C8" w:rsidRDefault="00F3345C" w:rsidP="00F3345C">
            <w:pPr>
              <w:spacing w:after="0" w:line="240" w:lineRule="auto"/>
              <w:jc w:val="center"/>
              <w:rPr>
                <w:rFonts w:eastAsia="Times New Roman"/>
                <w:b/>
                <w:bCs/>
                <w:color w:val="000000"/>
                <w:lang w:eastAsia="en-GB"/>
              </w:rPr>
            </w:pPr>
            <w:r w:rsidRPr="00C92A79">
              <w:rPr>
                <w:rFonts w:eastAsia="Times New Roman"/>
                <w:b/>
                <w:bCs/>
                <w:color w:val="FFFFFF" w:themeColor="background1"/>
                <w:lang w:eastAsia="en-GB"/>
              </w:rPr>
              <w:t>16.4%</w:t>
            </w:r>
          </w:p>
        </w:tc>
        <w:tc>
          <w:tcPr>
            <w:tcW w:w="1296"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3.6%</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t>Medical &amp; Dental - Training</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18.3%</w:t>
            </w:r>
          </w:p>
        </w:tc>
        <w:tc>
          <w:tcPr>
            <w:tcW w:w="1182"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3.0%</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4.2%</w:t>
            </w:r>
          </w:p>
        </w:tc>
        <w:tc>
          <w:tcPr>
            <w:tcW w:w="897"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5.8%</w:t>
            </w:r>
          </w:p>
        </w:tc>
        <w:tc>
          <w:tcPr>
            <w:tcW w:w="1030"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47.4%</w:t>
            </w:r>
          </w:p>
        </w:tc>
        <w:tc>
          <w:tcPr>
            <w:tcW w:w="184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9.2%</w:t>
            </w:r>
          </w:p>
        </w:tc>
        <w:tc>
          <w:tcPr>
            <w:tcW w:w="1296"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12.1%</w:t>
            </w:r>
          </w:p>
        </w:tc>
      </w:tr>
      <w:tr w:rsidR="00F3345C" w:rsidRPr="00AE49C8" w:rsidTr="00C92A79">
        <w:trPr>
          <w:cantSplit/>
          <w:trHeight w:val="288"/>
          <w:tblHeader/>
        </w:trPr>
        <w:tc>
          <w:tcPr>
            <w:tcW w:w="1917" w:type="dxa"/>
            <w:shd w:val="clear" w:color="auto" w:fill="auto"/>
            <w:noWrap/>
            <w:vAlign w:val="bottom"/>
            <w:hideMark/>
          </w:tcPr>
          <w:p w:rsidR="00F3345C" w:rsidRPr="00AE49C8" w:rsidRDefault="00F3345C" w:rsidP="00F3345C">
            <w:pPr>
              <w:spacing w:after="0" w:line="240" w:lineRule="auto"/>
              <w:rPr>
                <w:rFonts w:eastAsia="Times New Roman"/>
                <w:color w:val="000000"/>
                <w:lang w:eastAsia="en-GB"/>
              </w:rPr>
            </w:pPr>
            <w:r w:rsidRPr="00AE49C8">
              <w:rPr>
                <w:rFonts w:eastAsia="Times New Roman"/>
                <w:color w:val="000000"/>
                <w:lang w:eastAsia="en-GB"/>
              </w:rPr>
              <w:t>Local Scale</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118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1030" w:type="dxa"/>
            <w:shd w:val="clear" w:color="auto" w:fill="41B6E6"/>
            <w:noWrap/>
            <w:vAlign w:val="bottom"/>
            <w:hideMark/>
          </w:tcPr>
          <w:p w:rsidR="00F3345C" w:rsidRPr="00C92A79" w:rsidRDefault="00F3345C" w:rsidP="00F3345C">
            <w:pPr>
              <w:spacing w:after="0" w:line="240" w:lineRule="auto"/>
              <w:jc w:val="center"/>
              <w:rPr>
                <w:rFonts w:eastAsia="Times New Roman"/>
                <w:b/>
                <w:bCs/>
                <w:color w:val="FFFFFF" w:themeColor="background1"/>
                <w:lang w:eastAsia="en-GB"/>
              </w:rPr>
            </w:pPr>
            <w:r w:rsidRPr="00C92A79">
              <w:rPr>
                <w:rFonts w:eastAsia="Times New Roman"/>
                <w:b/>
                <w:bCs/>
                <w:color w:val="FFFFFF" w:themeColor="background1"/>
                <w:lang w:eastAsia="en-GB"/>
              </w:rPr>
              <w:t>100.0%</w:t>
            </w:r>
          </w:p>
        </w:tc>
        <w:tc>
          <w:tcPr>
            <w:tcW w:w="1842"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lang w:eastAsia="en-GB"/>
              </w:rPr>
            </w:pPr>
            <w:r w:rsidRPr="00AE49C8">
              <w:rPr>
                <w:rFonts w:eastAsia="Times New Roman"/>
                <w:color w:val="000000"/>
                <w:lang w:eastAsia="en-GB"/>
              </w:rPr>
              <w:t>0.0%</w:t>
            </w:r>
          </w:p>
        </w:tc>
      </w:tr>
    </w:tbl>
    <w:p w:rsidR="00F3345C" w:rsidRPr="00AE49C8" w:rsidRDefault="00F3345C" w:rsidP="00F3345C">
      <w:pPr>
        <w:rPr>
          <w:b/>
        </w:rPr>
      </w:pPr>
    </w:p>
    <w:p w:rsidR="00F3345C" w:rsidRPr="000D2F61" w:rsidRDefault="00F3345C" w:rsidP="00F3345C">
      <w:r w:rsidRPr="000D2F61">
        <w:t>Observations</w:t>
      </w:r>
    </w:p>
    <w:p w:rsidR="00F3345C" w:rsidRPr="00AE49C8" w:rsidRDefault="00FF33A2" w:rsidP="00FF33A2">
      <w:r w:rsidRPr="00AE49C8">
        <w:t>When comparing to the overall workforce representation:</w:t>
      </w:r>
    </w:p>
    <w:p w:rsidR="00FF33A2" w:rsidRPr="00AE49C8" w:rsidRDefault="00FF33A2" w:rsidP="00FF33A2">
      <w:pPr>
        <w:pStyle w:val="ListParagraph"/>
      </w:pPr>
      <w:r w:rsidRPr="00AE49C8">
        <w:t>Asian staff have a good representation in bands/grades 2, 5, directors and all medical roles. There is a lower than expected representation in bands 1, 3-4, 6-8b, and there is no representation in bands 8c-9.</w:t>
      </w:r>
    </w:p>
    <w:p w:rsidR="00FF33A2" w:rsidRPr="00AE49C8" w:rsidRDefault="00FF33A2" w:rsidP="00FF33A2">
      <w:pPr>
        <w:pStyle w:val="ListParagraph"/>
      </w:pPr>
      <w:r w:rsidRPr="00AE49C8">
        <w:t>Black staff have a good representation in bands/grades 1-6a, 8a-9, and all medical roles.  There is a lower than expected representation in 7 and no representation in directors.</w:t>
      </w:r>
    </w:p>
    <w:p w:rsidR="00FF33A2" w:rsidRPr="00AE49C8" w:rsidRDefault="00FF33A2" w:rsidP="00FF33A2">
      <w:pPr>
        <w:pStyle w:val="ListParagraph"/>
      </w:pPr>
      <w:r w:rsidRPr="00AE49C8">
        <w:t>Mixed heritage staff have a good representation in bands/grades 1-3, 5, 7-8a, 8d and all medical roles.  There is a lower than expected representation in bands 4, 6 and 8b; there is no representation in bands 8c, 9 and directors.</w:t>
      </w:r>
    </w:p>
    <w:p w:rsidR="00FF33A2" w:rsidRPr="00AE49C8" w:rsidRDefault="00FF33A2" w:rsidP="00FF33A2">
      <w:pPr>
        <w:pStyle w:val="ListParagraph"/>
      </w:pPr>
      <w:r w:rsidRPr="00AE49C8">
        <w:t>Other ethnicity staff have a good representation in bands/grades1-3, 5-6 and all medical grades. There is a lower than expected representation in 4, 7 and 8a and no representation in 8b-9 and directors.</w:t>
      </w:r>
    </w:p>
    <w:p w:rsidR="00FF33A2" w:rsidRPr="00AE49C8" w:rsidRDefault="00FF33A2" w:rsidP="00FF33A2">
      <w:pPr>
        <w:pStyle w:val="ListParagraph"/>
      </w:pPr>
      <w:r w:rsidRPr="00AE49C8">
        <w:t>White staff are generally well represented in all bands, in bands/grades 1, 2, 5, directors and all medical grades.</w:t>
      </w:r>
    </w:p>
    <w:p w:rsidR="00FF33A2" w:rsidRPr="00AE49C8" w:rsidRDefault="00FF33A2" w:rsidP="00FF33A2">
      <w:pPr>
        <w:pStyle w:val="ListParagraph"/>
      </w:pPr>
      <w:r w:rsidRPr="00AE49C8">
        <w:t>White-Other staff have a good representation in 1, 2, 3, 5-6 and middle-grade doctors. There is a lower than expected representation in 4, 7-8d and medical consultants and trainees; there is no representation in band 9 and directors.</w:t>
      </w:r>
    </w:p>
    <w:p w:rsidR="003528A7" w:rsidRPr="00AE49C8" w:rsidRDefault="003528A7" w:rsidP="00FF33A2">
      <w:pPr>
        <w:pStyle w:val="ListParagraph"/>
      </w:pPr>
      <w:r w:rsidRPr="00AE49C8">
        <w:t>There is a disproportionately high number of staff whose ethnicity is unknown in band 9, directors and all medical grades.</w:t>
      </w:r>
    </w:p>
    <w:p w:rsidR="00F3345C" w:rsidRPr="00AE49C8" w:rsidRDefault="00F3345C" w:rsidP="00F3345C">
      <w:pPr>
        <w:rPr>
          <w:b/>
        </w:rPr>
      </w:pPr>
      <w:r w:rsidRPr="00AE49C8">
        <w:rPr>
          <w:b/>
        </w:rPr>
        <w:t>WSHT</w:t>
      </w:r>
    </w:p>
    <w:tbl>
      <w:tblPr>
        <w:tblW w:w="9958" w:type="dxa"/>
        <w:tblInd w:w="93" w:type="dxa"/>
        <w:tblBorders>
          <w:insideH w:val="dotted" w:sz="4" w:space="0" w:color="auto"/>
        </w:tblBorders>
        <w:tblLook w:val="04A0" w:firstRow="1" w:lastRow="0" w:firstColumn="1" w:lastColumn="0" w:noHBand="0" w:noVBand="1"/>
        <w:tblCaption w:val="Ethnicity breakdown of the workforce by payband or grade"/>
      </w:tblPr>
      <w:tblGrid>
        <w:gridCol w:w="2425"/>
        <w:gridCol w:w="897"/>
        <w:gridCol w:w="878"/>
        <w:gridCol w:w="878"/>
        <w:gridCol w:w="897"/>
        <w:gridCol w:w="1030"/>
        <w:gridCol w:w="1657"/>
        <w:gridCol w:w="1296"/>
      </w:tblGrid>
      <w:tr w:rsidR="00F3345C" w:rsidRPr="00AE49C8" w:rsidTr="000C64DA">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b/>
                <w:bCs/>
                <w:color w:val="000000"/>
                <w:szCs w:val="24"/>
                <w:lang w:eastAsia="en-GB"/>
              </w:rPr>
            </w:pPr>
            <w:r w:rsidRPr="00AE49C8">
              <w:rPr>
                <w:rFonts w:eastAsia="Times New Roman"/>
                <w:b/>
                <w:bCs/>
                <w:color w:val="000000"/>
                <w:szCs w:val="24"/>
                <w:lang w:eastAsia="en-GB"/>
              </w:rPr>
              <w:t>Pay Band</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Asian</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Black</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Other</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Mixed</w:t>
            </w:r>
          </w:p>
        </w:tc>
        <w:tc>
          <w:tcPr>
            <w:tcW w:w="1030" w:type="dxa"/>
            <w:shd w:val="clear" w:color="auto" w:fill="auto"/>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White</w:t>
            </w:r>
          </w:p>
        </w:tc>
        <w:tc>
          <w:tcPr>
            <w:tcW w:w="1657" w:type="dxa"/>
            <w:shd w:val="clear" w:color="auto" w:fill="auto"/>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White-Other</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AE49C8">
              <w:rPr>
                <w:rFonts w:eastAsia="Times New Roman"/>
                <w:b/>
                <w:bCs/>
                <w:color w:val="000000"/>
                <w:szCs w:val="24"/>
                <w:lang w:eastAsia="en-GB"/>
              </w:rPr>
              <w:t>Unknown</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Band 1</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4.9%</w:t>
            </w:r>
          </w:p>
        </w:tc>
        <w:tc>
          <w:tcPr>
            <w:tcW w:w="878" w:type="dxa"/>
            <w:shd w:val="clear" w:color="auto" w:fill="009639"/>
            <w:noWrap/>
            <w:vAlign w:val="bottom"/>
            <w:hideMark/>
          </w:tcPr>
          <w:p w:rsidR="00F3345C" w:rsidRPr="00AE49C8" w:rsidRDefault="00F3345C" w:rsidP="00F3345C">
            <w:pPr>
              <w:spacing w:after="0" w:line="240" w:lineRule="auto"/>
              <w:jc w:val="center"/>
              <w:rPr>
                <w:rFonts w:eastAsia="Times New Roman"/>
                <w:b/>
                <w:bCs/>
                <w:color w:val="000000"/>
                <w:szCs w:val="24"/>
                <w:lang w:eastAsia="en-GB"/>
              </w:rPr>
            </w:pPr>
            <w:r w:rsidRPr="00C92A79">
              <w:rPr>
                <w:rFonts w:eastAsia="Times New Roman"/>
                <w:b/>
                <w:bCs/>
                <w:color w:val="FFFFFF" w:themeColor="background1"/>
                <w:szCs w:val="24"/>
                <w:lang w:eastAsia="en-GB"/>
              </w:rPr>
              <w:t>2.4%</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897"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2.4%</w:t>
            </w:r>
          </w:p>
        </w:tc>
        <w:tc>
          <w:tcPr>
            <w:tcW w:w="1030"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65.9%</w:t>
            </w:r>
          </w:p>
        </w:tc>
        <w:tc>
          <w:tcPr>
            <w:tcW w:w="1657"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19.5%</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4.9%</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Band 2</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9.5%</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bCs/>
                <w:color w:val="000000"/>
                <w:szCs w:val="24"/>
                <w:lang w:eastAsia="en-GB"/>
              </w:rPr>
            </w:pPr>
            <w:r w:rsidRPr="00AE49C8">
              <w:rPr>
                <w:rFonts w:eastAsia="Times New Roman"/>
                <w:bCs/>
                <w:color w:val="000000"/>
                <w:szCs w:val="24"/>
                <w:lang w:eastAsia="en-GB"/>
              </w:rPr>
              <w:t>1.0%</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3.1%</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1.0%</w:t>
            </w:r>
          </w:p>
        </w:tc>
        <w:tc>
          <w:tcPr>
            <w:tcW w:w="1030"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67.7%</w:t>
            </w:r>
          </w:p>
        </w:tc>
        <w:tc>
          <w:tcPr>
            <w:tcW w:w="1657"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12.5%</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5.1%</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Band 3</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8.9%</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1.3%</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2.8%</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0.8%</w:t>
            </w:r>
          </w:p>
        </w:tc>
        <w:tc>
          <w:tcPr>
            <w:tcW w:w="1030"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76.7%</w:t>
            </w:r>
          </w:p>
        </w:tc>
        <w:tc>
          <w:tcPr>
            <w:tcW w:w="165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6.4%</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3.1%</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Band 4</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2.4%</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1.0%</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1.4%</w:t>
            </w:r>
          </w:p>
        </w:tc>
        <w:tc>
          <w:tcPr>
            <w:tcW w:w="897"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1.6%</w:t>
            </w:r>
          </w:p>
        </w:tc>
        <w:tc>
          <w:tcPr>
            <w:tcW w:w="1030"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86.5%</w:t>
            </w:r>
          </w:p>
        </w:tc>
        <w:tc>
          <w:tcPr>
            <w:tcW w:w="165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4.9%</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2.0%</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Band 5</w:t>
            </w:r>
          </w:p>
        </w:tc>
        <w:tc>
          <w:tcPr>
            <w:tcW w:w="897"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20.6%</w:t>
            </w:r>
          </w:p>
        </w:tc>
        <w:tc>
          <w:tcPr>
            <w:tcW w:w="878"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1.9%</w:t>
            </w:r>
          </w:p>
        </w:tc>
        <w:tc>
          <w:tcPr>
            <w:tcW w:w="878"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7.2%</w:t>
            </w:r>
          </w:p>
        </w:tc>
        <w:tc>
          <w:tcPr>
            <w:tcW w:w="897"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2.1%</w:t>
            </w:r>
          </w:p>
        </w:tc>
        <w:tc>
          <w:tcPr>
            <w:tcW w:w="1030"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53.1%</w:t>
            </w:r>
          </w:p>
        </w:tc>
        <w:tc>
          <w:tcPr>
            <w:tcW w:w="165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6.5%</w:t>
            </w:r>
          </w:p>
        </w:tc>
        <w:tc>
          <w:tcPr>
            <w:tcW w:w="1296"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8.5%</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Band 6</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6.2%</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1.7%</w:t>
            </w:r>
          </w:p>
        </w:tc>
        <w:tc>
          <w:tcPr>
            <w:tcW w:w="878"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4.4%</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1.4%</w:t>
            </w:r>
          </w:p>
        </w:tc>
        <w:tc>
          <w:tcPr>
            <w:tcW w:w="1030"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75.0%</w:t>
            </w:r>
          </w:p>
        </w:tc>
        <w:tc>
          <w:tcPr>
            <w:tcW w:w="165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6.9%</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4.5%</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Band 7</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4.2%</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0.9%</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1.8%</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0.9%</w:t>
            </w:r>
          </w:p>
        </w:tc>
        <w:tc>
          <w:tcPr>
            <w:tcW w:w="1030"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82.5%</w:t>
            </w:r>
          </w:p>
        </w:tc>
        <w:tc>
          <w:tcPr>
            <w:tcW w:w="165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5.2%</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4.5%</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lastRenderedPageBreak/>
              <w:t>Band 8a</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4.2%</w:t>
            </w:r>
          </w:p>
        </w:tc>
        <w:tc>
          <w:tcPr>
            <w:tcW w:w="878"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1.8%</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0.6%</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0.6%</w:t>
            </w:r>
          </w:p>
        </w:tc>
        <w:tc>
          <w:tcPr>
            <w:tcW w:w="1030"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82.7%</w:t>
            </w:r>
          </w:p>
        </w:tc>
        <w:tc>
          <w:tcPr>
            <w:tcW w:w="165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6.0%</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4.2%</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Band 8b</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1.4%</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1030"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95.8%</w:t>
            </w:r>
          </w:p>
        </w:tc>
        <w:tc>
          <w:tcPr>
            <w:tcW w:w="165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1.4%</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1.4%</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Band 8c</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1030"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93.3%</w:t>
            </w:r>
          </w:p>
        </w:tc>
        <w:tc>
          <w:tcPr>
            <w:tcW w:w="165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3.3%</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3.3%</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Band 8d</w:t>
            </w:r>
          </w:p>
        </w:tc>
        <w:tc>
          <w:tcPr>
            <w:tcW w:w="897"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12.5%</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1030"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87.5%</w:t>
            </w:r>
          </w:p>
        </w:tc>
        <w:tc>
          <w:tcPr>
            <w:tcW w:w="165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Band 9</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1030"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100.0%</w:t>
            </w:r>
          </w:p>
        </w:tc>
        <w:tc>
          <w:tcPr>
            <w:tcW w:w="165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Directors</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4.8%</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89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1030"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71.4%</w:t>
            </w:r>
          </w:p>
        </w:tc>
        <w:tc>
          <w:tcPr>
            <w:tcW w:w="165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0.0%</w:t>
            </w:r>
          </w:p>
        </w:tc>
        <w:tc>
          <w:tcPr>
            <w:tcW w:w="1296"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23.8%</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Consultant</w:t>
            </w:r>
          </w:p>
        </w:tc>
        <w:tc>
          <w:tcPr>
            <w:tcW w:w="897"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17.5%</w:t>
            </w:r>
          </w:p>
        </w:tc>
        <w:tc>
          <w:tcPr>
            <w:tcW w:w="878"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2.8%</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2.5%</w:t>
            </w:r>
          </w:p>
        </w:tc>
        <w:tc>
          <w:tcPr>
            <w:tcW w:w="897"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2.3%</w:t>
            </w:r>
          </w:p>
        </w:tc>
        <w:tc>
          <w:tcPr>
            <w:tcW w:w="1030"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56.1%</w:t>
            </w:r>
          </w:p>
        </w:tc>
        <w:tc>
          <w:tcPr>
            <w:tcW w:w="1657"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13.8%</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5.1%</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Middle Grade</w:t>
            </w:r>
          </w:p>
        </w:tc>
        <w:tc>
          <w:tcPr>
            <w:tcW w:w="897"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24.5%</w:t>
            </w:r>
          </w:p>
        </w:tc>
        <w:tc>
          <w:tcPr>
            <w:tcW w:w="878"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7.2%</w:t>
            </w:r>
          </w:p>
        </w:tc>
        <w:tc>
          <w:tcPr>
            <w:tcW w:w="878"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5.1%</w:t>
            </w:r>
          </w:p>
        </w:tc>
        <w:tc>
          <w:tcPr>
            <w:tcW w:w="897"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3.5%</w:t>
            </w:r>
          </w:p>
        </w:tc>
        <w:tc>
          <w:tcPr>
            <w:tcW w:w="1030"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43.1%</w:t>
            </w:r>
          </w:p>
        </w:tc>
        <w:tc>
          <w:tcPr>
            <w:tcW w:w="1657"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8.4%</w:t>
            </w:r>
          </w:p>
        </w:tc>
        <w:tc>
          <w:tcPr>
            <w:tcW w:w="1296"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8.2%</w:t>
            </w:r>
          </w:p>
        </w:tc>
      </w:tr>
      <w:tr w:rsidR="00F3345C" w:rsidRPr="00AE49C8" w:rsidTr="00C92A79">
        <w:trPr>
          <w:cantSplit/>
          <w:trHeight w:val="312"/>
          <w:tblHeader/>
        </w:trPr>
        <w:tc>
          <w:tcPr>
            <w:tcW w:w="2425" w:type="dxa"/>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Training</w:t>
            </w:r>
          </w:p>
        </w:tc>
        <w:tc>
          <w:tcPr>
            <w:tcW w:w="897"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20.3%</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1.7%</w:t>
            </w:r>
          </w:p>
        </w:tc>
        <w:tc>
          <w:tcPr>
            <w:tcW w:w="878"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0.8%</w:t>
            </w:r>
          </w:p>
        </w:tc>
        <w:tc>
          <w:tcPr>
            <w:tcW w:w="897" w:type="dxa"/>
            <w:shd w:val="clear" w:color="auto" w:fill="009639"/>
            <w:noWrap/>
            <w:vAlign w:val="bottom"/>
            <w:hideMark/>
          </w:tcPr>
          <w:p w:rsidR="00F3345C" w:rsidRPr="00C92A79" w:rsidRDefault="00F3345C" w:rsidP="00F3345C">
            <w:pPr>
              <w:spacing w:after="0" w:line="240" w:lineRule="auto"/>
              <w:jc w:val="center"/>
              <w:rPr>
                <w:rFonts w:eastAsia="Times New Roman"/>
                <w:b/>
                <w:bCs/>
                <w:color w:val="FFFFFF" w:themeColor="background1"/>
                <w:szCs w:val="24"/>
                <w:lang w:eastAsia="en-GB"/>
              </w:rPr>
            </w:pPr>
            <w:r w:rsidRPr="00C92A79">
              <w:rPr>
                <w:rFonts w:eastAsia="Times New Roman"/>
                <w:b/>
                <w:bCs/>
                <w:color w:val="FFFFFF" w:themeColor="background1"/>
                <w:szCs w:val="24"/>
                <w:lang w:eastAsia="en-GB"/>
              </w:rPr>
              <w:t>4.2%</w:t>
            </w:r>
          </w:p>
        </w:tc>
        <w:tc>
          <w:tcPr>
            <w:tcW w:w="1030"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66.1%</w:t>
            </w:r>
          </w:p>
        </w:tc>
        <w:tc>
          <w:tcPr>
            <w:tcW w:w="1657"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2.5%</w:t>
            </w:r>
          </w:p>
        </w:tc>
        <w:tc>
          <w:tcPr>
            <w:tcW w:w="1296" w:type="dxa"/>
            <w:shd w:val="clear" w:color="auto" w:fill="auto"/>
            <w:noWrap/>
            <w:vAlign w:val="bottom"/>
            <w:hideMark/>
          </w:tcPr>
          <w:p w:rsidR="00F3345C" w:rsidRPr="00AE49C8" w:rsidRDefault="00F3345C" w:rsidP="00F3345C">
            <w:pPr>
              <w:spacing w:after="0" w:line="240" w:lineRule="auto"/>
              <w:jc w:val="center"/>
              <w:rPr>
                <w:rFonts w:eastAsia="Times New Roman"/>
                <w:color w:val="000000"/>
                <w:szCs w:val="24"/>
                <w:lang w:eastAsia="en-GB"/>
              </w:rPr>
            </w:pPr>
            <w:r w:rsidRPr="00AE49C8">
              <w:rPr>
                <w:rFonts w:eastAsia="Times New Roman"/>
                <w:color w:val="000000"/>
                <w:szCs w:val="24"/>
                <w:lang w:eastAsia="en-GB"/>
              </w:rPr>
              <w:t>4.2%</w:t>
            </w:r>
          </w:p>
        </w:tc>
      </w:tr>
    </w:tbl>
    <w:p w:rsidR="00F3345C" w:rsidRPr="00AE49C8" w:rsidRDefault="00F3345C" w:rsidP="00F3345C">
      <w:pPr>
        <w:jc w:val="center"/>
        <w:rPr>
          <w:b/>
        </w:rPr>
      </w:pPr>
    </w:p>
    <w:p w:rsidR="00F3345C" w:rsidRPr="000D2F61" w:rsidRDefault="00F3345C" w:rsidP="00F3345C">
      <w:r w:rsidRPr="000D2F61">
        <w:t>Observations</w:t>
      </w:r>
    </w:p>
    <w:p w:rsidR="00F3345C" w:rsidRPr="00AE49C8" w:rsidRDefault="003528A7" w:rsidP="00F3345C">
      <w:r w:rsidRPr="00AE49C8">
        <w:t>When comparing to the overall workforce:</w:t>
      </w:r>
    </w:p>
    <w:p w:rsidR="003528A7" w:rsidRPr="00AE49C8" w:rsidRDefault="003528A7" w:rsidP="003528A7">
      <w:pPr>
        <w:pStyle w:val="ListParagraph"/>
      </w:pPr>
      <w:r w:rsidRPr="00AE49C8">
        <w:t>Asian staff have a higher than expected representation in bands 5, 8d and all medical grades.  There is a lower than expected representation in bands 1-4, 6-8a and directors; there is no representation in bands 8b-c and 9.</w:t>
      </w:r>
    </w:p>
    <w:p w:rsidR="003528A7" w:rsidRPr="00AE49C8" w:rsidRDefault="003528A7" w:rsidP="003528A7">
      <w:pPr>
        <w:pStyle w:val="ListParagraph"/>
      </w:pPr>
      <w:r w:rsidRPr="00AE49C8">
        <w:t>Black staff have a good representation in 1, 5-6, 8a and all medical grades.  There is a lower than expected representation in 2-4, 7 and 8b; there is no representation in bands 8c-9 and directors.</w:t>
      </w:r>
    </w:p>
    <w:p w:rsidR="00C451D3" w:rsidRPr="00AE49C8" w:rsidRDefault="00C451D3" w:rsidP="003528A7">
      <w:pPr>
        <w:pStyle w:val="ListParagraph"/>
      </w:pPr>
      <w:r w:rsidRPr="00AE49C8">
        <w:t>Mixed heritage staff have a good representation in 1, 4-6 and all medical grades. There is a lower than expected representation in bands 2-3 and 6-8a; there is no representation in bands 8b-9 and directors.</w:t>
      </w:r>
    </w:p>
    <w:p w:rsidR="00C451D3" w:rsidRPr="00AE49C8" w:rsidRDefault="00C451D3" w:rsidP="003528A7">
      <w:pPr>
        <w:pStyle w:val="ListParagraph"/>
      </w:pPr>
      <w:r w:rsidRPr="00AE49C8">
        <w:t>Other ethnicity staff have a good representation in 5-6 and medical middle grade.  There is a lower than expected representation in bands/grades 2-4, 7-8a, medical consultants and trainees; there is no representation in bands 8b-9 and directors.</w:t>
      </w:r>
    </w:p>
    <w:p w:rsidR="00C451D3" w:rsidRPr="00AE49C8" w:rsidRDefault="00C451D3" w:rsidP="003528A7">
      <w:pPr>
        <w:pStyle w:val="ListParagraph"/>
      </w:pPr>
      <w:r w:rsidRPr="00AE49C8">
        <w:t>White staff generally have a good to higher than expected representation in most bands except in bands five and all medical roles.</w:t>
      </w:r>
    </w:p>
    <w:p w:rsidR="00D66A05" w:rsidRPr="00AE49C8" w:rsidRDefault="00D66A05" w:rsidP="003528A7">
      <w:pPr>
        <w:pStyle w:val="ListParagraph"/>
      </w:pPr>
      <w:r w:rsidRPr="00AE49C8">
        <w:t>White-Other staff have a good representation in bands/grades 1-2 and medical consultant and middle grades.  There is a lower than expected representation in bands 3-8c; and no representation in 8d-9 and directors.</w:t>
      </w:r>
    </w:p>
    <w:p w:rsidR="00D66A05" w:rsidRPr="00AE49C8" w:rsidRDefault="00D66A05" w:rsidP="003528A7">
      <w:pPr>
        <w:pStyle w:val="ListParagraph"/>
      </w:pPr>
      <w:r w:rsidRPr="00AE49C8">
        <w:t>There are a disproportionately high number of directors where their ethnicity is unknown</w:t>
      </w:r>
      <w:r w:rsidR="006615AA" w:rsidRPr="00AE49C8">
        <w:t>.</w:t>
      </w:r>
    </w:p>
    <w:p w:rsidR="006615AA" w:rsidRPr="00AE49C8" w:rsidRDefault="00F3345C" w:rsidP="006615AA">
      <w:pPr>
        <w:pStyle w:val="Heading3"/>
      </w:pPr>
      <w:bookmarkStart w:id="48" w:name="_Toc88633995"/>
      <w:r w:rsidRPr="00AE49C8">
        <w:t>Breakdown of ethnicity in recruitment processes</w:t>
      </w:r>
      <w:bookmarkEnd w:id="48"/>
    </w:p>
    <w:p w:rsidR="00F3345C" w:rsidRPr="00AE49C8" w:rsidRDefault="006615AA" w:rsidP="00F3345C">
      <w:r w:rsidRPr="00AE49C8">
        <w:t>T</w:t>
      </w:r>
      <w:r w:rsidR="00F3345C" w:rsidRPr="00AE49C8">
        <w:t>he data compares the three stages of recruitment compared to the workforce representation within the organisation.</w:t>
      </w:r>
    </w:p>
    <w:p w:rsidR="00C92A79" w:rsidRDefault="00C92A79">
      <w:pPr>
        <w:widowControl w:val="0"/>
        <w:rPr>
          <w:b/>
        </w:rPr>
      </w:pPr>
      <w:r>
        <w:rPr>
          <w:b/>
        </w:rPr>
        <w:br w:type="page"/>
      </w:r>
    </w:p>
    <w:p w:rsidR="00F3345C" w:rsidRPr="00AE49C8" w:rsidRDefault="00F3345C" w:rsidP="00F3345C">
      <w:pPr>
        <w:spacing w:line="240" w:lineRule="auto"/>
        <w:rPr>
          <w:b/>
        </w:rPr>
      </w:pPr>
      <w:r w:rsidRPr="00AE49C8">
        <w:rPr>
          <w:b/>
        </w:rPr>
        <w:lastRenderedPageBreak/>
        <w:t>BSUH</w:t>
      </w:r>
    </w:p>
    <w:tbl>
      <w:tblPr>
        <w:tblW w:w="7609" w:type="dxa"/>
        <w:jc w:val="center"/>
        <w:tblLook w:val="04A0" w:firstRow="1" w:lastRow="0" w:firstColumn="1" w:lastColumn="0" w:noHBand="0" w:noVBand="1"/>
        <w:tblCaption w:val="Representation of ethnicity in recruitment"/>
      </w:tblPr>
      <w:tblGrid>
        <w:gridCol w:w="2425"/>
        <w:gridCol w:w="1657"/>
        <w:gridCol w:w="1470"/>
        <w:gridCol w:w="1403"/>
        <w:gridCol w:w="1403"/>
      </w:tblGrid>
      <w:tr w:rsidR="00F3345C" w:rsidRPr="00AE49C8" w:rsidTr="006615AA">
        <w:trPr>
          <w:cantSplit/>
          <w:trHeight w:val="936"/>
          <w:tblHeader/>
          <w:jc w:val="center"/>
        </w:trPr>
        <w:tc>
          <w:tcPr>
            <w:tcW w:w="2425" w:type="dxa"/>
            <w:tcBorders>
              <w:top w:val="nil"/>
              <w:left w:val="nil"/>
              <w:bottom w:val="nil"/>
              <w:right w:val="nil"/>
            </w:tcBorders>
            <w:shd w:val="clear" w:color="auto" w:fill="auto"/>
            <w:vAlign w:val="bottom"/>
            <w:hideMark/>
          </w:tcPr>
          <w:p w:rsidR="00F3345C" w:rsidRPr="00AE49C8" w:rsidRDefault="00F3345C" w:rsidP="00F3345C">
            <w:pPr>
              <w:spacing w:after="0" w:line="240" w:lineRule="auto"/>
              <w:rPr>
                <w:rFonts w:eastAsia="Times New Roman"/>
                <w:b/>
                <w:color w:val="000000"/>
                <w:szCs w:val="24"/>
                <w:lang w:eastAsia="en-GB"/>
              </w:rPr>
            </w:pPr>
          </w:p>
        </w:tc>
        <w:tc>
          <w:tcPr>
            <w:tcW w:w="1416" w:type="dxa"/>
            <w:tcBorders>
              <w:top w:val="nil"/>
              <w:left w:val="nil"/>
              <w:bottom w:val="nil"/>
              <w:right w:val="nil"/>
            </w:tcBorders>
            <w:shd w:val="clear" w:color="auto" w:fill="auto"/>
            <w:vAlign w:val="bottom"/>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Applications</w:t>
            </w:r>
          </w:p>
        </w:tc>
        <w:tc>
          <w:tcPr>
            <w:tcW w:w="1273" w:type="dxa"/>
            <w:tcBorders>
              <w:top w:val="nil"/>
              <w:left w:val="nil"/>
              <w:bottom w:val="nil"/>
              <w:right w:val="nil"/>
            </w:tcBorders>
            <w:shd w:val="clear" w:color="auto" w:fill="auto"/>
            <w:vAlign w:val="bottom"/>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Shortlisted</w:t>
            </w:r>
          </w:p>
        </w:tc>
        <w:tc>
          <w:tcPr>
            <w:tcW w:w="1241" w:type="dxa"/>
            <w:tcBorders>
              <w:top w:val="nil"/>
              <w:left w:val="nil"/>
              <w:bottom w:val="nil"/>
              <w:right w:val="nil"/>
            </w:tcBorders>
            <w:shd w:val="clear" w:color="auto" w:fill="auto"/>
            <w:vAlign w:val="bottom"/>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Appointed</w:t>
            </w:r>
          </w:p>
        </w:tc>
        <w:tc>
          <w:tcPr>
            <w:tcW w:w="1254" w:type="dxa"/>
            <w:tcBorders>
              <w:top w:val="nil"/>
              <w:left w:val="nil"/>
              <w:bottom w:val="nil"/>
              <w:right w:val="nil"/>
            </w:tcBorders>
            <w:shd w:val="clear" w:color="auto" w:fill="auto"/>
            <w:vAlign w:val="bottom"/>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Workforce</w:t>
            </w:r>
          </w:p>
        </w:tc>
      </w:tr>
      <w:tr w:rsidR="00F3345C" w:rsidRPr="00AE49C8" w:rsidTr="006615AA">
        <w:trPr>
          <w:cantSplit/>
          <w:trHeight w:val="312"/>
          <w:tblHeader/>
          <w:jc w:val="center"/>
        </w:trPr>
        <w:tc>
          <w:tcPr>
            <w:tcW w:w="242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Asian</w:t>
            </w:r>
          </w:p>
        </w:tc>
        <w:tc>
          <w:tcPr>
            <w:tcW w:w="1416"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15.1%</w:t>
            </w:r>
          </w:p>
        </w:tc>
        <w:tc>
          <w:tcPr>
            <w:tcW w:w="127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8.4%</w:t>
            </w:r>
          </w:p>
        </w:tc>
        <w:tc>
          <w:tcPr>
            <w:tcW w:w="1241"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4.4%</w:t>
            </w:r>
          </w:p>
        </w:tc>
        <w:tc>
          <w:tcPr>
            <w:tcW w:w="1254"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9.6%</w:t>
            </w:r>
          </w:p>
        </w:tc>
      </w:tr>
      <w:tr w:rsidR="00F3345C" w:rsidRPr="00AE49C8" w:rsidTr="006615AA">
        <w:trPr>
          <w:cantSplit/>
          <w:trHeight w:val="312"/>
          <w:tblHeader/>
          <w:jc w:val="center"/>
        </w:trPr>
        <w:tc>
          <w:tcPr>
            <w:tcW w:w="242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Black</w:t>
            </w:r>
          </w:p>
        </w:tc>
        <w:tc>
          <w:tcPr>
            <w:tcW w:w="1416"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18.1%</w:t>
            </w:r>
          </w:p>
        </w:tc>
        <w:tc>
          <w:tcPr>
            <w:tcW w:w="127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10.1%</w:t>
            </w:r>
          </w:p>
        </w:tc>
        <w:tc>
          <w:tcPr>
            <w:tcW w:w="1241"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5.7%</w:t>
            </w:r>
          </w:p>
        </w:tc>
        <w:tc>
          <w:tcPr>
            <w:tcW w:w="1254"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2.9%</w:t>
            </w:r>
          </w:p>
        </w:tc>
      </w:tr>
      <w:tr w:rsidR="00F3345C" w:rsidRPr="00AE49C8" w:rsidTr="006615AA">
        <w:trPr>
          <w:cantSplit/>
          <w:trHeight w:val="312"/>
          <w:tblHeader/>
          <w:jc w:val="center"/>
        </w:trPr>
        <w:tc>
          <w:tcPr>
            <w:tcW w:w="242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Mixed</w:t>
            </w:r>
          </w:p>
        </w:tc>
        <w:tc>
          <w:tcPr>
            <w:tcW w:w="1416"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4.7%</w:t>
            </w:r>
          </w:p>
        </w:tc>
        <w:tc>
          <w:tcPr>
            <w:tcW w:w="127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3.5%</w:t>
            </w:r>
          </w:p>
        </w:tc>
        <w:tc>
          <w:tcPr>
            <w:tcW w:w="1241"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2.6%</w:t>
            </w:r>
          </w:p>
        </w:tc>
        <w:tc>
          <w:tcPr>
            <w:tcW w:w="1254"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3.0%</w:t>
            </w:r>
          </w:p>
        </w:tc>
      </w:tr>
      <w:tr w:rsidR="00F3345C" w:rsidRPr="00AE49C8" w:rsidTr="006615AA">
        <w:trPr>
          <w:cantSplit/>
          <w:trHeight w:val="312"/>
          <w:tblHeader/>
          <w:jc w:val="center"/>
        </w:trPr>
        <w:tc>
          <w:tcPr>
            <w:tcW w:w="242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1416"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4.8%</w:t>
            </w:r>
          </w:p>
        </w:tc>
        <w:tc>
          <w:tcPr>
            <w:tcW w:w="127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3.2%</w:t>
            </w:r>
          </w:p>
        </w:tc>
        <w:tc>
          <w:tcPr>
            <w:tcW w:w="1241"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2.0%</w:t>
            </w:r>
          </w:p>
        </w:tc>
        <w:tc>
          <w:tcPr>
            <w:tcW w:w="1254"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3.9%</w:t>
            </w:r>
          </w:p>
        </w:tc>
      </w:tr>
      <w:tr w:rsidR="00F3345C" w:rsidRPr="00AE49C8" w:rsidTr="006615AA">
        <w:trPr>
          <w:cantSplit/>
          <w:trHeight w:val="312"/>
          <w:tblHeader/>
          <w:jc w:val="center"/>
        </w:trPr>
        <w:tc>
          <w:tcPr>
            <w:tcW w:w="242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White</w:t>
            </w:r>
          </w:p>
        </w:tc>
        <w:tc>
          <w:tcPr>
            <w:tcW w:w="1416"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41.2%</w:t>
            </w:r>
          </w:p>
        </w:tc>
        <w:tc>
          <w:tcPr>
            <w:tcW w:w="127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53.3%</w:t>
            </w:r>
          </w:p>
        </w:tc>
        <w:tc>
          <w:tcPr>
            <w:tcW w:w="1241"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50.5%</w:t>
            </w:r>
          </w:p>
        </w:tc>
        <w:tc>
          <w:tcPr>
            <w:tcW w:w="1254"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65.1%</w:t>
            </w:r>
          </w:p>
        </w:tc>
      </w:tr>
      <w:tr w:rsidR="00F3345C" w:rsidRPr="00AE49C8" w:rsidTr="006615AA">
        <w:trPr>
          <w:cantSplit/>
          <w:trHeight w:val="312"/>
          <w:tblHeader/>
          <w:jc w:val="center"/>
        </w:trPr>
        <w:tc>
          <w:tcPr>
            <w:tcW w:w="242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White - Other</w:t>
            </w:r>
          </w:p>
        </w:tc>
        <w:tc>
          <w:tcPr>
            <w:tcW w:w="1416"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11.8%</w:t>
            </w:r>
          </w:p>
        </w:tc>
        <w:tc>
          <w:tcPr>
            <w:tcW w:w="127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12.7%</w:t>
            </w:r>
          </w:p>
        </w:tc>
        <w:tc>
          <w:tcPr>
            <w:tcW w:w="1241"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11.4%</w:t>
            </w:r>
          </w:p>
        </w:tc>
        <w:tc>
          <w:tcPr>
            <w:tcW w:w="1254"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12.6%</w:t>
            </w:r>
          </w:p>
        </w:tc>
      </w:tr>
      <w:tr w:rsidR="00F3345C" w:rsidRPr="00AE49C8" w:rsidTr="006615AA">
        <w:trPr>
          <w:cantSplit/>
          <w:trHeight w:val="312"/>
          <w:tblHeader/>
          <w:jc w:val="center"/>
        </w:trPr>
        <w:tc>
          <w:tcPr>
            <w:tcW w:w="242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416"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2.0%</w:t>
            </w:r>
          </w:p>
        </w:tc>
        <w:tc>
          <w:tcPr>
            <w:tcW w:w="127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241"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0.7%</w:t>
            </w:r>
          </w:p>
        </w:tc>
        <w:tc>
          <w:tcPr>
            <w:tcW w:w="1254"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F3345C" w:rsidRPr="00AE49C8" w:rsidTr="006615AA">
        <w:trPr>
          <w:cantSplit/>
          <w:trHeight w:val="312"/>
          <w:tblHeader/>
          <w:jc w:val="center"/>
        </w:trPr>
        <w:tc>
          <w:tcPr>
            <w:tcW w:w="242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416"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2.2%</w:t>
            </w:r>
          </w:p>
        </w:tc>
        <w:tc>
          <w:tcPr>
            <w:tcW w:w="127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7.3%</w:t>
            </w:r>
          </w:p>
        </w:tc>
        <w:tc>
          <w:tcPr>
            <w:tcW w:w="1241"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22.7%</w:t>
            </w:r>
          </w:p>
        </w:tc>
        <w:tc>
          <w:tcPr>
            <w:tcW w:w="1254"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2.9%</w:t>
            </w:r>
          </w:p>
        </w:tc>
      </w:tr>
      <w:tr w:rsidR="00F3345C" w:rsidRPr="00AE49C8" w:rsidTr="006615AA">
        <w:trPr>
          <w:cantSplit/>
          <w:trHeight w:val="312"/>
          <w:tblHeader/>
          <w:jc w:val="center"/>
        </w:trPr>
        <w:tc>
          <w:tcPr>
            <w:tcW w:w="242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Grand Total</w:t>
            </w:r>
          </w:p>
        </w:tc>
        <w:tc>
          <w:tcPr>
            <w:tcW w:w="1416"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27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241"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254"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F3345C" w:rsidRPr="00AE49C8" w:rsidRDefault="00F3345C" w:rsidP="00F3345C">
      <w:pPr>
        <w:spacing w:line="240" w:lineRule="auto"/>
        <w:rPr>
          <w:b/>
        </w:rPr>
      </w:pPr>
    </w:p>
    <w:p w:rsidR="00F3345C" w:rsidRPr="00AE49C8" w:rsidRDefault="00F3345C" w:rsidP="00F3345C">
      <w:pPr>
        <w:jc w:val="center"/>
        <w:rPr>
          <w:b/>
        </w:rPr>
      </w:pPr>
      <w:r w:rsidRPr="00AE49C8">
        <w:rPr>
          <w:noProof/>
          <w:lang w:eastAsia="en-GB"/>
        </w:rPr>
        <w:drawing>
          <wp:inline distT="0" distB="0" distL="0" distR="0" wp14:anchorId="66AD326D" wp14:editId="1D746B6C">
            <wp:extent cx="5731510" cy="2869491"/>
            <wp:effectExtent l="0" t="0" r="2540" b="7620"/>
            <wp:docPr id="57" name="Chart 57" title="Representation of ethnicity in recruitment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3345C" w:rsidRPr="000D2F61" w:rsidRDefault="00F3345C" w:rsidP="00F3345C">
      <w:r w:rsidRPr="000D2F61">
        <w:t>Observations</w:t>
      </w:r>
    </w:p>
    <w:p w:rsidR="00F3345C" w:rsidRPr="00AE49C8" w:rsidRDefault="00510302" w:rsidP="00510302">
      <w:pPr>
        <w:pStyle w:val="ListParagraph"/>
      </w:pPr>
      <w:r w:rsidRPr="00AE49C8">
        <w:t>Compar</w:t>
      </w:r>
      <w:r w:rsidR="000D2F61">
        <w:t>ed</w:t>
      </w:r>
      <w:r w:rsidRPr="00AE49C8">
        <w:t xml:space="preserve"> to the overall workforce representation, for the majority of the minority groups, there is a larger than expected representation at the application stage.  When progressing through to shortlisting and appointment, there is a progressive drop. This is particularly pronounced in Asian and Black candidates.</w:t>
      </w:r>
    </w:p>
    <w:p w:rsidR="00510302" w:rsidRPr="00AE49C8" w:rsidRDefault="00510302" w:rsidP="00510302">
      <w:pPr>
        <w:pStyle w:val="ListParagraph"/>
      </w:pPr>
      <w:r w:rsidRPr="00AE49C8">
        <w:t>There is a lower representation for white candidates throughout all stages of recruitment, but the representation progressively increases.</w:t>
      </w:r>
    </w:p>
    <w:p w:rsidR="00510302" w:rsidRPr="00AE49C8" w:rsidRDefault="00510302" w:rsidP="00510302">
      <w:pPr>
        <w:pStyle w:val="ListParagraph"/>
      </w:pPr>
      <w:r w:rsidRPr="00AE49C8">
        <w:t>White-Other candidates are relatively in line and consistent with the workforce representation throughout all stages of recruitment.</w:t>
      </w:r>
    </w:p>
    <w:p w:rsidR="00510302" w:rsidRPr="00AE49C8" w:rsidRDefault="00510302" w:rsidP="00510302">
      <w:pPr>
        <w:pStyle w:val="ListParagraph"/>
      </w:pPr>
      <w:r w:rsidRPr="00AE49C8">
        <w:t>There is a disproportionately high number of candidates where their ethnicity is not known that have been appointed.</w:t>
      </w:r>
    </w:p>
    <w:p w:rsidR="00F3345C" w:rsidRPr="00AE49C8" w:rsidRDefault="00F3345C" w:rsidP="00F3345C">
      <w:pPr>
        <w:spacing w:line="240" w:lineRule="auto"/>
        <w:rPr>
          <w:b/>
        </w:rPr>
      </w:pPr>
      <w:r w:rsidRPr="00AE49C8">
        <w:rPr>
          <w:b/>
        </w:rPr>
        <w:lastRenderedPageBreak/>
        <w:t>WSHT</w:t>
      </w:r>
    </w:p>
    <w:tbl>
      <w:tblPr>
        <w:tblW w:w="7299" w:type="dxa"/>
        <w:jc w:val="center"/>
        <w:tblLook w:val="04A0" w:firstRow="1" w:lastRow="0" w:firstColumn="1" w:lastColumn="0" w:noHBand="0" w:noVBand="1"/>
        <w:tblCaption w:val="Representation of ethnicity in recruitment"/>
      </w:tblPr>
      <w:tblGrid>
        <w:gridCol w:w="2000"/>
        <w:gridCol w:w="1657"/>
        <w:gridCol w:w="1470"/>
        <w:gridCol w:w="1403"/>
        <w:gridCol w:w="1403"/>
      </w:tblGrid>
      <w:tr w:rsidR="00F3345C" w:rsidRPr="00AE49C8" w:rsidTr="006615AA">
        <w:trPr>
          <w:cantSplit/>
          <w:trHeight w:val="936"/>
          <w:tblHeader/>
          <w:jc w:val="center"/>
        </w:trPr>
        <w:tc>
          <w:tcPr>
            <w:tcW w:w="2000" w:type="dxa"/>
            <w:tcBorders>
              <w:top w:val="nil"/>
              <w:left w:val="nil"/>
              <w:bottom w:val="nil"/>
              <w:right w:val="nil"/>
            </w:tcBorders>
            <w:shd w:val="clear" w:color="auto" w:fill="auto"/>
            <w:vAlign w:val="bottom"/>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Ethnicity</w:t>
            </w:r>
          </w:p>
        </w:tc>
        <w:tc>
          <w:tcPr>
            <w:tcW w:w="1452" w:type="dxa"/>
            <w:tcBorders>
              <w:top w:val="nil"/>
              <w:left w:val="nil"/>
              <w:bottom w:val="nil"/>
              <w:right w:val="nil"/>
            </w:tcBorders>
            <w:shd w:val="clear" w:color="auto" w:fill="auto"/>
            <w:vAlign w:val="bottom"/>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Applications</w:t>
            </w:r>
          </w:p>
        </w:tc>
        <w:tc>
          <w:tcPr>
            <w:tcW w:w="1303" w:type="dxa"/>
            <w:tcBorders>
              <w:top w:val="nil"/>
              <w:left w:val="nil"/>
              <w:bottom w:val="nil"/>
              <w:right w:val="nil"/>
            </w:tcBorders>
            <w:shd w:val="clear" w:color="auto" w:fill="auto"/>
            <w:vAlign w:val="bottom"/>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Shortlisted</w:t>
            </w:r>
          </w:p>
        </w:tc>
        <w:tc>
          <w:tcPr>
            <w:tcW w:w="1269" w:type="dxa"/>
            <w:tcBorders>
              <w:top w:val="nil"/>
              <w:left w:val="nil"/>
              <w:bottom w:val="nil"/>
              <w:right w:val="nil"/>
            </w:tcBorders>
            <w:shd w:val="clear" w:color="auto" w:fill="auto"/>
            <w:vAlign w:val="bottom"/>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Appointed</w:t>
            </w:r>
          </w:p>
        </w:tc>
        <w:tc>
          <w:tcPr>
            <w:tcW w:w="1275" w:type="dxa"/>
            <w:tcBorders>
              <w:top w:val="nil"/>
              <w:left w:val="nil"/>
              <w:bottom w:val="nil"/>
              <w:right w:val="nil"/>
            </w:tcBorders>
            <w:shd w:val="clear" w:color="auto" w:fill="auto"/>
            <w:vAlign w:val="bottom"/>
            <w:hideMark/>
          </w:tcPr>
          <w:p w:rsidR="00F3345C" w:rsidRPr="00AE49C8" w:rsidRDefault="00F3345C" w:rsidP="00F3345C">
            <w:pPr>
              <w:spacing w:after="0" w:line="240" w:lineRule="auto"/>
              <w:rPr>
                <w:rFonts w:eastAsia="Times New Roman"/>
                <w:b/>
                <w:color w:val="000000"/>
                <w:szCs w:val="24"/>
                <w:lang w:eastAsia="en-GB"/>
              </w:rPr>
            </w:pPr>
            <w:r w:rsidRPr="00AE49C8">
              <w:rPr>
                <w:rFonts w:eastAsia="Times New Roman"/>
                <w:b/>
                <w:color w:val="000000"/>
                <w:szCs w:val="24"/>
                <w:lang w:eastAsia="en-GB"/>
              </w:rPr>
              <w:t>Workforce</w:t>
            </w:r>
          </w:p>
        </w:tc>
      </w:tr>
      <w:tr w:rsidR="00F3345C" w:rsidRPr="00AE49C8" w:rsidTr="006615AA">
        <w:trPr>
          <w:cantSplit/>
          <w:trHeight w:val="312"/>
          <w:tblHeader/>
          <w:jc w:val="center"/>
        </w:trPr>
        <w:tc>
          <w:tcPr>
            <w:tcW w:w="2000"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Asian</w:t>
            </w:r>
          </w:p>
        </w:tc>
        <w:tc>
          <w:tcPr>
            <w:tcW w:w="1452"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19.0%</w:t>
            </w:r>
          </w:p>
        </w:tc>
        <w:tc>
          <w:tcPr>
            <w:tcW w:w="130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12.2%</w:t>
            </w:r>
          </w:p>
        </w:tc>
        <w:tc>
          <w:tcPr>
            <w:tcW w:w="1269"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8.2%</w:t>
            </w:r>
          </w:p>
        </w:tc>
        <w:tc>
          <w:tcPr>
            <w:tcW w:w="127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11.1%</w:t>
            </w:r>
          </w:p>
        </w:tc>
      </w:tr>
      <w:tr w:rsidR="00F3345C" w:rsidRPr="00AE49C8" w:rsidTr="006615AA">
        <w:trPr>
          <w:cantSplit/>
          <w:trHeight w:val="312"/>
          <w:tblHeader/>
          <w:jc w:val="center"/>
        </w:trPr>
        <w:tc>
          <w:tcPr>
            <w:tcW w:w="2000"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Black</w:t>
            </w:r>
          </w:p>
        </w:tc>
        <w:tc>
          <w:tcPr>
            <w:tcW w:w="1452"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17.9%</w:t>
            </w:r>
          </w:p>
        </w:tc>
        <w:tc>
          <w:tcPr>
            <w:tcW w:w="130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3.8%</w:t>
            </w:r>
          </w:p>
        </w:tc>
        <w:tc>
          <w:tcPr>
            <w:tcW w:w="1269"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3.0%</w:t>
            </w:r>
          </w:p>
        </w:tc>
        <w:tc>
          <w:tcPr>
            <w:tcW w:w="127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1.8%</w:t>
            </w:r>
          </w:p>
        </w:tc>
      </w:tr>
      <w:tr w:rsidR="00F3345C" w:rsidRPr="00AE49C8" w:rsidTr="006615AA">
        <w:trPr>
          <w:cantSplit/>
          <w:trHeight w:val="312"/>
          <w:tblHeader/>
          <w:jc w:val="center"/>
        </w:trPr>
        <w:tc>
          <w:tcPr>
            <w:tcW w:w="2000"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Mixed</w:t>
            </w:r>
          </w:p>
        </w:tc>
        <w:tc>
          <w:tcPr>
            <w:tcW w:w="1452"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3.6%</w:t>
            </w:r>
          </w:p>
        </w:tc>
        <w:tc>
          <w:tcPr>
            <w:tcW w:w="130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1.8%</w:t>
            </w:r>
          </w:p>
        </w:tc>
        <w:tc>
          <w:tcPr>
            <w:tcW w:w="1269"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1.3%</w:t>
            </w:r>
          </w:p>
        </w:tc>
        <w:tc>
          <w:tcPr>
            <w:tcW w:w="127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1.5%</w:t>
            </w:r>
          </w:p>
        </w:tc>
      </w:tr>
      <w:tr w:rsidR="00F3345C" w:rsidRPr="00AE49C8" w:rsidTr="006615AA">
        <w:trPr>
          <w:cantSplit/>
          <w:trHeight w:val="312"/>
          <w:tblHeader/>
          <w:jc w:val="center"/>
        </w:trPr>
        <w:tc>
          <w:tcPr>
            <w:tcW w:w="2000"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1452"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5.0%</w:t>
            </w:r>
          </w:p>
        </w:tc>
        <w:tc>
          <w:tcPr>
            <w:tcW w:w="130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2.2%</w:t>
            </w:r>
          </w:p>
        </w:tc>
        <w:tc>
          <w:tcPr>
            <w:tcW w:w="1269"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1.1%</w:t>
            </w:r>
          </w:p>
        </w:tc>
        <w:tc>
          <w:tcPr>
            <w:tcW w:w="127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3.7%</w:t>
            </w:r>
          </w:p>
        </w:tc>
      </w:tr>
      <w:tr w:rsidR="00F3345C" w:rsidRPr="00AE49C8" w:rsidTr="006615AA">
        <w:trPr>
          <w:cantSplit/>
          <w:trHeight w:val="312"/>
          <w:tblHeader/>
          <w:jc w:val="center"/>
        </w:trPr>
        <w:tc>
          <w:tcPr>
            <w:tcW w:w="2000"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White</w:t>
            </w:r>
          </w:p>
        </w:tc>
        <w:tc>
          <w:tcPr>
            <w:tcW w:w="1452"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45.1%</w:t>
            </w:r>
          </w:p>
        </w:tc>
        <w:tc>
          <w:tcPr>
            <w:tcW w:w="130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69.6%</w:t>
            </w:r>
          </w:p>
        </w:tc>
        <w:tc>
          <w:tcPr>
            <w:tcW w:w="1269"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74.2%</w:t>
            </w:r>
          </w:p>
        </w:tc>
        <w:tc>
          <w:tcPr>
            <w:tcW w:w="127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68.4%</w:t>
            </w:r>
          </w:p>
        </w:tc>
      </w:tr>
      <w:tr w:rsidR="00F3345C" w:rsidRPr="00AE49C8" w:rsidTr="006615AA">
        <w:trPr>
          <w:cantSplit/>
          <w:trHeight w:val="312"/>
          <w:tblHeader/>
          <w:jc w:val="center"/>
        </w:trPr>
        <w:tc>
          <w:tcPr>
            <w:tcW w:w="2000"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White - Other</w:t>
            </w:r>
          </w:p>
        </w:tc>
        <w:tc>
          <w:tcPr>
            <w:tcW w:w="1452"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7.4%</w:t>
            </w:r>
          </w:p>
        </w:tc>
        <w:tc>
          <w:tcPr>
            <w:tcW w:w="130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7.6%</w:t>
            </w:r>
          </w:p>
        </w:tc>
        <w:tc>
          <w:tcPr>
            <w:tcW w:w="1269"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7.3%</w:t>
            </w:r>
          </w:p>
        </w:tc>
        <w:tc>
          <w:tcPr>
            <w:tcW w:w="127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8.2%</w:t>
            </w:r>
          </w:p>
        </w:tc>
      </w:tr>
      <w:tr w:rsidR="00F3345C" w:rsidRPr="00AE49C8" w:rsidTr="006615AA">
        <w:trPr>
          <w:cantSplit/>
          <w:trHeight w:val="312"/>
          <w:tblHeader/>
          <w:jc w:val="center"/>
        </w:trPr>
        <w:tc>
          <w:tcPr>
            <w:tcW w:w="2000"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452"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30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1.4%</w:t>
            </w:r>
          </w:p>
        </w:tc>
        <w:tc>
          <w:tcPr>
            <w:tcW w:w="1269"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0.9%</w:t>
            </w:r>
          </w:p>
        </w:tc>
        <w:tc>
          <w:tcPr>
            <w:tcW w:w="127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F3345C" w:rsidRPr="00AE49C8" w:rsidTr="006615AA">
        <w:trPr>
          <w:cantSplit/>
          <w:trHeight w:val="312"/>
          <w:tblHeader/>
          <w:jc w:val="center"/>
        </w:trPr>
        <w:tc>
          <w:tcPr>
            <w:tcW w:w="2000"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452"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130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269"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3.9%</w:t>
            </w:r>
          </w:p>
        </w:tc>
        <w:tc>
          <w:tcPr>
            <w:tcW w:w="127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5.3%</w:t>
            </w:r>
          </w:p>
        </w:tc>
      </w:tr>
      <w:tr w:rsidR="00F3345C" w:rsidRPr="00AE49C8" w:rsidTr="006615AA">
        <w:trPr>
          <w:cantSplit/>
          <w:trHeight w:val="312"/>
          <w:tblHeader/>
          <w:jc w:val="center"/>
        </w:trPr>
        <w:tc>
          <w:tcPr>
            <w:tcW w:w="2000"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Total</w:t>
            </w:r>
          </w:p>
        </w:tc>
        <w:tc>
          <w:tcPr>
            <w:tcW w:w="1452"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303"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269"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275" w:type="dxa"/>
            <w:tcBorders>
              <w:top w:val="nil"/>
              <w:left w:val="nil"/>
              <w:bottom w:val="nil"/>
              <w:right w:val="nil"/>
            </w:tcBorders>
            <w:shd w:val="clear" w:color="auto" w:fill="auto"/>
            <w:noWrap/>
            <w:vAlign w:val="bottom"/>
            <w:hideMark/>
          </w:tcPr>
          <w:p w:rsidR="00F3345C" w:rsidRPr="00AE49C8" w:rsidRDefault="00F3345C" w:rsidP="00F3345C">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F3345C" w:rsidRPr="00AE49C8" w:rsidRDefault="00F3345C" w:rsidP="00F3345C">
      <w:pPr>
        <w:spacing w:line="240" w:lineRule="auto"/>
        <w:jc w:val="center"/>
        <w:rPr>
          <w:b/>
        </w:rPr>
      </w:pPr>
    </w:p>
    <w:p w:rsidR="00F3345C" w:rsidRPr="00AE49C8" w:rsidRDefault="00F3345C" w:rsidP="00F3345C">
      <w:pPr>
        <w:jc w:val="center"/>
        <w:rPr>
          <w:b/>
        </w:rPr>
      </w:pPr>
      <w:r w:rsidRPr="00AE49C8">
        <w:rPr>
          <w:noProof/>
          <w:lang w:eastAsia="en-GB"/>
        </w:rPr>
        <w:drawing>
          <wp:inline distT="0" distB="0" distL="0" distR="0" wp14:anchorId="1649D053" wp14:editId="28C9BB92">
            <wp:extent cx="5731510" cy="2869491"/>
            <wp:effectExtent l="0" t="0" r="2540" b="7620"/>
            <wp:docPr id="58" name="Chart 58" title="Representation of ethnicity in recruitment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3345C" w:rsidRPr="000D2F61" w:rsidRDefault="00F3345C" w:rsidP="00F3345C">
      <w:r w:rsidRPr="000D2F61">
        <w:t>Observations</w:t>
      </w:r>
    </w:p>
    <w:p w:rsidR="00F3345C" w:rsidRPr="00AE49C8" w:rsidRDefault="00C72DC3" w:rsidP="00C72DC3">
      <w:pPr>
        <w:pStyle w:val="ListParagraph"/>
      </w:pPr>
      <w:r w:rsidRPr="00AE49C8">
        <w:t>Compar</w:t>
      </w:r>
      <w:r w:rsidR="000D2F61">
        <w:t>ed</w:t>
      </w:r>
      <w:r w:rsidRPr="00AE49C8">
        <w:t xml:space="preserve"> to the overall workforce representation, for most minority groups, there is a large representation at the application stage.  However, when progressing to shortlisting and appointment stages, there is a progressive drop in representation.  The drop is quite pronounced in Asian, Black and Other ethnicity groups.</w:t>
      </w:r>
    </w:p>
    <w:p w:rsidR="00701CAB" w:rsidRPr="00AE49C8" w:rsidRDefault="00701CAB" w:rsidP="00C72DC3">
      <w:pPr>
        <w:pStyle w:val="ListParagraph"/>
      </w:pPr>
      <w:r w:rsidRPr="00AE49C8">
        <w:t>For White candidates, there are proportionally fewer applicants at the application stage than the overall workforce representation; as candidates progress through to shortlisting and appointment stages, the proportion of white candidates increases (greater than the overall workforce representation).</w:t>
      </w:r>
    </w:p>
    <w:p w:rsidR="00701CAB" w:rsidRPr="00AE49C8" w:rsidRDefault="00701CAB" w:rsidP="00C72DC3">
      <w:pPr>
        <w:pStyle w:val="ListParagraph"/>
      </w:pPr>
      <w:r w:rsidRPr="00AE49C8">
        <w:lastRenderedPageBreak/>
        <w:t>For White-Other candidates, the representation at all stages in recruitment is slightly lower than the overall workforce representation; however, the representation remains relatively consistent through the recruitment stages.</w:t>
      </w:r>
    </w:p>
    <w:p w:rsidR="00F3345C" w:rsidRPr="00AE49C8" w:rsidRDefault="00F3345C" w:rsidP="00701CAB">
      <w:pPr>
        <w:pStyle w:val="Heading3"/>
      </w:pPr>
      <w:bookmarkStart w:id="49" w:name="_Toc88633996"/>
      <w:r w:rsidRPr="00AE49C8">
        <w:t>Uptake of non-mandatory training or continuing professional development</w:t>
      </w:r>
      <w:bookmarkEnd w:id="49"/>
    </w:p>
    <w:p w:rsidR="00F3345C" w:rsidRPr="00AE49C8" w:rsidRDefault="000C64DA" w:rsidP="00F3345C">
      <w:pPr>
        <w:rPr>
          <w:b/>
        </w:rPr>
      </w:pPr>
      <w:r>
        <w:rPr>
          <w:b/>
        </w:rPr>
        <w:br/>
      </w:r>
      <w:r w:rsidR="00F3345C" w:rsidRPr="00AE49C8">
        <w:rPr>
          <w:b/>
        </w:rPr>
        <w:t>BSUH</w:t>
      </w:r>
    </w:p>
    <w:tbl>
      <w:tblPr>
        <w:tblW w:w="8944" w:type="dxa"/>
        <w:tblInd w:w="93" w:type="dxa"/>
        <w:tblLook w:val="04A0" w:firstRow="1" w:lastRow="0" w:firstColumn="1" w:lastColumn="0" w:noHBand="0" w:noVBand="1"/>
        <w:tblCaption w:val="Uptake of non-mandatory/CPD training by ethnicity"/>
      </w:tblPr>
      <w:tblGrid>
        <w:gridCol w:w="1858"/>
        <w:gridCol w:w="2971"/>
        <w:gridCol w:w="2410"/>
        <w:gridCol w:w="1884"/>
      </w:tblGrid>
      <w:tr w:rsidR="0096180E" w:rsidRPr="00AE49C8" w:rsidTr="00701CAB">
        <w:trPr>
          <w:cantSplit/>
          <w:trHeight w:val="288"/>
          <w:tblHeader/>
        </w:trPr>
        <w:tc>
          <w:tcPr>
            <w:tcW w:w="1858"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color w:val="000000"/>
                <w:lang w:eastAsia="en-GB"/>
              </w:rPr>
            </w:pPr>
            <w:r w:rsidRPr="00AE49C8">
              <w:rPr>
                <w:rFonts w:eastAsia="Times New Roman"/>
                <w:b/>
                <w:color w:val="000000"/>
                <w:lang w:eastAsia="en-GB"/>
              </w:rPr>
              <w:t>Ethnicity</w:t>
            </w:r>
          </w:p>
        </w:tc>
        <w:tc>
          <w:tcPr>
            <w:tcW w:w="2971"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color w:val="000000"/>
                <w:lang w:eastAsia="en-GB"/>
              </w:rPr>
            </w:pPr>
            <w:r w:rsidRPr="00AE49C8">
              <w:rPr>
                <w:rFonts w:eastAsia="Times New Roman"/>
                <w:b/>
                <w:color w:val="000000"/>
                <w:lang w:eastAsia="en-GB"/>
              </w:rPr>
              <w:t>No. of staff attending training</w:t>
            </w:r>
          </w:p>
        </w:tc>
        <w:tc>
          <w:tcPr>
            <w:tcW w:w="2410"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color w:val="000000"/>
                <w:lang w:eastAsia="en-GB"/>
              </w:rPr>
            </w:pPr>
            <w:r w:rsidRPr="00AE49C8">
              <w:rPr>
                <w:rFonts w:eastAsia="Times New Roman"/>
                <w:b/>
                <w:color w:val="000000"/>
                <w:lang w:eastAsia="en-GB"/>
              </w:rPr>
              <w:t>% staff attending training</w:t>
            </w:r>
          </w:p>
        </w:tc>
        <w:tc>
          <w:tcPr>
            <w:tcW w:w="1705"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color w:val="000000"/>
                <w:lang w:eastAsia="en-GB"/>
              </w:rPr>
            </w:pPr>
            <w:r w:rsidRPr="00AE49C8">
              <w:rPr>
                <w:rFonts w:eastAsia="Times New Roman"/>
                <w:b/>
                <w:color w:val="000000"/>
                <w:lang w:eastAsia="en-GB"/>
              </w:rPr>
              <w:t>Workforce representation</w:t>
            </w:r>
          </w:p>
        </w:tc>
      </w:tr>
      <w:tr w:rsidR="0096180E" w:rsidRPr="00AE49C8" w:rsidTr="00701CAB">
        <w:trPr>
          <w:cantSplit/>
          <w:trHeight w:val="288"/>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Asian</w:t>
            </w:r>
          </w:p>
        </w:tc>
        <w:tc>
          <w:tcPr>
            <w:tcW w:w="297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39</w:t>
            </w:r>
          </w:p>
        </w:tc>
        <w:tc>
          <w:tcPr>
            <w:tcW w:w="241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11.7%</w:t>
            </w:r>
          </w:p>
        </w:tc>
        <w:tc>
          <w:tcPr>
            <w:tcW w:w="170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9.6%</w:t>
            </w:r>
          </w:p>
        </w:tc>
      </w:tr>
      <w:tr w:rsidR="0096180E" w:rsidRPr="00AE49C8" w:rsidTr="00701CAB">
        <w:trPr>
          <w:cantSplit/>
          <w:trHeight w:val="288"/>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Black</w:t>
            </w:r>
          </w:p>
        </w:tc>
        <w:tc>
          <w:tcPr>
            <w:tcW w:w="297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4</w:t>
            </w:r>
          </w:p>
        </w:tc>
        <w:tc>
          <w:tcPr>
            <w:tcW w:w="241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1.2%</w:t>
            </w:r>
          </w:p>
        </w:tc>
        <w:tc>
          <w:tcPr>
            <w:tcW w:w="170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2.9%</w:t>
            </w:r>
          </w:p>
        </w:tc>
      </w:tr>
      <w:tr w:rsidR="0096180E" w:rsidRPr="00AE49C8" w:rsidTr="00701CAB">
        <w:trPr>
          <w:cantSplit/>
          <w:trHeight w:val="288"/>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Mixed</w:t>
            </w:r>
          </w:p>
        </w:tc>
        <w:tc>
          <w:tcPr>
            <w:tcW w:w="297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9</w:t>
            </w:r>
          </w:p>
        </w:tc>
        <w:tc>
          <w:tcPr>
            <w:tcW w:w="241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2.7%</w:t>
            </w:r>
          </w:p>
        </w:tc>
        <w:tc>
          <w:tcPr>
            <w:tcW w:w="170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3.0%</w:t>
            </w:r>
          </w:p>
        </w:tc>
      </w:tr>
      <w:tr w:rsidR="0096180E" w:rsidRPr="00AE49C8" w:rsidTr="00701CAB">
        <w:trPr>
          <w:cantSplit/>
          <w:trHeight w:val="288"/>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Other</w:t>
            </w:r>
          </w:p>
        </w:tc>
        <w:tc>
          <w:tcPr>
            <w:tcW w:w="297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18</w:t>
            </w:r>
          </w:p>
        </w:tc>
        <w:tc>
          <w:tcPr>
            <w:tcW w:w="241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5.4%</w:t>
            </w:r>
          </w:p>
        </w:tc>
        <w:tc>
          <w:tcPr>
            <w:tcW w:w="170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3.9%</w:t>
            </w:r>
          </w:p>
        </w:tc>
      </w:tr>
      <w:tr w:rsidR="0096180E" w:rsidRPr="00AE49C8" w:rsidTr="00701CAB">
        <w:trPr>
          <w:cantSplit/>
          <w:trHeight w:val="288"/>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White</w:t>
            </w:r>
          </w:p>
        </w:tc>
        <w:tc>
          <w:tcPr>
            <w:tcW w:w="297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232</w:t>
            </w:r>
          </w:p>
        </w:tc>
        <w:tc>
          <w:tcPr>
            <w:tcW w:w="241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69.5%</w:t>
            </w:r>
          </w:p>
        </w:tc>
        <w:tc>
          <w:tcPr>
            <w:tcW w:w="170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65.1%</w:t>
            </w:r>
          </w:p>
        </w:tc>
      </w:tr>
      <w:tr w:rsidR="0096180E" w:rsidRPr="00AE49C8" w:rsidTr="00701CAB">
        <w:trPr>
          <w:cantSplit/>
          <w:trHeight w:val="288"/>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White - Other</w:t>
            </w:r>
          </w:p>
        </w:tc>
        <w:tc>
          <w:tcPr>
            <w:tcW w:w="297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29</w:t>
            </w:r>
          </w:p>
        </w:tc>
        <w:tc>
          <w:tcPr>
            <w:tcW w:w="241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8.7%</w:t>
            </w:r>
          </w:p>
        </w:tc>
        <w:tc>
          <w:tcPr>
            <w:tcW w:w="170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12.6%</w:t>
            </w:r>
          </w:p>
        </w:tc>
      </w:tr>
      <w:tr w:rsidR="0096180E" w:rsidRPr="00AE49C8" w:rsidTr="00701CAB">
        <w:trPr>
          <w:cantSplit/>
          <w:trHeight w:val="288"/>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Prefer not to say</w:t>
            </w:r>
          </w:p>
        </w:tc>
        <w:tc>
          <w:tcPr>
            <w:tcW w:w="297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3</w:t>
            </w:r>
          </w:p>
        </w:tc>
        <w:tc>
          <w:tcPr>
            <w:tcW w:w="241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0.9%</w:t>
            </w:r>
          </w:p>
        </w:tc>
        <w:tc>
          <w:tcPr>
            <w:tcW w:w="170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p>
        </w:tc>
      </w:tr>
      <w:tr w:rsidR="0096180E" w:rsidRPr="00AE49C8" w:rsidTr="00701CAB">
        <w:trPr>
          <w:cantSplit/>
          <w:trHeight w:val="288"/>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Unknown</w:t>
            </w:r>
          </w:p>
        </w:tc>
        <w:tc>
          <w:tcPr>
            <w:tcW w:w="297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p>
        </w:tc>
        <w:tc>
          <w:tcPr>
            <w:tcW w:w="241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p>
        </w:tc>
        <w:tc>
          <w:tcPr>
            <w:tcW w:w="170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2.9%</w:t>
            </w:r>
          </w:p>
        </w:tc>
      </w:tr>
      <w:tr w:rsidR="0096180E" w:rsidRPr="00AE49C8" w:rsidTr="00701CAB">
        <w:trPr>
          <w:cantSplit/>
          <w:trHeight w:val="288"/>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Grand Total</w:t>
            </w:r>
          </w:p>
        </w:tc>
        <w:tc>
          <w:tcPr>
            <w:tcW w:w="297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r w:rsidRPr="00AE49C8">
              <w:rPr>
                <w:rFonts w:eastAsia="Times New Roman"/>
                <w:color w:val="000000"/>
                <w:lang w:eastAsia="en-GB"/>
              </w:rPr>
              <w:t>334</w:t>
            </w:r>
          </w:p>
        </w:tc>
        <w:tc>
          <w:tcPr>
            <w:tcW w:w="2410" w:type="dxa"/>
            <w:tcBorders>
              <w:top w:val="nil"/>
              <w:left w:val="nil"/>
              <w:bottom w:val="nil"/>
              <w:right w:val="nil"/>
            </w:tcBorders>
            <w:shd w:val="clear" w:color="auto" w:fill="auto"/>
            <w:noWrap/>
            <w:vAlign w:val="bottom"/>
            <w:hideMark/>
          </w:tcPr>
          <w:p w:rsidR="0096180E" w:rsidRPr="00AE49C8" w:rsidRDefault="00EF1AA7" w:rsidP="00EF1AA7">
            <w:pPr>
              <w:spacing w:after="0" w:line="240" w:lineRule="auto"/>
              <w:rPr>
                <w:rFonts w:eastAsia="Times New Roman"/>
                <w:color w:val="000000"/>
                <w:lang w:eastAsia="en-GB"/>
              </w:rPr>
            </w:pPr>
            <w:r w:rsidRPr="00AE49C8">
              <w:rPr>
                <w:rFonts w:eastAsia="Times New Roman"/>
                <w:color w:val="000000"/>
                <w:lang w:eastAsia="en-GB"/>
              </w:rPr>
              <w:t>100</w:t>
            </w:r>
            <w:r w:rsidR="0096180E" w:rsidRPr="00AE49C8">
              <w:rPr>
                <w:rFonts w:eastAsia="Times New Roman"/>
                <w:color w:val="000000"/>
                <w:lang w:eastAsia="en-GB"/>
              </w:rPr>
              <w:t>.</w:t>
            </w:r>
            <w:r w:rsidRPr="00AE49C8">
              <w:rPr>
                <w:rFonts w:eastAsia="Times New Roman"/>
                <w:color w:val="000000"/>
                <w:lang w:eastAsia="en-GB"/>
              </w:rPr>
              <w:t>0</w:t>
            </w:r>
            <w:r w:rsidR="0096180E" w:rsidRPr="00AE49C8">
              <w:rPr>
                <w:rFonts w:eastAsia="Times New Roman"/>
                <w:color w:val="000000"/>
                <w:lang w:eastAsia="en-GB"/>
              </w:rPr>
              <w:t>%</w:t>
            </w:r>
          </w:p>
        </w:tc>
        <w:tc>
          <w:tcPr>
            <w:tcW w:w="170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lang w:eastAsia="en-GB"/>
              </w:rPr>
            </w:pPr>
          </w:p>
        </w:tc>
      </w:tr>
    </w:tbl>
    <w:p w:rsidR="00F3345C" w:rsidRPr="00AE49C8" w:rsidRDefault="00F3345C" w:rsidP="00F3345C">
      <w:pPr>
        <w:jc w:val="center"/>
        <w:rPr>
          <w:b/>
        </w:rPr>
      </w:pPr>
    </w:p>
    <w:p w:rsidR="00F3345C" w:rsidRPr="00AE49C8" w:rsidRDefault="0096180E" w:rsidP="00F3345C">
      <w:pPr>
        <w:jc w:val="center"/>
        <w:rPr>
          <w:b/>
        </w:rPr>
      </w:pPr>
      <w:r w:rsidRPr="00AE49C8">
        <w:rPr>
          <w:noProof/>
          <w:lang w:eastAsia="en-GB"/>
        </w:rPr>
        <w:drawing>
          <wp:inline distT="0" distB="0" distL="0" distR="0" wp14:anchorId="5E2DAB73" wp14:editId="19174BB2">
            <wp:extent cx="5059680" cy="3188970"/>
            <wp:effectExtent l="0" t="0" r="7620" b="0"/>
            <wp:docPr id="59" name="Chart 59" title="Uptake of non-mandatory/CPD training by ethnicity compared to the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3345C" w:rsidRPr="000D2F61" w:rsidRDefault="00F3345C" w:rsidP="00F3345C">
      <w:r w:rsidRPr="000D2F61">
        <w:t>Observations</w:t>
      </w:r>
    </w:p>
    <w:p w:rsidR="00F3345C" w:rsidRPr="00AE49C8" w:rsidRDefault="007D42A5" w:rsidP="00701CAB">
      <w:pPr>
        <w:pStyle w:val="ListParagraph"/>
      </w:pPr>
      <w:r w:rsidRPr="00AE49C8">
        <w:t>Asian, Mixed, other ethnicities, and White staff have an equal or greater representation in training than the overall workforce representation.</w:t>
      </w:r>
    </w:p>
    <w:p w:rsidR="007D42A5" w:rsidRPr="00AE49C8" w:rsidRDefault="007D42A5" w:rsidP="00701CAB">
      <w:pPr>
        <w:pStyle w:val="ListParagraph"/>
      </w:pPr>
      <w:r w:rsidRPr="00AE49C8">
        <w:t>Black and White-Other have a lower representation in training compared to the overall workforce representation.</w:t>
      </w:r>
    </w:p>
    <w:p w:rsidR="00C92A79" w:rsidRDefault="00C92A79">
      <w:pPr>
        <w:widowControl w:val="0"/>
        <w:rPr>
          <w:b/>
        </w:rPr>
      </w:pPr>
      <w:r>
        <w:rPr>
          <w:b/>
        </w:rPr>
        <w:br w:type="page"/>
      </w:r>
    </w:p>
    <w:p w:rsidR="00F3345C" w:rsidRPr="00AE49C8" w:rsidRDefault="00F3345C" w:rsidP="00F3345C">
      <w:pPr>
        <w:rPr>
          <w:b/>
        </w:rPr>
      </w:pPr>
      <w:r w:rsidRPr="00AE49C8">
        <w:rPr>
          <w:b/>
        </w:rPr>
        <w:lastRenderedPageBreak/>
        <w:t>WSHT</w:t>
      </w:r>
    </w:p>
    <w:tbl>
      <w:tblPr>
        <w:tblW w:w="8350" w:type="dxa"/>
        <w:jc w:val="center"/>
        <w:tblLook w:val="04A0" w:firstRow="1" w:lastRow="0" w:firstColumn="1" w:lastColumn="0" w:noHBand="0" w:noVBand="1"/>
        <w:tblCaption w:val="Uptake of non-mandatory/CPD training by ethnicity"/>
      </w:tblPr>
      <w:tblGrid>
        <w:gridCol w:w="1580"/>
        <w:gridCol w:w="2830"/>
        <w:gridCol w:w="2268"/>
        <w:gridCol w:w="1884"/>
      </w:tblGrid>
      <w:tr w:rsidR="0096180E" w:rsidRPr="00AE49C8" w:rsidTr="00701CAB">
        <w:trPr>
          <w:cantSplit/>
          <w:trHeight w:val="312"/>
          <w:tblHeader/>
          <w:jc w:val="center"/>
        </w:trPr>
        <w:tc>
          <w:tcPr>
            <w:tcW w:w="1580"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color w:val="000000"/>
                <w:szCs w:val="24"/>
                <w:lang w:eastAsia="en-GB"/>
              </w:rPr>
            </w:pPr>
            <w:r w:rsidRPr="00AE49C8">
              <w:rPr>
                <w:rFonts w:eastAsia="Times New Roman"/>
                <w:b/>
                <w:color w:val="000000"/>
                <w:szCs w:val="24"/>
                <w:lang w:eastAsia="en-GB"/>
              </w:rPr>
              <w:t>Ethnicity</w:t>
            </w:r>
          </w:p>
        </w:tc>
        <w:tc>
          <w:tcPr>
            <w:tcW w:w="2830"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color w:val="000000"/>
                <w:szCs w:val="24"/>
                <w:lang w:eastAsia="en-GB"/>
              </w:rPr>
            </w:pPr>
            <w:r w:rsidRPr="00AE49C8">
              <w:rPr>
                <w:rFonts w:eastAsia="Times New Roman"/>
                <w:b/>
                <w:color w:val="000000"/>
                <w:szCs w:val="24"/>
                <w:lang w:eastAsia="en-GB"/>
              </w:rPr>
              <w:t>No. of staff attending training</w:t>
            </w:r>
          </w:p>
        </w:tc>
        <w:tc>
          <w:tcPr>
            <w:tcW w:w="2268"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color w:val="000000"/>
                <w:szCs w:val="24"/>
                <w:lang w:eastAsia="en-GB"/>
              </w:rPr>
            </w:pPr>
            <w:r w:rsidRPr="00AE49C8">
              <w:rPr>
                <w:rFonts w:eastAsia="Times New Roman"/>
                <w:b/>
                <w:color w:val="000000"/>
                <w:szCs w:val="24"/>
                <w:lang w:eastAsia="en-GB"/>
              </w:rPr>
              <w:t>% staff attending training</w:t>
            </w:r>
          </w:p>
        </w:tc>
        <w:tc>
          <w:tcPr>
            <w:tcW w:w="1672"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color w:val="000000"/>
                <w:szCs w:val="24"/>
                <w:lang w:eastAsia="en-GB"/>
              </w:rPr>
            </w:pPr>
            <w:r w:rsidRPr="00AE49C8">
              <w:rPr>
                <w:rFonts w:eastAsia="Times New Roman"/>
                <w:b/>
                <w:color w:val="000000"/>
                <w:szCs w:val="24"/>
                <w:lang w:eastAsia="en-GB"/>
              </w:rPr>
              <w:t>Workforce representation</w:t>
            </w:r>
          </w:p>
        </w:tc>
      </w:tr>
      <w:tr w:rsidR="0096180E" w:rsidRPr="00AE49C8" w:rsidTr="00701CAB">
        <w:trPr>
          <w:cantSplit/>
          <w:trHeight w:val="312"/>
          <w:tblHeader/>
          <w:jc w:val="center"/>
        </w:trPr>
        <w:tc>
          <w:tcPr>
            <w:tcW w:w="15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Asian</w:t>
            </w:r>
          </w:p>
        </w:tc>
        <w:tc>
          <w:tcPr>
            <w:tcW w:w="283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375</w:t>
            </w:r>
          </w:p>
        </w:tc>
        <w:tc>
          <w:tcPr>
            <w:tcW w:w="226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13.7%</w:t>
            </w:r>
          </w:p>
        </w:tc>
        <w:tc>
          <w:tcPr>
            <w:tcW w:w="167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11.1%</w:t>
            </w:r>
          </w:p>
        </w:tc>
      </w:tr>
      <w:tr w:rsidR="0096180E" w:rsidRPr="00AE49C8" w:rsidTr="00701CAB">
        <w:trPr>
          <w:cantSplit/>
          <w:trHeight w:val="312"/>
          <w:tblHeader/>
          <w:jc w:val="center"/>
        </w:trPr>
        <w:tc>
          <w:tcPr>
            <w:tcW w:w="15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Black</w:t>
            </w:r>
          </w:p>
        </w:tc>
        <w:tc>
          <w:tcPr>
            <w:tcW w:w="283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56</w:t>
            </w:r>
          </w:p>
        </w:tc>
        <w:tc>
          <w:tcPr>
            <w:tcW w:w="226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2.0%</w:t>
            </w:r>
          </w:p>
        </w:tc>
        <w:tc>
          <w:tcPr>
            <w:tcW w:w="167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1.8%</w:t>
            </w:r>
          </w:p>
        </w:tc>
      </w:tr>
      <w:tr w:rsidR="0096180E" w:rsidRPr="00AE49C8" w:rsidTr="00701CAB">
        <w:trPr>
          <w:cantSplit/>
          <w:trHeight w:val="312"/>
          <w:tblHeader/>
          <w:jc w:val="center"/>
        </w:trPr>
        <w:tc>
          <w:tcPr>
            <w:tcW w:w="15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Mixed</w:t>
            </w:r>
          </w:p>
        </w:tc>
        <w:tc>
          <w:tcPr>
            <w:tcW w:w="283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40</w:t>
            </w:r>
          </w:p>
        </w:tc>
        <w:tc>
          <w:tcPr>
            <w:tcW w:w="226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67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1.5%</w:t>
            </w:r>
          </w:p>
        </w:tc>
      </w:tr>
      <w:tr w:rsidR="0096180E" w:rsidRPr="00AE49C8" w:rsidTr="00701CAB">
        <w:trPr>
          <w:cantSplit/>
          <w:trHeight w:val="312"/>
          <w:tblHeader/>
          <w:jc w:val="center"/>
        </w:trPr>
        <w:tc>
          <w:tcPr>
            <w:tcW w:w="15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283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82</w:t>
            </w:r>
          </w:p>
        </w:tc>
        <w:tc>
          <w:tcPr>
            <w:tcW w:w="226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3.0%</w:t>
            </w:r>
          </w:p>
        </w:tc>
        <w:tc>
          <w:tcPr>
            <w:tcW w:w="167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3.7%</w:t>
            </w:r>
          </w:p>
        </w:tc>
      </w:tr>
      <w:tr w:rsidR="0096180E" w:rsidRPr="00AE49C8" w:rsidTr="00701CAB">
        <w:trPr>
          <w:cantSplit/>
          <w:trHeight w:val="312"/>
          <w:tblHeader/>
          <w:jc w:val="center"/>
        </w:trPr>
        <w:tc>
          <w:tcPr>
            <w:tcW w:w="15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White</w:t>
            </w:r>
          </w:p>
        </w:tc>
        <w:tc>
          <w:tcPr>
            <w:tcW w:w="283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1847</w:t>
            </w:r>
          </w:p>
        </w:tc>
        <w:tc>
          <w:tcPr>
            <w:tcW w:w="226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67.4%</w:t>
            </w:r>
          </w:p>
        </w:tc>
        <w:tc>
          <w:tcPr>
            <w:tcW w:w="167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68.4%</w:t>
            </w:r>
          </w:p>
        </w:tc>
      </w:tr>
      <w:tr w:rsidR="0096180E" w:rsidRPr="00AE49C8" w:rsidTr="00701CAB">
        <w:trPr>
          <w:cantSplit/>
          <w:trHeight w:val="312"/>
          <w:tblHeader/>
          <w:jc w:val="center"/>
        </w:trPr>
        <w:tc>
          <w:tcPr>
            <w:tcW w:w="15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White - Other</w:t>
            </w:r>
          </w:p>
        </w:tc>
        <w:tc>
          <w:tcPr>
            <w:tcW w:w="283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189</w:t>
            </w:r>
          </w:p>
        </w:tc>
        <w:tc>
          <w:tcPr>
            <w:tcW w:w="226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6.9%</w:t>
            </w:r>
          </w:p>
        </w:tc>
        <w:tc>
          <w:tcPr>
            <w:tcW w:w="167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8.2%</w:t>
            </w:r>
          </w:p>
        </w:tc>
      </w:tr>
      <w:tr w:rsidR="0096180E" w:rsidRPr="00AE49C8" w:rsidTr="00701CAB">
        <w:trPr>
          <w:cantSplit/>
          <w:trHeight w:val="312"/>
          <w:tblHeader/>
          <w:jc w:val="center"/>
        </w:trPr>
        <w:tc>
          <w:tcPr>
            <w:tcW w:w="15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283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152</w:t>
            </w:r>
          </w:p>
        </w:tc>
        <w:tc>
          <w:tcPr>
            <w:tcW w:w="226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5.5%</w:t>
            </w:r>
          </w:p>
        </w:tc>
        <w:tc>
          <w:tcPr>
            <w:tcW w:w="167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5.3%</w:t>
            </w:r>
          </w:p>
        </w:tc>
      </w:tr>
      <w:tr w:rsidR="0096180E" w:rsidRPr="00AE49C8" w:rsidTr="00701CAB">
        <w:trPr>
          <w:cantSplit/>
          <w:trHeight w:val="312"/>
          <w:tblHeader/>
          <w:jc w:val="center"/>
        </w:trPr>
        <w:tc>
          <w:tcPr>
            <w:tcW w:w="15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Grand Total</w:t>
            </w:r>
          </w:p>
        </w:tc>
        <w:tc>
          <w:tcPr>
            <w:tcW w:w="283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2741</w:t>
            </w:r>
          </w:p>
        </w:tc>
        <w:tc>
          <w:tcPr>
            <w:tcW w:w="226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67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p>
        </w:tc>
      </w:tr>
    </w:tbl>
    <w:p w:rsidR="00F3345C" w:rsidRPr="00AE49C8" w:rsidRDefault="00F3345C" w:rsidP="00F3345C">
      <w:pPr>
        <w:jc w:val="center"/>
        <w:rPr>
          <w:b/>
        </w:rPr>
      </w:pPr>
    </w:p>
    <w:p w:rsidR="0096180E" w:rsidRPr="00AE49C8" w:rsidRDefault="0096180E" w:rsidP="00F3345C">
      <w:pPr>
        <w:jc w:val="center"/>
        <w:rPr>
          <w:b/>
        </w:rPr>
      </w:pPr>
      <w:r w:rsidRPr="00AE49C8">
        <w:rPr>
          <w:noProof/>
          <w:lang w:eastAsia="en-GB"/>
        </w:rPr>
        <w:drawing>
          <wp:inline distT="0" distB="0" distL="0" distR="0" wp14:anchorId="2DBFBB3D" wp14:editId="2F7EE941">
            <wp:extent cx="5059680" cy="3326130"/>
            <wp:effectExtent l="0" t="0" r="7620" b="7620"/>
            <wp:docPr id="60" name="Chart 60" title="Uptake of non-mandatory/CPD training by ethnicity compared to the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3345C" w:rsidRPr="000D2F61" w:rsidRDefault="00F3345C" w:rsidP="00F3345C">
      <w:r w:rsidRPr="000D2F61">
        <w:t>Observation</w:t>
      </w:r>
      <w:r w:rsidR="0096180E" w:rsidRPr="000D2F61">
        <w:t>s</w:t>
      </w:r>
    </w:p>
    <w:p w:rsidR="00F3345C" w:rsidRPr="00AE49C8" w:rsidRDefault="007D42A5" w:rsidP="007D42A5">
      <w:pPr>
        <w:pStyle w:val="ListParagraph"/>
      </w:pPr>
      <w:r w:rsidRPr="00AE49C8">
        <w:t>Asian, Black, and mixed heritage staff have an equal or higher representation in training compared to the overall workforce representation.</w:t>
      </w:r>
    </w:p>
    <w:p w:rsidR="007D42A5" w:rsidRPr="00AE49C8" w:rsidRDefault="007D42A5" w:rsidP="007D42A5">
      <w:pPr>
        <w:pStyle w:val="ListParagraph"/>
      </w:pPr>
      <w:r w:rsidRPr="00AE49C8">
        <w:t>Other ethnicities and white staff have a close representation compared to the overall workforce representation.</w:t>
      </w:r>
    </w:p>
    <w:p w:rsidR="007D42A5" w:rsidRPr="00AE49C8" w:rsidRDefault="007D42A5" w:rsidP="007D42A5">
      <w:pPr>
        <w:pStyle w:val="ListParagraph"/>
      </w:pPr>
      <w:r w:rsidRPr="00AE49C8">
        <w:t>White-Other has a lower representation in training compared to the overall workforce representation.</w:t>
      </w:r>
    </w:p>
    <w:p w:rsidR="00F3345C" w:rsidRPr="00AE49C8" w:rsidRDefault="00F3345C" w:rsidP="007D42A5">
      <w:pPr>
        <w:pStyle w:val="Heading3"/>
      </w:pPr>
      <w:bookmarkStart w:id="50" w:name="_Toc88633997"/>
      <w:r w:rsidRPr="00AE49C8">
        <w:t xml:space="preserve">Employee relations processes broken down by </w:t>
      </w:r>
      <w:r w:rsidR="0096180E" w:rsidRPr="00AE49C8">
        <w:t>ethnicity</w:t>
      </w:r>
      <w:bookmarkEnd w:id="50"/>
    </w:p>
    <w:p w:rsidR="00F3345C" w:rsidRPr="00AE49C8" w:rsidRDefault="00F3345C" w:rsidP="00F3345C">
      <w:pPr>
        <w:rPr>
          <w:b/>
        </w:rPr>
      </w:pPr>
      <w:r w:rsidRPr="00AE49C8">
        <w:rPr>
          <w:b/>
        </w:rPr>
        <w:t>BSUH</w:t>
      </w:r>
    </w:p>
    <w:tbl>
      <w:tblPr>
        <w:tblW w:w="9938" w:type="dxa"/>
        <w:tblInd w:w="93" w:type="dxa"/>
        <w:tblLook w:val="04A0" w:firstRow="1" w:lastRow="0" w:firstColumn="1" w:lastColumn="0" w:noHBand="0" w:noVBand="1"/>
        <w:tblCaption w:val="Capability procedures brokendown by ethnicity"/>
      </w:tblPr>
      <w:tblGrid>
        <w:gridCol w:w="1880"/>
        <w:gridCol w:w="1880"/>
        <w:gridCol w:w="1784"/>
        <w:gridCol w:w="1363"/>
        <w:gridCol w:w="1363"/>
        <w:gridCol w:w="1970"/>
      </w:tblGrid>
      <w:tr w:rsidR="0096180E" w:rsidRPr="00AE49C8" w:rsidTr="00012666">
        <w:trPr>
          <w:cantSplit/>
          <w:trHeight w:val="312"/>
          <w:tblHeader/>
        </w:trPr>
        <w:tc>
          <w:tcPr>
            <w:tcW w:w="1880"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lastRenderedPageBreak/>
              <w:t>Ethnicity</w:t>
            </w:r>
          </w:p>
        </w:tc>
        <w:tc>
          <w:tcPr>
            <w:tcW w:w="1880"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(Non-UHR)</w:t>
            </w:r>
          </w:p>
        </w:tc>
        <w:tc>
          <w:tcPr>
            <w:tcW w:w="1784"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(Non-UHR) %</w:t>
            </w:r>
          </w:p>
        </w:tc>
        <w:tc>
          <w:tcPr>
            <w:tcW w:w="1212"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(UHR)</w:t>
            </w:r>
          </w:p>
        </w:tc>
        <w:tc>
          <w:tcPr>
            <w:tcW w:w="1212"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(UHR) %</w:t>
            </w:r>
          </w:p>
        </w:tc>
        <w:tc>
          <w:tcPr>
            <w:tcW w:w="1970"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w:t>
            </w:r>
            <w:r w:rsidR="007D42A5" w:rsidRPr="00AE49C8">
              <w:rPr>
                <w:rFonts w:eastAsia="Times New Roman"/>
                <w:b/>
                <w:bCs/>
                <w:color w:val="000000"/>
                <w:szCs w:val="24"/>
                <w:lang w:eastAsia="en-GB"/>
              </w:rPr>
              <w:t>t</w:t>
            </w:r>
            <w:r w:rsidRPr="00AE49C8">
              <w:rPr>
                <w:rFonts w:eastAsia="Times New Roman"/>
                <w:b/>
                <w:bCs/>
                <w:color w:val="000000"/>
                <w:szCs w:val="24"/>
                <w:lang w:eastAsia="en-GB"/>
              </w:rPr>
              <w:t>ation %</w:t>
            </w:r>
          </w:p>
        </w:tc>
      </w:tr>
      <w:tr w:rsidR="0096180E" w:rsidRPr="00AE49C8" w:rsidTr="00012666">
        <w:trPr>
          <w:cantSplit/>
          <w:trHeight w:val="312"/>
          <w:tblHeader/>
        </w:trPr>
        <w:tc>
          <w:tcPr>
            <w:tcW w:w="18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White</w:t>
            </w:r>
          </w:p>
        </w:tc>
        <w:tc>
          <w:tcPr>
            <w:tcW w:w="18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26</w:t>
            </w:r>
          </w:p>
        </w:tc>
        <w:tc>
          <w:tcPr>
            <w:tcW w:w="178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81.3%</w:t>
            </w:r>
          </w:p>
        </w:tc>
        <w:tc>
          <w:tcPr>
            <w:tcW w:w="121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6</w:t>
            </w:r>
          </w:p>
        </w:tc>
        <w:tc>
          <w:tcPr>
            <w:tcW w:w="121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75.0%</w:t>
            </w:r>
          </w:p>
        </w:tc>
        <w:tc>
          <w:tcPr>
            <w:tcW w:w="197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65.1%</w:t>
            </w:r>
          </w:p>
        </w:tc>
      </w:tr>
      <w:tr w:rsidR="0096180E" w:rsidRPr="00AE49C8" w:rsidTr="00012666">
        <w:trPr>
          <w:cantSplit/>
          <w:trHeight w:val="312"/>
          <w:tblHeader/>
        </w:trPr>
        <w:tc>
          <w:tcPr>
            <w:tcW w:w="18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White - Other</w:t>
            </w:r>
          </w:p>
        </w:tc>
        <w:tc>
          <w:tcPr>
            <w:tcW w:w="18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178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15.6%</w:t>
            </w:r>
          </w:p>
        </w:tc>
        <w:tc>
          <w:tcPr>
            <w:tcW w:w="121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21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25.0%</w:t>
            </w:r>
          </w:p>
        </w:tc>
        <w:tc>
          <w:tcPr>
            <w:tcW w:w="197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12.6%</w:t>
            </w:r>
          </w:p>
        </w:tc>
      </w:tr>
      <w:tr w:rsidR="0096180E" w:rsidRPr="00AE49C8" w:rsidTr="00012666">
        <w:trPr>
          <w:cantSplit/>
          <w:trHeight w:val="312"/>
          <w:tblHeader/>
        </w:trPr>
        <w:tc>
          <w:tcPr>
            <w:tcW w:w="18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Asian</w:t>
            </w:r>
          </w:p>
        </w:tc>
        <w:tc>
          <w:tcPr>
            <w:tcW w:w="18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78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3.1%</w:t>
            </w:r>
          </w:p>
        </w:tc>
        <w:tc>
          <w:tcPr>
            <w:tcW w:w="121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p>
        </w:tc>
        <w:tc>
          <w:tcPr>
            <w:tcW w:w="121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p>
        </w:tc>
        <w:tc>
          <w:tcPr>
            <w:tcW w:w="197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9.6%</w:t>
            </w:r>
          </w:p>
        </w:tc>
      </w:tr>
      <w:tr w:rsidR="0096180E" w:rsidRPr="00AE49C8" w:rsidTr="00012666">
        <w:trPr>
          <w:cantSplit/>
          <w:trHeight w:val="312"/>
          <w:tblHeader/>
        </w:trPr>
        <w:tc>
          <w:tcPr>
            <w:tcW w:w="18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88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32</w:t>
            </w:r>
          </w:p>
        </w:tc>
        <w:tc>
          <w:tcPr>
            <w:tcW w:w="178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21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8</w:t>
            </w:r>
          </w:p>
        </w:tc>
        <w:tc>
          <w:tcPr>
            <w:tcW w:w="1212"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97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p>
        </w:tc>
      </w:tr>
    </w:tbl>
    <w:p w:rsidR="00F3345C" w:rsidRPr="00AE49C8" w:rsidRDefault="00F3345C" w:rsidP="00F3345C">
      <w:pPr>
        <w:rPr>
          <w:b/>
        </w:rPr>
      </w:pPr>
    </w:p>
    <w:p w:rsidR="00F3345C" w:rsidRPr="00AE49C8" w:rsidRDefault="0096180E" w:rsidP="00F3345C">
      <w:pPr>
        <w:jc w:val="center"/>
        <w:rPr>
          <w:b/>
        </w:rPr>
      </w:pPr>
      <w:r w:rsidRPr="00AE49C8">
        <w:rPr>
          <w:noProof/>
          <w:lang w:eastAsia="en-GB"/>
        </w:rPr>
        <w:drawing>
          <wp:inline distT="0" distB="0" distL="0" distR="0" wp14:anchorId="32C73124" wp14:editId="1EB4F358">
            <wp:extent cx="5122718" cy="2504210"/>
            <wp:effectExtent l="0" t="0" r="1905" b="0"/>
            <wp:docPr id="257" name="Chart 257" title="Capability procedures brokendown by ethnicity and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W w:w="11874" w:type="dxa"/>
        <w:jc w:val="center"/>
        <w:tblLook w:val="04A0" w:firstRow="1" w:lastRow="0" w:firstColumn="1" w:lastColumn="0" w:noHBand="0" w:noVBand="1"/>
        <w:tblCaption w:val="Harassment, grievance and disciplinary cases brokendown by ethnicity"/>
      </w:tblPr>
      <w:tblGrid>
        <w:gridCol w:w="1735"/>
        <w:gridCol w:w="1487"/>
        <w:gridCol w:w="1476"/>
        <w:gridCol w:w="1281"/>
        <w:gridCol w:w="1281"/>
        <w:gridCol w:w="1464"/>
        <w:gridCol w:w="1464"/>
        <w:gridCol w:w="1686"/>
      </w:tblGrid>
      <w:tr w:rsidR="0096180E" w:rsidRPr="000C64DA" w:rsidTr="000C64DA">
        <w:trPr>
          <w:cantSplit/>
          <w:trHeight w:val="312"/>
          <w:tblHeader/>
          <w:jc w:val="center"/>
        </w:trPr>
        <w:tc>
          <w:tcPr>
            <w:tcW w:w="1735" w:type="dxa"/>
            <w:tcBorders>
              <w:top w:val="nil"/>
              <w:left w:val="nil"/>
              <w:bottom w:val="nil"/>
              <w:right w:val="nil"/>
            </w:tcBorders>
            <w:shd w:val="clear" w:color="auto" w:fill="auto"/>
            <w:noWrap/>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Ethnicity</w:t>
            </w:r>
          </w:p>
        </w:tc>
        <w:tc>
          <w:tcPr>
            <w:tcW w:w="1487" w:type="dxa"/>
            <w:tcBorders>
              <w:top w:val="nil"/>
              <w:left w:val="nil"/>
              <w:bottom w:val="nil"/>
              <w:right w:val="nil"/>
            </w:tcBorders>
            <w:shd w:val="clear" w:color="auto" w:fill="auto"/>
            <w:noWrap/>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Harassment Cases</w:t>
            </w:r>
          </w:p>
        </w:tc>
        <w:tc>
          <w:tcPr>
            <w:tcW w:w="1476" w:type="dxa"/>
            <w:tcBorders>
              <w:top w:val="nil"/>
              <w:left w:val="nil"/>
              <w:bottom w:val="nil"/>
              <w:right w:val="nil"/>
            </w:tcBorders>
            <w:shd w:val="clear" w:color="auto" w:fill="auto"/>
            <w:noWrap/>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Harassment Cases %</w:t>
            </w:r>
          </w:p>
        </w:tc>
        <w:tc>
          <w:tcPr>
            <w:tcW w:w="1281" w:type="dxa"/>
            <w:tcBorders>
              <w:top w:val="nil"/>
              <w:left w:val="nil"/>
              <w:bottom w:val="nil"/>
              <w:right w:val="nil"/>
            </w:tcBorders>
            <w:shd w:val="clear" w:color="auto" w:fill="auto"/>
            <w:noWrap/>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Grievance Cases</w:t>
            </w:r>
          </w:p>
        </w:tc>
        <w:tc>
          <w:tcPr>
            <w:tcW w:w="1281" w:type="dxa"/>
            <w:tcBorders>
              <w:top w:val="nil"/>
              <w:left w:val="nil"/>
              <w:bottom w:val="nil"/>
              <w:right w:val="nil"/>
            </w:tcBorders>
            <w:shd w:val="clear" w:color="auto" w:fill="auto"/>
            <w:noWrap/>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Grievance Cases %</w:t>
            </w:r>
          </w:p>
        </w:tc>
        <w:tc>
          <w:tcPr>
            <w:tcW w:w="1464" w:type="dxa"/>
            <w:tcBorders>
              <w:top w:val="nil"/>
              <w:left w:val="nil"/>
              <w:bottom w:val="nil"/>
              <w:right w:val="nil"/>
            </w:tcBorders>
            <w:shd w:val="clear" w:color="auto" w:fill="auto"/>
            <w:noWrap/>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Disciplinary Cases</w:t>
            </w:r>
          </w:p>
        </w:tc>
        <w:tc>
          <w:tcPr>
            <w:tcW w:w="1464" w:type="dxa"/>
            <w:tcBorders>
              <w:top w:val="nil"/>
              <w:left w:val="nil"/>
              <w:bottom w:val="nil"/>
              <w:right w:val="nil"/>
            </w:tcBorders>
            <w:shd w:val="clear" w:color="auto" w:fill="auto"/>
            <w:noWrap/>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Disciplinary Cases %</w:t>
            </w:r>
          </w:p>
        </w:tc>
        <w:tc>
          <w:tcPr>
            <w:tcW w:w="1686" w:type="dxa"/>
            <w:tcBorders>
              <w:top w:val="nil"/>
              <w:left w:val="nil"/>
              <w:bottom w:val="nil"/>
              <w:right w:val="nil"/>
            </w:tcBorders>
            <w:shd w:val="clear" w:color="auto" w:fill="auto"/>
            <w:noWrap/>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Workforce Representation %</w:t>
            </w:r>
          </w:p>
        </w:tc>
      </w:tr>
      <w:tr w:rsidR="0096180E" w:rsidRPr="000C64DA" w:rsidTr="000C64DA">
        <w:trPr>
          <w:cantSplit/>
          <w:trHeight w:val="312"/>
          <w:tblHeader/>
          <w:jc w:val="center"/>
        </w:trPr>
        <w:tc>
          <w:tcPr>
            <w:tcW w:w="1735"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Black</w:t>
            </w:r>
          </w:p>
        </w:tc>
        <w:tc>
          <w:tcPr>
            <w:tcW w:w="1487"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p>
        </w:tc>
        <w:tc>
          <w:tcPr>
            <w:tcW w:w="1476"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p>
        </w:tc>
        <w:tc>
          <w:tcPr>
            <w:tcW w:w="1281"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p>
        </w:tc>
        <w:tc>
          <w:tcPr>
            <w:tcW w:w="1281"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p>
        </w:tc>
        <w:tc>
          <w:tcPr>
            <w:tcW w:w="1464"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1</w:t>
            </w:r>
          </w:p>
        </w:tc>
        <w:tc>
          <w:tcPr>
            <w:tcW w:w="1464"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4.3%</w:t>
            </w:r>
          </w:p>
        </w:tc>
        <w:tc>
          <w:tcPr>
            <w:tcW w:w="1686"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2.9%</w:t>
            </w:r>
          </w:p>
        </w:tc>
      </w:tr>
      <w:tr w:rsidR="0096180E" w:rsidRPr="000C64DA" w:rsidTr="000C64DA">
        <w:trPr>
          <w:cantSplit/>
          <w:trHeight w:val="312"/>
          <w:tblHeader/>
          <w:jc w:val="center"/>
        </w:trPr>
        <w:tc>
          <w:tcPr>
            <w:tcW w:w="1735"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White</w:t>
            </w:r>
          </w:p>
        </w:tc>
        <w:tc>
          <w:tcPr>
            <w:tcW w:w="1487"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4</w:t>
            </w:r>
          </w:p>
        </w:tc>
        <w:tc>
          <w:tcPr>
            <w:tcW w:w="1476"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100.0%</w:t>
            </w:r>
          </w:p>
        </w:tc>
        <w:tc>
          <w:tcPr>
            <w:tcW w:w="1281"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9</w:t>
            </w:r>
          </w:p>
        </w:tc>
        <w:tc>
          <w:tcPr>
            <w:tcW w:w="1281"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100.0%</w:t>
            </w:r>
          </w:p>
        </w:tc>
        <w:tc>
          <w:tcPr>
            <w:tcW w:w="1464"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13</w:t>
            </w:r>
          </w:p>
        </w:tc>
        <w:tc>
          <w:tcPr>
            <w:tcW w:w="1464"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56.5%</w:t>
            </w:r>
          </w:p>
        </w:tc>
        <w:tc>
          <w:tcPr>
            <w:tcW w:w="1686"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65.1%</w:t>
            </w:r>
          </w:p>
        </w:tc>
      </w:tr>
      <w:tr w:rsidR="0096180E" w:rsidRPr="000C64DA" w:rsidTr="000C64DA">
        <w:trPr>
          <w:cantSplit/>
          <w:trHeight w:val="312"/>
          <w:tblHeader/>
          <w:jc w:val="center"/>
        </w:trPr>
        <w:tc>
          <w:tcPr>
            <w:tcW w:w="1735"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White - Other</w:t>
            </w:r>
          </w:p>
        </w:tc>
        <w:tc>
          <w:tcPr>
            <w:tcW w:w="1487"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0</w:t>
            </w:r>
          </w:p>
        </w:tc>
        <w:tc>
          <w:tcPr>
            <w:tcW w:w="1476"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0.0%</w:t>
            </w:r>
          </w:p>
        </w:tc>
        <w:tc>
          <w:tcPr>
            <w:tcW w:w="1281"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0</w:t>
            </w:r>
          </w:p>
        </w:tc>
        <w:tc>
          <w:tcPr>
            <w:tcW w:w="1281"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0.0%</w:t>
            </w:r>
          </w:p>
        </w:tc>
        <w:tc>
          <w:tcPr>
            <w:tcW w:w="1464"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9</w:t>
            </w:r>
          </w:p>
        </w:tc>
        <w:tc>
          <w:tcPr>
            <w:tcW w:w="1464"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39.1%</w:t>
            </w:r>
          </w:p>
        </w:tc>
        <w:tc>
          <w:tcPr>
            <w:tcW w:w="1686"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r w:rsidRPr="000C64DA">
              <w:rPr>
                <w:rFonts w:eastAsia="Times New Roman"/>
                <w:color w:val="000000"/>
                <w:sz w:val="20"/>
                <w:szCs w:val="24"/>
                <w:lang w:eastAsia="en-GB"/>
              </w:rPr>
              <w:t>12.6%</w:t>
            </w:r>
          </w:p>
        </w:tc>
      </w:tr>
      <w:tr w:rsidR="0096180E" w:rsidRPr="000C64DA" w:rsidTr="000C64DA">
        <w:trPr>
          <w:cantSplit/>
          <w:trHeight w:val="312"/>
          <w:tblHeader/>
          <w:jc w:val="center"/>
        </w:trPr>
        <w:tc>
          <w:tcPr>
            <w:tcW w:w="1735"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Total</w:t>
            </w:r>
          </w:p>
        </w:tc>
        <w:tc>
          <w:tcPr>
            <w:tcW w:w="1487"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4</w:t>
            </w:r>
          </w:p>
        </w:tc>
        <w:tc>
          <w:tcPr>
            <w:tcW w:w="1476"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100.0%</w:t>
            </w:r>
          </w:p>
        </w:tc>
        <w:tc>
          <w:tcPr>
            <w:tcW w:w="1281"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9</w:t>
            </w:r>
          </w:p>
        </w:tc>
        <w:tc>
          <w:tcPr>
            <w:tcW w:w="1281"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100.0%</w:t>
            </w:r>
          </w:p>
        </w:tc>
        <w:tc>
          <w:tcPr>
            <w:tcW w:w="1464"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23</w:t>
            </w:r>
          </w:p>
        </w:tc>
        <w:tc>
          <w:tcPr>
            <w:tcW w:w="1464"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b/>
                <w:bCs/>
                <w:color w:val="000000"/>
                <w:sz w:val="20"/>
                <w:szCs w:val="24"/>
                <w:lang w:eastAsia="en-GB"/>
              </w:rPr>
            </w:pPr>
            <w:r w:rsidRPr="000C64DA">
              <w:rPr>
                <w:rFonts w:eastAsia="Times New Roman"/>
                <w:b/>
                <w:bCs/>
                <w:color w:val="000000"/>
                <w:sz w:val="20"/>
                <w:szCs w:val="24"/>
                <w:lang w:eastAsia="en-GB"/>
              </w:rPr>
              <w:t>100.0%</w:t>
            </w:r>
          </w:p>
        </w:tc>
        <w:tc>
          <w:tcPr>
            <w:tcW w:w="1686" w:type="dxa"/>
            <w:tcBorders>
              <w:top w:val="nil"/>
              <w:left w:val="nil"/>
              <w:bottom w:val="nil"/>
              <w:right w:val="nil"/>
            </w:tcBorders>
            <w:shd w:val="clear" w:color="auto" w:fill="auto"/>
            <w:noWrap/>
            <w:vAlign w:val="bottom"/>
            <w:hideMark/>
          </w:tcPr>
          <w:p w:rsidR="0096180E" w:rsidRPr="000C64DA" w:rsidRDefault="0096180E" w:rsidP="0096180E">
            <w:pPr>
              <w:spacing w:after="0" w:line="240" w:lineRule="auto"/>
              <w:rPr>
                <w:rFonts w:eastAsia="Times New Roman"/>
                <w:color w:val="000000"/>
                <w:sz w:val="20"/>
                <w:szCs w:val="24"/>
                <w:lang w:eastAsia="en-GB"/>
              </w:rPr>
            </w:pPr>
          </w:p>
        </w:tc>
      </w:tr>
    </w:tbl>
    <w:p w:rsidR="00F3345C" w:rsidRPr="00AE49C8" w:rsidRDefault="00F3345C" w:rsidP="00F3345C">
      <w:pPr>
        <w:rPr>
          <w:b/>
        </w:rPr>
      </w:pPr>
    </w:p>
    <w:p w:rsidR="00F3345C" w:rsidRPr="00AE49C8" w:rsidRDefault="0096180E" w:rsidP="00F3345C">
      <w:pPr>
        <w:jc w:val="center"/>
        <w:rPr>
          <w:b/>
        </w:rPr>
      </w:pPr>
      <w:r w:rsidRPr="00AE49C8">
        <w:rPr>
          <w:noProof/>
          <w:lang w:eastAsia="en-GB"/>
        </w:rPr>
        <w:drawing>
          <wp:inline distT="0" distB="0" distL="0" distR="0" wp14:anchorId="1EE83277" wp14:editId="4CE4BB3F">
            <wp:extent cx="5731510" cy="2515496"/>
            <wp:effectExtent l="0" t="0" r="2540" b="0"/>
            <wp:docPr id="258" name="Chart 258" title="Harassment, grievance and disciplinary cases brokendown by ethnicity and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W w:w="11002" w:type="dxa"/>
        <w:jc w:val="center"/>
        <w:tblLook w:val="04A0" w:firstRow="1" w:lastRow="0" w:firstColumn="1" w:lastColumn="0" w:noHBand="0" w:noVBand="1"/>
        <w:tblCaption w:val="Dismissals brokendown by ethnicity"/>
      </w:tblPr>
      <w:tblGrid>
        <w:gridCol w:w="1861"/>
        <w:gridCol w:w="1698"/>
        <w:gridCol w:w="1471"/>
        <w:gridCol w:w="1736"/>
        <w:gridCol w:w="2126"/>
        <w:gridCol w:w="2340"/>
      </w:tblGrid>
      <w:tr w:rsidR="0096180E" w:rsidRPr="00AE49C8" w:rsidTr="00012666">
        <w:trPr>
          <w:cantSplit/>
          <w:trHeight w:val="312"/>
          <w:tblHeader/>
          <w:jc w:val="center"/>
        </w:trPr>
        <w:tc>
          <w:tcPr>
            <w:tcW w:w="1861"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lastRenderedPageBreak/>
              <w:t>Ethnicity</w:t>
            </w:r>
          </w:p>
        </w:tc>
        <w:tc>
          <w:tcPr>
            <w:tcW w:w="1698"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All Dismissals %</w:t>
            </w:r>
          </w:p>
        </w:tc>
        <w:tc>
          <w:tcPr>
            <w:tcW w:w="1241"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All Dismissals</w:t>
            </w:r>
          </w:p>
        </w:tc>
        <w:tc>
          <w:tcPr>
            <w:tcW w:w="1736"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Dismissals (Sickness only)</w:t>
            </w:r>
          </w:p>
        </w:tc>
        <w:tc>
          <w:tcPr>
            <w:tcW w:w="2126"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Dismissals (Sickness only) %</w:t>
            </w:r>
          </w:p>
        </w:tc>
        <w:tc>
          <w:tcPr>
            <w:tcW w:w="2340"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Representation %</w:t>
            </w:r>
          </w:p>
        </w:tc>
      </w:tr>
      <w:tr w:rsidR="0096180E" w:rsidRPr="00AE49C8" w:rsidTr="00012666">
        <w:trPr>
          <w:cantSplit/>
          <w:trHeight w:val="312"/>
          <w:tblHeader/>
          <w:jc w:val="center"/>
        </w:trPr>
        <w:tc>
          <w:tcPr>
            <w:tcW w:w="186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White</w:t>
            </w:r>
          </w:p>
        </w:tc>
        <w:tc>
          <w:tcPr>
            <w:tcW w:w="169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14</w:t>
            </w:r>
          </w:p>
        </w:tc>
        <w:tc>
          <w:tcPr>
            <w:tcW w:w="124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82.4%</w:t>
            </w:r>
          </w:p>
        </w:tc>
        <w:tc>
          <w:tcPr>
            <w:tcW w:w="173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11</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84.6%</w:t>
            </w:r>
          </w:p>
        </w:tc>
        <w:tc>
          <w:tcPr>
            <w:tcW w:w="234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65.1%</w:t>
            </w:r>
          </w:p>
        </w:tc>
      </w:tr>
      <w:tr w:rsidR="0096180E" w:rsidRPr="00AE49C8" w:rsidTr="00012666">
        <w:trPr>
          <w:cantSplit/>
          <w:trHeight w:val="312"/>
          <w:tblHeader/>
          <w:jc w:val="center"/>
        </w:trPr>
        <w:tc>
          <w:tcPr>
            <w:tcW w:w="186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White - Other</w:t>
            </w:r>
          </w:p>
        </w:tc>
        <w:tc>
          <w:tcPr>
            <w:tcW w:w="169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24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17.6%</w:t>
            </w:r>
          </w:p>
        </w:tc>
        <w:tc>
          <w:tcPr>
            <w:tcW w:w="173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15.4%</w:t>
            </w:r>
          </w:p>
        </w:tc>
        <w:tc>
          <w:tcPr>
            <w:tcW w:w="234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12.6%</w:t>
            </w:r>
          </w:p>
        </w:tc>
      </w:tr>
      <w:tr w:rsidR="0096180E" w:rsidRPr="00AE49C8" w:rsidTr="00012666">
        <w:trPr>
          <w:cantSplit/>
          <w:trHeight w:val="312"/>
          <w:tblHeader/>
          <w:jc w:val="center"/>
        </w:trPr>
        <w:tc>
          <w:tcPr>
            <w:tcW w:w="186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69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17</w:t>
            </w:r>
          </w:p>
        </w:tc>
        <w:tc>
          <w:tcPr>
            <w:tcW w:w="124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73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13</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2340"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p>
        </w:tc>
      </w:tr>
    </w:tbl>
    <w:p w:rsidR="00F3345C" w:rsidRPr="00AE49C8" w:rsidRDefault="00F3345C" w:rsidP="00F3345C">
      <w:pPr>
        <w:rPr>
          <w:b/>
        </w:rPr>
      </w:pPr>
    </w:p>
    <w:p w:rsidR="00F3345C" w:rsidRPr="00AE49C8" w:rsidRDefault="0096180E" w:rsidP="00F3345C">
      <w:pPr>
        <w:jc w:val="center"/>
        <w:rPr>
          <w:b/>
        </w:rPr>
      </w:pPr>
      <w:r w:rsidRPr="00AE49C8">
        <w:rPr>
          <w:noProof/>
          <w:lang w:eastAsia="en-GB"/>
        </w:rPr>
        <w:drawing>
          <wp:inline distT="0" distB="0" distL="0" distR="0" wp14:anchorId="7DF04CAE" wp14:editId="06BAA587">
            <wp:extent cx="5731510" cy="2898209"/>
            <wp:effectExtent l="0" t="0" r="2540" b="0"/>
            <wp:docPr id="259" name="Chart 259" title="Dismissals brokendown by ethnicity and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3345C" w:rsidRPr="000D2F61" w:rsidRDefault="00F3345C" w:rsidP="00F3345C">
      <w:r w:rsidRPr="000D2F61">
        <w:t>Observations</w:t>
      </w:r>
    </w:p>
    <w:p w:rsidR="00F3345C" w:rsidRPr="00AE49C8" w:rsidRDefault="00012666" w:rsidP="00012666">
      <w:pPr>
        <w:pStyle w:val="ListParagraph"/>
      </w:pPr>
      <w:r w:rsidRPr="00AE49C8">
        <w:t>White and White-Other staff has a higher than expected representation in all capability processes.</w:t>
      </w:r>
    </w:p>
    <w:p w:rsidR="00012666" w:rsidRPr="00AE49C8" w:rsidRDefault="00012666" w:rsidP="00012666">
      <w:pPr>
        <w:pStyle w:val="ListParagraph"/>
      </w:pPr>
      <w:r w:rsidRPr="00AE49C8">
        <w:t>White staff have a higher than expected representation in harassment and grievance cases.  White-Other and Black staff have a higher than expected representation in disciplinary cases.</w:t>
      </w:r>
    </w:p>
    <w:p w:rsidR="00012666" w:rsidRPr="00AE49C8" w:rsidRDefault="00012666" w:rsidP="00012666">
      <w:pPr>
        <w:pStyle w:val="ListParagraph"/>
      </w:pPr>
      <w:r w:rsidRPr="00AE49C8">
        <w:t>White and White-Other staff has a higher than expected representation in dismissals.</w:t>
      </w:r>
    </w:p>
    <w:p w:rsidR="00F3345C" w:rsidRPr="00AE49C8" w:rsidRDefault="00F3345C" w:rsidP="00F3345C">
      <w:pPr>
        <w:rPr>
          <w:b/>
        </w:rPr>
      </w:pPr>
      <w:r w:rsidRPr="00AE49C8">
        <w:rPr>
          <w:b/>
        </w:rPr>
        <w:t>WSHT</w:t>
      </w:r>
    </w:p>
    <w:tbl>
      <w:tblPr>
        <w:tblW w:w="9811" w:type="dxa"/>
        <w:jc w:val="center"/>
        <w:tblInd w:w="93" w:type="dxa"/>
        <w:tblLook w:val="04A0" w:firstRow="1" w:lastRow="0" w:firstColumn="1" w:lastColumn="0" w:noHBand="0" w:noVBand="1"/>
        <w:tblCaption w:val="Grievance and disciplinary cases brokendown by ethnicity"/>
      </w:tblPr>
      <w:tblGrid>
        <w:gridCol w:w="1827"/>
        <w:gridCol w:w="1489"/>
        <w:gridCol w:w="1377"/>
        <w:gridCol w:w="1577"/>
        <w:gridCol w:w="1577"/>
        <w:gridCol w:w="1964"/>
      </w:tblGrid>
      <w:tr w:rsidR="0096180E" w:rsidRPr="00AE49C8" w:rsidTr="000C64DA">
        <w:trPr>
          <w:cantSplit/>
          <w:trHeight w:val="312"/>
          <w:tblHeader/>
          <w:jc w:val="center"/>
        </w:trPr>
        <w:tc>
          <w:tcPr>
            <w:tcW w:w="1827"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Ethnicity</w:t>
            </w:r>
          </w:p>
        </w:tc>
        <w:tc>
          <w:tcPr>
            <w:tcW w:w="1489"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Grievance Cases</w:t>
            </w:r>
          </w:p>
        </w:tc>
        <w:tc>
          <w:tcPr>
            <w:tcW w:w="1377"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Grievance Cases %</w:t>
            </w:r>
          </w:p>
        </w:tc>
        <w:tc>
          <w:tcPr>
            <w:tcW w:w="1577"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Disciplinary Cases</w:t>
            </w:r>
          </w:p>
        </w:tc>
        <w:tc>
          <w:tcPr>
            <w:tcW w:w="1577"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Disciplinary Cases %</w:t>
            </w:r>
          </w:p>
        </w:tc>
        <w:tc>
          <w:tcPr>
            <w:tcW w:w="1964"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w:t>
            </w:r>
            <w:r w:rsidR="00012666" w:rsidRPr="00AE49C8">
              <w:rPr>
                <w:rFonts w:eastAsia="Times New Roman"/>
                <w:b/>
                <w:bCs/>
                <w:color w:val="000000"/>
                <w:szCs w:val="24"/>
                <w:lang w:eastAsia="en-GB"/>
              </w:rPr>
              <w:t>t</w:t>
            </w:r>
            <w:r w:rsidRPr="00AE49C8">
              <w:rPr>
                <w:rFonts w:eastAsia="Times New Roman"/>
                <w:b/>
                <w:bCs/>
                <w:color w:val="000000"/>
                <w:szCs w:val="24"/>
                <w:lang w:eastAsia="en-GB"/>
              </w:rPr>
              <w:t>ation %</w:t>
            </w:r>
          </w:p>
        </w:tc>
      </w:tr>
      <w:tr w:rsidR="0096180E" w:rsidRPr="00AE49C8" w:rsidTr="000C64DA">
        <w:trPr>
          <w:cantSplit/>
          <w:trHeight w:val="312"/>
          <w:tblHeader/>
          <w:jc w:val="center"/>
        </w:trPr>
        <w:tc>
          <w:tcPr>
            <w:tcW w:w="182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Asian</w:t>
            </w:r>
          </w:p>
        </w:tc>
        <w:tc>
          <w:tcPr>
            <w:tcW w:w="1489"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3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10.7%</w:t>
            </w:r>
          </w:p>
        </w:tc>
        <w:tc>
          <w:tcPr>
            <w:tcW w:w="15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9</w:t>
            </w:r>
          </w:p>
        </w:tc>
        <w:tc>
          <w:tcPr>
            <w:tcW w:w="15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17.0%</w:t>
            </w:r>
          </w:p>
        </w:tc>
        <w:tc>
          <w:tcPr>
            <w:tcW w:w="196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11.1%</w:t>
            </w:r>
          </w:p>
        </w:tc>
      </w:tr>
      <w:tr w:rsidR="0096180E" w:rsidRPr="00AE49C8" w:rsidTr="000C64DA">
        <w:trPr>
          <w:cantSplit/>
          <w:trHeight w:val="312"/>
          <w:tblHeader/>
          <w:jc w:val="center"/>
        </w:trPr>
        <w:tc>
          <w:tcPr>
            <w:tcW w:w="182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Black</w:t>
            </w:r>
          </w:p>
        </w:tc>
        <w:tc>
          <w:tcPr>
            <w:tcW w:w="1489"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3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7.1%</w:t>
            </w:r>
          </w:p>
        </w:tc>
        <w:tc>
          <w:tcPr>
            <w:tcW w:w="15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5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5.7%</w:t>
            </w:r>
          </w:p>
        </w:tc>
        <w:tc>
          <w:tcPr>
            <w:tcW w:w="196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1.8%</w:t>
            </w:r>
          </w:p>
        </w:tc>
      </w:tr>
      <w:tr w:rsidR="0096180E" w:rsidRPr="00AE49C8" w:rsidTr="000C64DA">
        <w:trPr>
          <w:cantSplit/>
          <w:trHeight w:val="312"/>
          <w:tblHeader/>
          <w:jc w:val="center"/>
        </w:trPr>
        <w:tc>
          <w:tcPr>
            <w:tcW w:w="182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1489"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p>
        </w:tc>
        <w:tc>
          <w:tcPr>
            <w:tcW w:w="13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p>
        </w:tc>
        <w:tc>
          <w:tcPr>
            <w:tcW w:w="15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5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1.9%</w:t>
            </w:r>
          </w:p>
        </w:tc>
        <w:tc>
          <w:tcPr>
            <w:tcW w:w="196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3.7%</w:t>
            </w:r>
          </w:p>
        </w:tc>
      </w:tr>
      <w:tr w:rsidR="0096180E" w:rsidRPr="00AE49C8" w:rsidTr="000C64DA">
        <w:trPr>
          <w:cantSplit/>
          <w:trHeight w:val="312"/>
          <w:tblHeader/>
          <w:jc w:val="center"/>
        </w:trPr>
        <w:tc>
          <w:tcPr>
            <w:tcW w:w="182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White</w:t>
            </w:r>
          </w:p>
        </w:tc>
        <w:tc>
          <w:tcPr>
            <w:tcW w:w="1489"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19</w:t>
            </w:r>
          </w:p>
        </w:tc>
        <w:tc>
          <w:tcPr>
            <w:tcW w:w="13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67.9%</w:t>
            </w:r>
          </w:p>
        </w:tc>
        <w:tc>
          <w:tcPr>
            <w:tcW w:w="15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32</w:t>
            </w:r>
          </w:p>
        </w:tc>
        <w:tc>
          <w:tcPr>
            <w:tcW w:w="15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60.4%</w:t>
            </w:r>
          </w:p>
        </w:tc>
        <w:tc>
          <w:tcPr>
            <w:tcW w:w="196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68.4%</w:t>
            </w:r>
          </w:p>
        </w:tc>
      </w:tr>
      <w:tr w:rsidR="0096180E" w:rsidRPr="00AE49C8" w:rsidTr="000C64DA">
        <w:trPr>
          <w:cantSplit/>
          <w:trHeight w:val="312"/>
          <w:tblHeader/>
          <w:jc w:val="center"/>
        </w:trPr>
        <w:tc>
          <w:tcPr>
            <w:tcW w:w="182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White - Other</w:t>
            </w:r>
          </w:p>
        </w:tc>
        <w:tc>
          <w:tcPr>
            <w:tcW w:w="1489"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3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3.6%</w:t>
            </w:r>
          </w:p>
        </w:tc>
        <w:tc>
          <w:tcPr>
            <w:tcW w:w="15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15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7.5%</w:t>
            </w:r>
          </w:p>
        </w:tc>
        <w:tc>
          <w:tcPr>
            <w:tcW w:w="196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8.2%</w:t>
            </w:r>
          </w:p>
        </w:tc>
      </w:tr>
      <w:tr w:rsidR="0096180E" w:rsidRPr="00AE49C8" w:rsidTr="000C64DA">
        <w:trPr>
          <w:cantSplit/>
          <w:trHeight w:val="312"/>
          <w:tblHeader/>
          <w:jc w:val="center"/>
        </w:trPr>
        <w:tc>
          <w:tcPr>
            <w:tcW w:w="182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489"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3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10.7%</w:t>
            </w:r>
          </w:p>
        </w:tc>
        <w:tc>
          <w:tcPr>
            <w:tcW w:w="15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15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7.5%</w:t>
            </w:r>
          </w:p>
        </w:tc>
        <w:tc>
          <w:tcPr>
            <w:tcW w:w="196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5.3%</w:t>
            </w:r>
          </w:p>
        </w:tc>
      </w:tr>
      <w:tr w:rsidR="0096180E" w:rsidRPr="00AE49C8" w:rsidTr="000C64DA">
        <w:trPr>
          <w:cantSplit/>
          <w:trHeight w:val="312"/>
          <w:tblHeader/>
          <w:jc w:val="center"/>
        </w:trPr>
        <w:tc>
          <w:tcPr>
            <w:tcW w:w="182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489"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28</w:t>
            </w:r>
          </w:p>
        </w:tc>
        <w:tc>
          <w:tcPr>
            <w:tcW w:w="13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5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53</w:t>
            </w:r>
          </w:p>
        </w:tc>
        <w:tc>
          <w:tcPr>
            <w:tcW w:w="1577"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96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p>
        </w:tc>
      </w:tr>
    </w:tbl>
    <w:p w:rsidR="00F3345C" w:rsidRPr="00AE49C8" w:rsidRDefault="00F3345C" w:rsidP="00F3345C">
      <w:pPr>
        <w:rPr>
          <w:b/>
        </w:rPr>
      </w:pPr>
    </w:p>
    <w:p w:rsidR="00F3345C" w:rsidRPr="00AE49C8" w:rsidRDefault="0096180E" w:rsidP="00F3345C">
      <w:pPr>
        <w:rPr>
          <w:b/>
        </w:rPr>
      </w:pPr>
      <w:r w:rsidRPr="00AE49C8">
        <w:rPr>
          <w:noProof/>
          <w:lang w:eastAsia="en-GB"/>
        </w:rPr>
        <w:lastRenderedPageBreak/>
        <w:drawing>
          <wp:inline distT="0" distB="0" distL="0" distR="0" wp14:anchorId="416CD853" wp14:editId="07B3CF68">
            <wp:extent cx="5731510" cy="2904945"/>
            <wp:effectExtent l="0" t="0" r="2540" b="0"/>
            <wp:docPr id="260" name="Chart 260" title="Grievance and disciplinary cases brokendown by ethnicity and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3345C" w:rsidRPr="000D2F61" w:rsidRDefault="00F3345C" w:rsidP="00F3345C">
      <w:r w:rsidRPr="000D2F61">
        <w:t>Observations</w:t>
      </w:r>
    </w:p>
    <w:p w:rsidR="00F3345C" w:rsidRPr="00AE49C8" w:rsidRDefault="00012666" w:rsidP="00012666">
      <w:pPr>
        <w:pStyle w:val="ListParagraph"/>
      </w:pPr>
      <w:r w:rsidRPr="00AE49C8">
        <w:t>Black staff have a higher than expected representation in disciplinary and grievance cases, while Asian staff have a higher than expected representation in disciplinary cases.</w:t>
      </w:r>
    </w:p>
    <w:p w:rsidR="00012666" w:rsidRPr="00AE49C8" w:rsidRDefault="00012666" w:rsidP="00012666">
      <w:pPr>
        <w:pStyle w:val="ListParagraph"/>
      </w:pPr>
      <w:r w:rsidRPr="00AE49C8">
        <w:t>All other declared group</w:t>
      </w:r>
      <w:r w:rsidR="00C92A79">
        <w:t>s’</w:t>
      </w:r>
      <w:r w:rsidRPr="00AE49C8">
        <w:t xml:space="preserve"> representation is lower than their overall workforce representation.</w:t>
      </w:r>
    </w:p>
    <w:p w:rsidR="00F3345C" w:rsidRPr="00AE49C8" w:rsidRDefault="00F3345C" w:rsidP="00012666">
      <w:pPr>
        <w:pStyle w:val="Heading3"/>
      </w:pPr>
      <w:bookmarkStart w:id="51" w:name="_Toc88633998"/>
      <w:r w:rsidRPr="00AE49C8">
        <w:t xml:space="preserve">Leavers broken down by </w:t>
      </w:r>
      <w:r w:rsidR="0096180E" w:rsidRPr="00AE49C8">
        <w:t>ethnicity</w:t>
      </w:r>
      <w:bookmarkEnd w:id="51"/>
    </w:p>
    <w:p w:rsidR="00F3345C" w:rsidRPr="00AE49C8" w:rsidRDefault="00F3345C" w:rsidP="00F3345C">
      <w:pPr>
        <w:rPr>
          <w:b/>
        </w:rPr>
      </w:pPr>
      <w:r w:rsidRPr="00AE49C8">
        <w:rPr>
          <w:b/>
        </w:rPr>
        <w:t>BSUH</w:t>
      </w:r>
    </w:p>
    <w:tbl>
      <w:tblPr>
        <w:tblW w:w="9371" w:type="dxa"/>
        <w:jc w:val="center"/>
        <w:tblLook w:val="04A0" w:firstRow="1" w:lastRow="0" w:firstColumn="1" w:lastColumn="0" w:noHBand="0" w:noVBand="1"/>
        <w:tblCaption w:val="Leavers brokendown by ethnicity"/>
      </w:tblPr>
      <w:tblGrid>
        <w:gridCol w:w="1858"/>
        <w:gridCol w:w="1759"/>
        <w:gridCol w:w="1785"/>
        <w:gridCol w:w="1843"/>
        <w:gridCol w:w="2126"/>
      </w:tblGrid>
      <w:tr w:rsidR="0096180E" w:rsidRPr="00AE49C8" w:rsidTr="00012666">
        <w:trPr>
          <w:cantSplit/>
          <w:trHeight w:val="312"/>
          <w:tblHeader/>
          <w:jc w:val="center"/>
        </w:trPr>
        <w:tc>
          <w:tcPr>
            <w:tcW w:w="1858"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Ethnic Category</w:t>
            </w:r>
          </w:p>
        </w:tc>
        <w:tc>
          <w:tcPr>
            <w:tcW w:w="1759"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BSUH Leavers</w:t>
            </w:r>
          </w:p>
        </w:tc>
        <w:tc>
          <w:tcPr>
            <w:tcW w:w="1785"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BSUH Leavers (%)</w:t>
            </w:r>
          </w:p>
        </w:tc>
        <w:tc>
          <w:tcPr>
            <w:tcW w:w="1843"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in Workforce</w:t>
            </w:r>
          </w:p>
        </w:tc>
        <w:tc>
          <w:tcPr>
            <w:tcW w:w="2126"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 in Workforce</w:t>
            </w:r>
          </w:p>
        </w:tc>
      </w:tr>
      <w:tr w:rsidR="0096180E" w:rsidRPr="00AE49C8" w:rsidTr="00012666">
        <w:trPr>
          <w:cantSplit/>
          <w:trHeight w:val="312"/>
          <w:tblHeader/>
          <w:jc w:val="cent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Asian</w:t>
            </w:r>
          </w:p>
        </w:tc>
        <w:tc>
          <w:tcPr>
            <w:tcW w:w="1759"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143</w:t>
            </w:r>
          </w:p>
        </w:tc>
        <w:tc>
          <w:tcPr>
            <w:tcW w:w="178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9.4%</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856</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9.6%</w:t>
            </w:r>
          </w:p>
        </w:tc>
      </w:tr>
      <w:tr w:rsidR="0096180E" w:rsidRPr="00AE49C8" w:rsidTr="00012666">
        <w:trPr>
          <w:cantSplit/>
          <w:trHeight w:val="312"/>
          <w:tblHeader/>
          <w:jc w:val="cent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Black</w:t>
            </w:r>
          </w:p>
        </w:tc>
        <w:tc>
          <w:tcPr>
            <w:tcW w:w="1759"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53</w:t>
            </w:r>
          </w:p>
        </w:tc>
        <w:tc>
          <w:tcPr>
            <w:tcW w:w="178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3.5%</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260</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2.9%</w:t>
            </w:r>
          </w:p>
        </w:tc>
      </w:tr>
      <w:tr w:rsidR="0096180E" w:rsidRPr="00AE49C8" w:rsidTr="00012666">
        <w:trPr>
          <w:cantSplit/>
          <w:trHeight w:val="312"/>
          <w:tblHeader/>
          <w:jc w:val="cent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Mixed</w:t>
            </w:r>
          </w:p>
        </w:tc>
        <w:tc>
          <w:tcPr>
            <w:tcW w:w="1759"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37</w:t>
            </w:r>
          </w:p>
        </w:tc>
        <w:tc>
          <w:tcPr>
            <w:tcW w:w="178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2.4%</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266</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3.0%</w:t>
            </w:r>
          </w:p>
        </w:tc>
      </w:tr>
      <w:tr w:rsidR="0096180E" w:rsidRPr="00AE49C8" w:rsidTr="00012666">
        <w:trPr>
          <w:cantSplit/>
          <w:trHeight w:val="312"/>
          <w:tblHeader/>
          <w:jc w:val="cent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1759"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39</w:t>
            </w:r>
          </w:p>
        </w:tc>
        <w:tc>
          <w:tcPr>
            <w:tcW w:w="178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2.6%</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343</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3.9%</w:t>
            </w:r>
          </w:p>
        </w:tc>
      </w:tr>
      <w:tr w:rsidR="0096180E" w:rsidRPr="00AE49C8" w:rsidTr="00012666">
        <w:trPr>
          <w:cantSplit/>
          <w:trHeight w:val="312"/>
          <w:tblHeader/>
          <w:jc w:val="cent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White</w:t>
            </w:r>
          </w:p>
        </w:tc>
        <w:tc>
          <w:tcPr>
            <w:tcW w:w="1759"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962</w:t>
            </w:r>
          </w:p>
        </w:tc>
        <w:tc>
          <w:tcPr>
            <w:tcW w:w="178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63.0%</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5775</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65.1%</w:t>
            </w:r>
          </w:p>
        </w:tc>
      </w:tr>
      <w:tr w:rsidR="0096180E" w:rsidRPr="00AE49C8" w:rsidTr="00012666">
        <w:trPr>
          <w:cantSplit/>
          <w:trHeight w:val="312"/>
          <w:tblHeader/>
          <w:jc w:val="cent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White - Other</w:t>
            </w:r>
          </w:p>
        </w:tc>
        <w:tc>
          <w:tcPr>
            <w:tcW w:w="1759"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180</w:t>
            </w:r>
          </w:p>
        </w:tc>
        <w:tc>
          <w:tcPr>
            <w:tcW w:w="178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11.8%</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1115</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12.6%</w:t>
            </w:r>
          </w:p>
        </w:tc>
      </w:tr>
      <w:tr w:rsidR="0096180E" w:rsidRPr="00AE49C8" w:rsidTr="00012666">
        <w:trPr>
          <w:cantSplit/>
          <w:trHeight w:val="312"/>
          <w:tblHeader/>
          <w:jc w:val="cent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759"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113</w:t>
            </w:r>
          </w:p>
        </w:tc>
        <w:tc>
          <w:tcPr>
            <w:tcW w:w="178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7.4%</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258</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2.9%</w:t>
            </w:r>
          </w:p>
        </w:tc>
      </w:tr>
      <w:tr w:rsidR="0096180E" w:rsidRPr="00AE49C8" w:rsidTr="00012666">
        <w:trPr>
          <w:cantSplit/>
          <w:trHeight w:val="312"/>
          <w:tblHeader/>
          <w:jc w:val="center"/>
        </w:trPr>
        <w:tc>
          <w:tcPr>
            <w:tcW w:w="1858" w:type="dxa"/>
            <w:tcBorders>
              <w:top w:val="nil"/>
              <w:left w:val="nil"/>
              <w:bottom w:val="nil"/>
              <w:right w:val="nil"/>
            </w:tcBorders>
            <w:shd w:val="clear" w:color="auto" w:fill="auto"/>
            <w:noWrap/>
            <w:vAlign w:val="center"/>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Grand Total</w:t>
            </w:r>
          </w:p>
        </w:tc>
        <w:tc>
          <w:tcPr>
            <w:tcW w:w="1759" w:type="dxa"/>
            <w:tcBorders>
              <w:top w:val="nil"/>
              <w:left w:val="nil"/>
              <w:bottom w:val="nil"/>
              <w:right w:val="nil"/>
            </w:tcBorders>
            <w:shd w:val="clear" w:color="auto" w:fill="auto"/>
            <w:noWrap/>
            <w:vAlign w:val="center"/>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1527</w:t>
            </w:r>
          </w:p>
        </w:tc>
        <w:tc>
          <w:tcPr>
            <w:tcW w:w="1785"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8873</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r>
    </w:tbl>
    <w:p w:rsidR="00F3345C" w:rsidRPr="00AE49C8" w:rsidRDefault="00F3345C" w:rsidP="00F3345C">
      <w:pPr>
        <w:rPr>
          <w:b/>
        </w:rPr>
      </w:pPr>
    </w:p>
    <w:p w:rsidR="00F3345C" w:rsidRPr="00AE49C8" w:rsidRDefault="0096180E" w:rsidP="0096180E">
      <w:pPr>
        <w:jc w:val="center"/>
        <w:rPr>
          <w:b/>
        </w:rPr>
      </w:pPr>
      <w:r w:rsidRPr="00AE49C8">
        <w:rPr>
          <w:noProof/>
          <w:lang w:eastAsia="en-GB"/>
        </w:rPr>
        <w:lastRenderedPageBreak/>
        <w:drawing>
          <wp:inline distT="0" distB="0" distL="0" distR="0" wp14:anchorId="182887CC" wp14:editId="65EE6DBB">
            <wp:extent cx="5265420" cy="3440430"/>
            <wp:effectExtent l="0" t="0" r="0" b="7620"/>
            <wp:docPr id="261" name="Chart 261" title="Leavers brokendown by ethnicity and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3345C" w:rsidRPr="000D2F61" w:rsidRDefault="00F3345C" w:rsidP="00F3345C">
      <w:r w:rsidRPr="000D2F61">
        <w:t>Observations</w:t>
      </w:r>
    </w:p>
    <w:p w:rsidR="00F3345C" w:rsidRPr="00AE49C8" w:rsidRDefault="00012666" w:rsidP="00012666">
      <w:pPr>
        <w:pStyle w:val="ListParagraph"/>
      </w:pPr>
      <w:r w:rsidRPr="00AE49C8">
        <w:t>A higher number of black staff are leaving the organisation when compar</w:t>
      </w:r>
      <w:r w:rsidR="000D2F61">
        <w:t>ed</w:t>
      </w:r>
      <w:r w:rsidRPr="00AE49C8">
        <w:t xml:space="preserve"> to the overall workforce representation.</w:t>
      </w:r>
    </w:p>
    <w:p w:rsidR="00012666" w:rsidRPr="00AE49C8" w:rsidRDefault="00012666" w:rsidP="00012666">
      <w:pPr>
        <w:pStyle w:val="ListParagraph"/>
      </w:pPr>
      <w:r w:rsidRPr="00AE49C8">
        <w:t>Leavers in all other declared groups are lower than the overall workforce representa</w:t>
      </w:r>
      <w:r w:rsidR="00C92A79">
        <w:t>tion.</w:t>
      </w:r>
    </w:p>
    <w:p w:rsidR="00012666" w:rsidRPr="00AE49C8" w:rsidRDefault="00012666" w:rsidP="00012666">
      <w:pPr>
        <w:pStyle w:val="ListParagraph"/>
      </w:pPr>
      <w:r w:rsidRPr="00AE49C8">
        <w:t>A higher proportion (compared to overall workforce representation) of staff wh</w:t>
      </w:r>
      <w:r w:rsidR="00126DB3" w:rsidRPr="00AE49C8">
        <w:t>ose</w:t>
      </w:r>
      <w:r w:rsidRPr="00AE49C8">
        <w:t xml:space="preserve"> ethnicity is unknown ha</w:t>
      </w:r>
      <w:r w:rsidR="003D7937" w:rsidRPr="00AE49C8">
        <w:t>s</w:t>
      </w:r>
      <w:r w:rsidRPr="00AE49C8">
        <w:t xml:space="preserve"> left the organisation.</w:t>
      </w:r>
    </w:p>
    <w:p w:rsidR="00F3345C" w:rsidRPr="00AE49C8" w:rsidRDefault="00F3345C" w:rsidP="00F3345C">
      <w:pPr>
        <w:rPr>
          <w:b/>
        </w:rPr>
      </w:pPr>
      <w:r w:rsidRPr="00AE49C8">
        <w:rPr>
          <w:b/>
        </w:rPr>
        <w:t>WSHT</w:t>
      </w:r>
    </w:p>
    <w:tbl>
      <w:tblPr>
        <w:tblW w:w="9512" w:type="dxa"/>
        <w:tblInd w:w="93" w:type="dxa"/>
        <w:tblLook w:val="04A0" w:firstRow="1" w:lastRow="0" w:firstColumn="1" w:lastColumn="0" w:noHBand="0" w:noVBand="1"/>
        <w:tblCaption w:val="Leavers brokendown by ethnicity"/>
      </w:tblPr>
      <w:tblGrid>
        <w:gridCol w:w="1858"/>
        <w:gridCol w:w="2126"/>
        <w:gridCol w:w="1843"/>
        <w:gridCol w:w="1701"/>
        <w:gridCol w:w="1984"/>
      </w:tblGrid>
      <w:tr w:rsidR="0096180E" w:rsidRPr="00AE49C8" w:rsidTr="00012666">
        <w:trPr>
          <w:cantSplit/>
          <w:trHeight w:val="312"/>
          <w:tblHeader/>
        </w:trPr>
        <w:tc>
          <w:tcPr>
            <w:tcW w:w="1858"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Ethnic Category</w:t>
            </w:r>
          </w:p>
        </w:tc>
        <w:tc>
          <w:tcPr>
            <w:tcW w:w="2126"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WSHT Leavers</w:t>
            </w:r>
          </w:p>
        </w:tc>
        <w:tc>
          <w:tcPr>
            <w:tcW w:w="1843"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WSHT Leavers (%)</w:t>
            </w:r>
          </w:p>
        </w:tc>
        <w:tc>
          <w:tcPr>
            <w:tcW w:w="1701"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in Workforce</w:t>
            </w:r>
          </w:p>
        </w:tc>
        <w:tc>
          <w:tcPr>
            <w:tcW w:w="1984" w:type="dxa"/>
            <w:tcBorders>
              <w:top w:val="nil"/>
              <w:left w:val="nil"/>
              <w:bottom w:val="nil"/>
              <w:right w:val="nil"/>
            </w:tcBorders>
            <w:shd w:val="clear" w:color="auto" w:fill="auto"/>
            <w:noWrap/>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 in Workforce</w:t>
            </w:r>
          </w:p>
        </w:tc>
      </w:tr>
      <w:tr w:rsidR="0096180E" w:rsidRPr="00AE49C8" w:rsidTr="00012666">
        <w:trPr>
          <w:cantSplit/>
          <w:trHeight w:val="312"/>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Asian</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63</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9.2%</w:t>
            </w:r>
          </w:p>
        </w:tc>
        <w:tc>
          <w:tcPr>
            <w:tcW w:w="170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835</w:t>
            </w:r>
          </w:p>
        </w:tc>
        <w:tc>
          <w:tcPr>
            <w:tcW w:w="198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11.1%</w:t>
            </w:r>
          </w:p>
        </w:tc>
      </w:tr>
      <w:tr w:rsidR="0096180E" w:rsidRPr="00AE49C8" w:rsidTr="00012666">
        <w:trPr>
          <w:cantSplit/>
          <w:trHeight w:val="312"/>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Black</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24</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3.5%</w:t>
            </w:r>
          </w:p>
        </w:tc>
        <w:tc>
          <w:tcPr>
            <w:tcW w:w="170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133</w:t>
            </w:r>
          </w:p>
        </w:tc>
        <w:tc>
          <w:tcPr>
            <w:tcW w:w="198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1.8%</w:t>
            </w:r>
          </w:p>
        </w:tc>
      </w:tr>
      <w:tr w:rsidR="0096180E" w:rsidRPr="00AE49C8" w:rsidTr="00012666">
        <w:trPr>
          <w:cantSplit/>
          <w:trHeight w:val="312"/>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Mixed</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70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113</w:t>
            </w:r>
          </w:p>
        </w:tc>
        <w:tc>
          <w:tcPr>
            <w:tcW w:w="198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1.5%</w:t>
            </w:r>
          </w:p>
        </w:tc>
      </w:tr>
      <w:tr w:rsidR="0096180E" w:rsidRPr="00AE49C8" w:rsidTr="00012666">
        <w:trPr>
          <w:cantSplit/>
          <w:trHeight w:val="312"/>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70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277</w:t>
            </w:r>
          </w:p>
        </w:tc>
        <w:tc>
          <w:tcPr>
            <w:tcW w:w="198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3.7%</w:t>
            </w:r>
          </w:p>
        </w:tc>
      </w:tr>
      <w:tr w:rsidR="0096180E" w:rsidRPr="00AE49C8" w:rsidTr="00012666">
        <w:trPr>
          <w:cantSplit/>
          <w:trHeight w:val="312"/>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White</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485</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71.1%</w:t>
            </w:r>
          </w:p>
        </w:tc>
        <w:tc>
          <w:tcPr>
            <w:tcW w:w="170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5143</w:t>
            </w:r>
          </w:p>
        </w:tc>
        <w:tc>
          <w:tcPr>
            <w:tcW w:w="198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68.4%</w:t>
            </w:r>
          </w:p>
        </w:tc>
      </w:tr>
      <w:tr w:rsidR="0096180E" w:rsidRPr="00AE49C8" w:rsidTr="00012666">
        <w:trPr>
          <w:cantSplit/>
          <w:trHeight w:val="312"/>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White - Other</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46</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6.7%</w:t>
            </w:r>
          </w:p>
        </w:tc>
        <w:tc>
          <w:tcPr>
            <w:tcW w:w="170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620</w:t>
            </w:r>
          </w:p>
        </w:tc>
        <w:tc>
          <w:tcPr>
            <w:tcW w:w="198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8.2%</w:t>
            </w:r>
          </w:p>
        </w:tc>
      </w:tr>
      <w:tr w:rsidR="0096180E" w:rsidRPr="00AE49C8" w:rsidTr="00012666">
        <w:trPr>
          <w:cantSplit/>
          <w:trHeight w:val="312"/>
          <w:tblHeader/>
        </w:trPr>
        <w:tc>
          <w:tcPr>
            <w:tcW w:w="1858"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2126"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50</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7.3%</w:t>
            </w:r>
          </w:p>
        </w:tc>
        <w:tc>
          <w:tcPr>
            <w:tcW w:w="170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397</w:t>
            </w:r>
          </w:p>
        </w:tc>
        <w:tc>
          <w:tcPr>
            <w:tcW w:w="198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color w:val="000000"/>
                <w:szCs w:val="24"/>
                <w:lang w:eastAsia="en-GB"/>
              </w:rPr>
            </w:pPr>
            <w:r w:rsidRPr="00AE49C8">
              <w:rPr>
                <w:rFonts w:eastAsia="Times New Roman"/>
                <w:color w:val="000000"/>
                <w:szCs w:val="24"/>
                <w:lang w:eastAsia="en-GB"/>
              </w:rPr>
              <w:t>5.3%</w:t>
            </w:r>
          </w:p>
        </w:tc>
      </w:tr>
      <w:tr w:rsidR="0096180E" w:rsidRPr="00AE49C8" w:rsidTr="00012666">
        <w:trPr>
          <w:cantSplit/>
          <w:trHeight w:val="312"/>
          <w:tblHeader/>
        </w:trPr>
        <w:tc>
          <w:tcPr>
            <w:tcW w:w="1858" w:type="dxa"/>
            <w:tcBorders>
              <w:top w:val="nil"/>
              <w:left w:val="nil"/>
              <w:bottom w:val="nil"/>
              <w:right w:val="nil"/>
            </w:tcBorders>
            <w:shd w:val="clear" w:color="auto" w:fill="auto"/>
            <w:noWrap/>
            <w:vAlign w:val="center"/>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Grand Total</w:t>
            </w:r>
          </w:p>
        </w:tc>
        <w:tc>
          <w:tcPr>
            <w:tcW w:w="2126" w:type="dxa"/>
            <w:tcBorders>
              <w:top w:val="nil"/>
              <w:left w:val="nil"/>
              <w:bottom w:val="nil"/>
              <w:right w:val="nil"/>
            </w:tcBorders>
            <w:shd w:val="clear" w:color="auto" w:fill="auto"/>
            <w:noWrap/>
            <w:vAlign w:val="center"/>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682</w:t>
            </w:r>
          </w:p>
        </w:tc>
        <w:tc>
          <w:tcPr>
            <w:tcW w:w="1843"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701"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7518</w:t>
            </w:r>
          </w:p>
        </w:tc>
        <w:tc>
          <w:tcPr>
            <w:tcW w:w="1984" w:type="dxa"/>
            <w:tcBorders>
              <w:top w:val="nil"/>
              <w:left w:val="nil"/>
              <w:bottom w:val="nil"/>
              <w:right w:val="nil"/>
            </w:tcBorders>
            <w:shd w:val="clear" w:color="auto" w:fill="auto"/>
            <w:noWrap/>
            <w:vAlign w:val="bottom"/>
            <w:hideMark/>
          </w:tcPr>
          <w:p w:rsidR="0096180E" w:rsidRPr="00AE49C8" w:rsidRDefault="0096180E" w:rsidP="0096180E">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r>
    </w:tbl>
    <w:p w:rsidR="00F3345C" w:rsidRPr="00AE49C8" w:rsidRDefault="00F3345C" w:rsidP="00F3345C">
      <w:pPr>
        <w:rPr>
          <w:b/>
        </w:rPr>
      </w:pPr>
    </w:p>
    <w:p w:rsidR="00F3345C" w:rsidRPr="00AE49C8" w:rsidRDefault="0096180E" w:rsidP="00F3345C">
      <w:pPr>
        <w:jc w:val="center"/>
        <w:rPr>
          <w:b/>
        </w:rPr>
      </w:pPr>
      <w:r w:rsidRPr="00AE49C8">
        <w:rPr>
          <w:noProof/>
          <w:lang w:eastAsia="en-GB"/>
        </w:rPr>
        <w:lastRenderedPageBreak/>
        <w:drawing>
          <wp:inline distT="0" distB="0" distL="0" distR="0" wp14:anchorId="06F489DC" wp14:editId="6E59781D">
            <wp:extent cx="5265420" cy="3440430"/>
            <wp:effectExtent l="0" t="0" r="0" b="7620"/>
            <wp:docPr id="262" name="Chart 262" title="Leavers brokendown by ethnicity and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3345C" w:rsidRPr="000D2F61" w:rsidRDefault="00F3345C" w:rsidP="00F3345C">
      <w:r w:rsidRPr="000D2F61">
        <w:t>Observations</w:t>
      </w:r>
    </w:p>
    <w:p w:rsidR="00F3345C" w:rsidRPr="00AE49C8" w:rsidRDefault="003D7937" w:rsidP="003D7937">
      <w:pPr>
        <w:pStyle w:val="ListParagraph"/>
      </w:pPr>
      <w:r w:rsidRPr="00AE49C8">
        <w:t>Black and White staff have a higher representation in the leavers data compared to their overall workforce representation.</w:t>
      </w:r>
    </w:p>
    <w:p w:rsidR="003D7937" w:rsidRPr="00AE49C8" w:rsidRDefault="003D7937" w:rsidP="003D7937">
      <w:pPr>
        <w:pStyle w:val="ListParagraph"/>
      </w:pPr>
      <w:r w:rsidRPr="00AE49C8">
        <w:t>All other declared groups have an equal or lower representation in the leavers data compared to their workforce representation.</w:t>
      </w:r>
    </w:p>
    <w:p w:rsidR="003D7937" w:rsidRPr="00AE49C8" w:rsidRDefault="003D7937" w:rsidP="003D7937">
      <w:pPr>
        <w:pStyle w:val="ListParagraph"/>
      </w:pPr>
      <w:r w:rsidRPr="00AE49C8">
        <w:t xml:space="preserve">A high proportion of unknown ethnicity staff </w:t>
      </w:r>
      <w:r w:rsidR="00126DB3" w:rsidRPr="00AE49C8">
        <w:t>has left</w:t>
      </w:r>
      <w:r w:rsidRPr="00AE49C8">
        <w:t xml:space="preserve"> the organisation compared to the overall workforce representation.</w:t>
      </w:r>
    </w:p>
    <w:p w:rsidR="00A372B3" w:rsidRPr="00AE49C8" w:rsidRDefault="00A372B3" w:rsidP="00A372B3">
      <w:pPr>
        <w:pStyle w:val="Heading2"/>
        <w:rPr>
          <w:rFonts w:cs="Arial"/>
        </w:rPr>
      </w:pPr>
      <w:bookmarkStart w:id="52" w:name="_Toc88633999"/>
      <w:r w:rsidRPr="00AE49C8">
        <w:rPr>
          <w:rFonts w:cs="Arial"/>
        </w:rPr>
        <w:t>Gender</w:t>
      </w:r>
      <w:bookmarkEnd w:id="52"/>
    </w:p>
    <w:p w:rsidR="00A372B3" w:rsidRPr="00AE49C8" w:rsidRDefault="00A372B3" w:rsidP="00126DB3">
      <w:pPr>
        <w:pStyle w:val="Heading3"/>
      </w:pPr>
      <w:bookmarkStart w:id="53" w:name="_Toc88634000"/>
      <w:r w:rsidRPr="00AE49C8">
        <w:t>Representation of staff within the workforce broken down by gender</w:t>
      </w:r>
      <w:bookmarkEnd w:id="53"/>
    </w:p>
    <w:tbl>
      <w:tblPr>
        <w:tblW w:w="4978" w:type="dxa"/>
        <w:jc w:val="center"/>
        <w:tblLook w:val="04A0" w:firstRow="1" w:lastRow="0" w:firstColumn="1" w:lastColumn="0" w:noHBand="0" w:noVBand="1"/>
        <w:tblCaption w:val="Overall workforce representation brokendown by age"/>
      </w:tblPr>
      <w:tblGrid>
        <w:gridCol w:w="3058"/>
        <w:gridCol w:w="1044"/>
        <w:gridCol w:w="960"/>
      </w:tblGrid>
      <w:tr w:rsidR="00A372B3" w:rsidRPr="00AE49C8" w:rsidTr="00126DB3">
        <w:trPr>
          <w:cantSplit/>
          <w:trHeight w:val="312"/>
          <w:tblHeader/>
          <w:jc w:val="center"/>
        </w:trPr>
        <w:tc>
          <w:tcPr>
            <w:tcW w:w="3058" w:type="dxa"/>
            <w:tcBorders>
              <w:top w:val="nil"/>
              <w:left w:val="nil"/>
              <w:bottom w:val="nil"/>
              <w:right w:val="nil"/>
            </w:tcBorders>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p>
        </w:tc>
        <w:tc>
          <w:tcPr>
            <w:tcW w:w="960" w:type="dxa"/>
            <w:tcBorders>
              <w:top w:val="nil"/>
              <w:left w:val="nil"/>
              <w:bottom w:val="nil"/>
              <w:right w:val="nil"/>
            </w:tcBorders>
            <w:shd w:val="clear" w:color="auto" w:fill="auto"/>
            <w:noWrap/>
            <w:vAlign w:val="bottom"/>
            <w:hideMark/>
          </w:tcPr>
          <w:p w:rsidR="00A372B3" w:rsidRPr="00AE49C8" w:rsidRDefault="00A372B3" w:rsidP="00A372B3">
            <w:pPr>
              <w:spacing w:after="0" w:line="240" w:lineRule="auto"/>
              <w:jc w:val="right"/>
              <w:rPr>
                <w:rFonts w:eastAsia="Times New Roman"/>
                <w:b/>
                <w:bCs/>
                <w:color w:val="000000"/>
                <w:szCs w:val="24"/>
                <w:lang w:eastAsia="en-GB"/>
              </w:rPr>
            </w:pPr>
            <w:r w:rsidRPr="00AE49C8">
              <w:rPr>
                <w:rFonts w:eastAsia="Times New Roman"/>
                <w:b/>
                <w:bCs/>
                <w:color w:val="000000"/>
                <w:szCs w:val="24"/>
                <w:lang w:eastAsia="en-GB"/>
              </w:rPr>
              <w:t>Female</w:t>
            </w:r>
          </w:p>
        </w:tc>
        <w:tc>
          <w:tcPr>
            <w:tcW w:w="960" w:type="dxa"/>
            <w:tcBorders>
              <w:top w:val="nil"/>
              <w:left w:val="nil"/>
              <w:bottom w:val="nil"/>
              <w:right w:val="nil"/>
            </w:tcBorders>
            <w:shd w:val="clear" w:color="auto" w:fill="auto"/>
            <w:noWrap/>
            <w:vAlign w:val="bottom"/>
            <w:hideMark/>
          </w:tcPr>
          <w:p w:rsidR="00A372B3" w:rsidRPr="00AE49C8" w:rsidRDefault="00A372B3" w:rsidP="00A372B3">
            <w:pPr>
              <w:spacing w:after="0" w:line="240" w:lineRule="auto"/>
              <w:jc w:val="right"/>
              <w:rPr>
                <w:rFonts w:eastAsia="Times New Roman"/>
                <w:b/>
                <w:bCs/>
                <w:color w:val="000000"/>
                <w:szCs w:val="24"/>
                <w:lang w:eastAsia="en-GB"/>
              </w:rPr>
            </w:pPr>
            <w:r w:rsidRPr="00AE49C8">
              <w:rPr>
                <w:rFonts w:eastAsia="Times New Roman"/>
                <w:b/>
                <w:bCs/>
                <w:color w:val="000000"/>
                <w:szCs w:val="24"/>
                <w:lang w:eastAsia="en-GB"/>
              </w:rPr>
              <w:t>Male</w:t>
            </w:r>
          </w:p>
        </w:tc>
      </w:tr>
      <w:tr w:rsidR="00A372B3" w:rsidRPr="00AE49C8" w:rsidTr="00126DB3">
        <w:trPr>
          <w:cantSplit/>
          <w:trHeight w:val="312"/>
          <w:tblHeader/>
          <w:jc w:val="center"/>
        </w:trPr>
        <w:tc>
          <w:tcPr>
            <w:tcW w:w="3058" w:type="dxa"/>
            <w:tcBorders>
              <w:top w:val="nil"/>
              <w:left w:val="nil"/>
              <w:bottom w:val="nil"/>
              <w:right w:val="nil"/>
            </w:tcBorders>
            <w:shd w:val="clear" w:color="000000" w:fill="C5D9F1"/>
            <w:noWrap/>
            <w:vAlign w:val="bottom"/>
            <w:hideMark/>
          </w:tcPr>
          <w:p w:rsidR="00A372B3" w:rsidRPr="00AE49C8" w:rsidRDefault="00A372B3" w:rsidP="006455EF">
            <w:pPr>
              <w:spacing w:after="0" w:line="240" w:lineRule="auto"/>
              <w:rPr>
                <w:rFonts w:eastAsia="Times New Roman"/>
                <w:b/>
                <w:bCs/>
                <w:szCs w:val="24"/>
                <w:lang w:eastAsia="en-GB"/>
              </w:rPr>
            </w:pPr>
            <w:r w:rsidRPr="00AE49C8">
              <w:rPr>
                <w:rFonts w:eastAsia="Times New Roman"/>
                <w:b/>
                <w:bCs/>
                <w:szCs w:val="24"/>
                <w:lang w:eastAsia="en-GB"/>
              </w:rPr>
              <w:t>2019/20 (BSUH)</w:t>
            </w:r>
          </w:p>
        </w:tc>
        <w:tc>
          <w:tcPr>
            <w:tcW w:w="960" w:type="dxa"/>
            <w:tcBorders>
              <w:top w:val="nil"/>
              <w:left w:val="nil"/>
              <w:bottom w:val="nil"/>
              <w:right w:val="nil"/>
            </w:tcBorders>
            <w:shd w:val="clear" w:color="000000" w:fill="C5D9F1"/>
            <w:noWrap/>
            <w:vAlign w:val="bottom"/>
            <w:hideMark/>
          </w:tcPr>
          <w:p w:rsidR="00A372B3" w:rsidRPr="00AE49C8" w:rsidRDefault="00A372B3" w:rsidP="00A372B3">
            <w:pPr>
              <w:spacing w:after="0" w:line="240" w:lineRule="auto"/>
              <w:jc w:val="center"/>
              <w:rPr>
                <w:rFonts w:eastAsia="Times New Roman"/>
                <w:szCs w:val="24"/>
                <w:lang w:eastAsia="en-GB"/>
              </w:rPr>
            </w:pPr>
            <w:r w:rsidRPr="00AE49C8">
              <w:rPr>
                <w:rFonts w:eastAsia="Times New Roman"/>
                <w:szCs w:val="24"/>
                <w:lang w:eastAsia="en-GB"/>
              </w:rPr>
              <w:t>71.5%</w:t>
            </w:r>
          </w:p>
        </w:tc>
        <w:tc>
          <w:tcPr>
            <w:tcW w:w="960" w:type="dxa"/>
            <w:tcBorders>
              <w:top w:val="nil"/>
              <w:left w:val="nil"/>
              <w:bottom w:val="nil"/>
              <w:right w:val="nil"/>
            </w:tcBorders>
            <w:shd w:val="clear" w:color="000000" w:fill="C5D9F1"/>
            <w:noWrap/>
            <w:vAlign w:val="bottom"/>
            <w:hideMark/>
          </w:tcPr>
          <w:p w:rsidR="00A372B3" w:rsidRPr="00AE49C8" w:rsidRDefault="00A372B3" w:rsidP="00A372B3">
            <w:pPr>
              <w:spacing w:after="0" w:line="240" w:lineRule="auto"/>
              <w:jc w:val="center"/>
              <w:rPr>
                <w:rFonts w:eastAsia="Times New Roman"/>
                <w:szCs w:val="24"/>
                <w:lang w:eastAsia="en-GB"/>
              </w:rPr>
            </w:pPr>
            <w:r w:rsidRPr="00AE49C8">
              <w:rPr>
                <w:rFonts w:eastAsia="Times New Roman"/>
                <w:szCs w:val="24"/>
                <w:lang w:eastAsia="en-GB"/>
              </w:rPr>
              <w:t>28.5%</w:t>
            </w:r>
          </w:p>
        </w:tc>
      </w:tr>
      <w:tr w:rsidR="00A372B3" w:rsidRPr="00AE49C8" w:rsidTr="00126DB3">
        <w:trPr>
          <w:cantSplit/>
          <w:trHeight w:val="312"/>
          <w:tblHeader/>
          <w:jc w:val="center"/>
        </w:trPr>
        <w:tc>
          <w:tcPr>
            <w:tcW w:w="3058" w:type="dxa"/>
            <w:tcBorders>
              <w:top w:val="nil"/>
              <w:left w:val="nil"/>
              <w:bottom w:val="nil"/>
              <w:right w:val="nil"/>
            </w:tcBorders>
            <w:shd w:val="clear" w:color="000000" w:fill="41B6E6"/>
            <w:noWrap/>
            <w:vAlign w:val="bottom"/>
            <w:hideMark/>
          </w:tcPr>
          <w:p w:rsidR="00A372B3" w:rsidRPr="00AE49C8" w:rsidRDefault="00A372B3" w:rsidP="006455EF">
            <w:pPr>
              <w:spacing w:after="0" w:line="240" w:lineRule="auto"/>
              <w:rPr>
                <w:rFonts w:eastAsia="Times New Roman"/>
                <w:b/>
                <w:bCs/>
                <w:szCs w:val="24"/>
                <w:lang w:eastAsia="en-GB"/>
              </w:rPr>
            </w:pPr>
            <w:r w:rsidRPr="00AE49C8">
              <w:rPr>
                <w:rFonts w:eastAsia="Times New Roman"/>
                <w:b/>
                <w:bCs/>
                <w:szCs w:val="24"/>
                <w:lang w:eastAsia="en-GB"/>
              </w:rPr>
              <w:t>2020/21 (BSUH)</w:t>
            </w:r>
          </w:p>
        </w:tc>
        <w:tc>
          <w:tcPr>
            <w:tcW w:w="960" w:type="dxa"/>
            <w:tcBorders>
              <w:top w:val="nil"/>
              <w:left w:val="nil"/>
              <w:bottom w:val="nil"/>
              <w:right w:val="nil"/>
            </w:tcBorders>
            <w:shd w:val="clear" w:color="000000" w:fill="41B6E6"/>
            <w:noWrap/>
            <w:vAlign w:val="bottom"/>
            <w:hideMark/>
          </w:tcPr>
          <w:p w:rsidR="00A372B3" w:rsidRPr="00AE49C8" w:rsidRDefault="00A372B3" w:rsidP="00A372B3">
            <w:pPr>
              <w:spacing w:after="0" w:line="240" w:lineRule="auto"/>
              <w:jc w:val="center"/>
              <w:rPr>
                <w:rFonts w:eastAsia="Times New Roman"/>
                <w:color w:val="000000"/>
                <w:szCs w:val="24"/>
                <w:lang w:eastAsia="en-GB"/>
              </w:rPr>
            </w:pPr>
            <w:r w:rsidRPr="00AE49C8">
              <w:rPr>
                <w:rFonts w:eastAsia="Times New Roman"/>
                <w:color w:val="000000"/>
                <w:szCs w:val="24"/>
                <w:lang w:eastAsia="en-GB"/>
              </w:rPr>
              <w:t>71.1%</w:t>
            </w:r>
          </w:p>
        </w:tc>
        <w:tc>
          <w:tcPr>
            <w:tcW w:w="960" w:type="dxa"/>
            <w:tcBorders>
              <w:top w:val="nil"/>
              <w:left w:val="nil"/>
              <w:bottom w:val="nil"/>
              <w:right w:val="nil"/>
            </w:tcBorders>
            <w:shd w:val="clear" w:color="000000" w:fill="41B6E6"/>
            <w:noWrap/>
            <w:vAlign w:val="bottom"/>
            <w:hideMark/>
          </w:tcPr>
          <w:p w:rsidR="00A372B3" w:rsidRPr="00AE49C8" w:rsidRDefault="00A372B3" w:rsidP="00A372B3">
            <w:pPr>
              <w:spacing w:after="0" w:line="240" w:lineRule="auto"/>
              <w:jc w:val="center"/>
              <w:rPr>
                <w:rFonts w:eastAsia="Times New Roman"/>
                <w:color w:val="000000"/>
                <w:szCs w:val="24"/>
                <w:lang w:eastAsia="en-GB"/>
              </w:rPr>
            </w:pPr>
            <w:r w:rsidRPr="00AE49C8">
              <w:rPr>
                <w:rFonts w:eastAsia="Times New Roman"/>
                <w:color w:val="000000"/>
                <w:szCs w:val="24"/>
                <w:lang w:eastAsia="en-GB"/>
              </w:rPr>
              <w:t>28.9%</w:t>
            </w:r>
          </w:p>
        </w:tc>
      </w:tr>
      <w:tr w:rsidR="00A372B3" w:rsidRPr="00AE49C8" w:rsidTr="00126DB3">
        <w:trPr>
          <w:cantSplit/>
          <w:trHeight w:val="312"/>
          <w:tblHeader/>
          <w:jc w:val="center"/>
        </w:trPr>
        <w:tc>
          <w:tcPr>
            <w:tcW w:w="3058" w:type="dxa"/>
            <w:tcBorders>
              <w:top w:val="nil"/>
              <w:left w:val="nil"/>
              <w:bottom w:val="nil"/>
              <w:right w:val="nil"/>
            </w:tcBorders>
            <w:shd w:val="clear" w:color="000000" w:fill="D8E4BC"/>
            <w:noWrap/>
            <w:vAlign w:val="bottom"/>
            <w:hideMark/>
          </w:tcPr>
          <w:p w:rsidR="00A372B3" w:rsidRPr="00AE49C8" w:rsidRDefault="00A372B3" w:rsidP="006455EF">
            <w:pPr>
              <w:spacing w:after="0" w:line="240" w:lineRule="auto"/>
              <w:rPr>
                <w:rFonts w:eastAsia="Times New Roman"/>
                <w:b/>
                <w:bCs/>
                <w:szCs w:val="24"/>
                <w:lang w:eastAsia="en-GB"/>
              </w:rPr>
            </w:pPr>
            <w:r w:rsidRPr="00AE49C8">
              <w:rPr>
                <w:rFonts w:eastAsia="Times New Roman"/>
                <w:b/>
                <w:bCs/>
                <w:szCs w:val="24"/>
                <w:lang w:eastAsia="en-GB"/>
              </w:rPr>
              <w:t>2019/20 (WSHT)</w:t>
            </w:r>
          </w:p>
        </w:tc>
        <w:tc>
          <w:tcPr>
            <w:tcW w:w="960" w:type="dxa"/>
            <w:tcBorders>
              <w:top w:val="nil"/>
              <w:left w:val="nil"/>
              <w:bottom w:val="nil"/>
              <w:right w:val="nil"/>
            </w:tcBorders>
            <w:shd w:val="clear" w:color="000000" w:fill="D8E4BC"/>
            <w:noWrap/>
            <w:vAlign w:val="bottom"/>
            <w:hideMark/>
          </w:tcPr>
          <w:p w:rsidR="00A372B3" w:rsidRPr="00AE49C8" w:rsidRDefault="00A372B3" w:rsidP="00A372B3">
            <w:pPr>
              <w:spacing w:after="0" w:line="240" w:lineRule="auto"/>
              <w:jc w:val="center"/>
              <w:rPr>
                <w:rFonts w:eastAsia="Times New Roman"/>
                <w:szCs w:val="24"/>
                <w:lang w:eastAsia="en-GB"/>
              </w:rPr>
            </w:pPr>
            <w:r w:rsidRPr="00AE49C8">
              <w:rPr>
                <w:rFonts w:eastAsia="Times New Roman"/>
                <w:szCs w:val="24"/>
                <w:lang w:eastAsia="en-GB"/>
              </w:rPr>
              <w:t>77.0%</w:t>
            </w:r>
          </w:p>
        </w:tc>
        <w:tc>
          <w:tcPr>
            <w:tcW w:w="960" w:type="dxa"/>
            <w:tcBorders>
              <w:top w:val="nil"/>
              <w:left w:val="nil"/>
              <w:bottom w:val="nil"/>
              <w:right w:val="nil"/>
            </w:tcBorders>
            <w:shd w:val="clear" w:color="000000" w:fill="D8E4BC"/>
            <w:noWrap/>
            <w:vAlign w:val="bottom"/>
            <w:hideMark/>
          </w:tcPr>
          <w:p w:rsidR="00A372B3" w:rsidRPr="00AE49C8" w:rsidRDefault="00A372B3" w:rsidP="00A372B3">
            <w:pPr>
              <w:spacing w:after="0" w:line="240" w:lineRule="auto"/>
              <w:jc w:val="center"/>
              <w:rPr>
                <w:rFonts w:eastAsia="Times New Roman"/>
                <w:szCs w:val="24"/>
                <w:lang w:eastAsia="en-GB"/>
              </w:rPr>
            </w:pPr>
            <w:r w:rsidRPr="00AE49C8">
              <w:rPr>
                <w:rFonts w:eastAsia="Times New Roman"/>
                <w:szCs w:val="24"/>
                <w:lang w:eastAsia="en-GB"/>
              </w:rPr>
              <w:t>23.0%</w:t>
            </w:r>
          </w:p>
        </w:tc>
      </w:tr>
      <w:tr w:rsidR="00A372B3" w:rsidRPr="00AE49C8" w:rsidTr="00126DB3">
        <w:trPr>
          <w:cantSplit/>
          <w:trHeight w:val="312"/>
          <w:tblHeader/>
          <w:jc w:val="center"/>
        </w:trPr>
        <w:tc>
          <w:tcPr>
            <w:tcW w:w="3058" w:type="dxa"/>
            <w:tcBorders>
              <w:top w:val="nil"/>
              <w:left w:val="nil"/>
              <w:bottom w:val="nil"/>
              <w:right w:val="nil"/>
            </w:tcBorders>
            <w:shd w:val="clear" w:color="000000" w:fill="009639"/>
            <w:noWrap/>
            <w:vAlign w:val="bottom"/>
            <w:hideMark/>
          </w:tcPr>
          <w:p w:rsidR="00A372B3" w:rsidRPr="00AE49C8" w:rsidRDefault="00A372B3" w:rsidP="006455EF">
            <w:pPr>
              <w:spacing w:after="0" w:line="240" w:lineRule="auto"/>
              <w:rPr>
                <w:rFonts w:eastAsia="Times New Roman"/>
                <w:b/>
                <w:bCs/>
                <w:color w:val="FFFFFF"/>
                <w:szCs w:val="24"/>
                <w:lang w:eastAsia="en-GB"/>
              </w:rPr>
            </w:pPr>
            <w:r w:rsidRPr="00AE49C8">
              <w:rPr>
                <w:rFonts w:eastAsia="Times New Roman"/>
                <w:b/>
                <w:bCs/>
                <w:color w:val="FFFFFF"/>
                <w:szCs w:val="24"/>
                <w:lang w:eastAsia="en-GB"/>
              </w:rPr>
              <w:t>2020/21 (WSHT)</w:t>
            </w:r>
          </w:p>
        </w:tc>
        <w:tc>
          <w:tcPr>
            <w:tcW w:w="960" w:type="dxa"/>
            <w:tcBorders>
              <w:top w:val="nil"/>
              <w:left w:val="nil"/>
              <w:bottom w:val="nil"/>
              <w:right w:val="nil"/>
            </w:tcBorders>
            <w:shd w:val="clear" w:color="000000" w:fill="009639"/>
            <w:noWrap/>
            <w:vAlign w:val="bottom"/>
            <w:hideMark/>
          </w:tcPr>
          <w:p w:rsidR="00A372B3" w:rsidRPr="00AE49C8" w:rsidRDefault="00A372B3" w:rsidP="00A372B3">
            <w:pPr>
              <w:spacing w:after="0" w:line="240" w:lineRule="auto"/>
              <w:jc w:val="center"/>
              <w:rPr>
                <w:rFonts w:eastAsia="Times New Roman"/>
                <w:color w:val="FFFFFF"/>
                <w:szCs w:val="24"/>
                <w:lang w:eastAsia="en-GB"/>
              </w:rPr>
            </w:pPr>
            <w:r w:rsidRPr="00AE49C8">
              <w:rPr>
                <w:rFonts w:eastAsia="Times New Roman"/>
                <w:color w:val="FFFFFF"/>
                <w:szCs w:val="24"/>
                <w:lang w:eastAsia="en-GB"/>
              </w:rPr>
              <w:t>76.9%</w:t>
            </w:r>
          </w:p>
        </w:tc>
        <w:tc>
          <w:tcPr>
            <w:tcW w:w="960" w:type="dxa"/>
            <w:tcBorders>
              <w:top w:val="nil"/>
              <w:left w:val="nil"/>
              <w:bottom w:val="nil"/>
              <w:right w:val="nil"/>
            </w:tcBorders>
            <w:shd w:val="clear" w:color="000000" w:fill="009639"/>
            <w:noWrap/>
            <w:vAlign w:val="bottom"/>
            <w:hideMark/>
          </w:tcPr>
          <w:p w:rsidR="00A372B3" w:rsidRPr="00AE49C8" w:rsidRDefault="00A372B3" w:rsidP="00A372B3">
            <w:pPr>
              <w:spacing w:after="0" w:line="240" w:lineRule="auto"/>
              <w:jc w:val="center"/>
              <w:rPr>
                <w:rFonts w:eastAsia="Times New Roman"/>
                <w:color w:val="FFFFFF"/>
                <w:szCs w:val="24"/>
                <w:lang w:eastAsia="en-GB"/>
              </w:rPr>
            </w:pPr>
            <w:r w:rsidRPr="00AE49C8">
              <w:rPr>
                <w:rFonts w:eastAsia="Times New Roman"/>
                <w:color w:val="FFFFFF"/>
                <w:szCs w:val="24"/>
                <w:lang w:eastAsia="en-GB"/>
              </w:rPr>
              <w:t>23.1%</w:t>
            </w:r>
          </w:p>
        </w:tc>
      </w:tr>
      <w:tr w:rsidR="00A372B3" w:rsidRPr="00AE49C8" w:rsidTr="00126DB3">
        <w:trPr>
          <w:cantSplit/>
          <w:trHeight w:val="312"/>
          <w:tblHeader/>
          <w:jc w:val="center"/>
        </w:trPr>
        <w:tc>
          <w:tcPr>
            <w:tcW w:w="3058" w:type="dxa"/>
            <w:tcBorders>
              <w:top w:val="nil"/>
              <w:left w:val="nil"/>
              <w:bottom w:val="nil"/>
              <w:right w:val="nil"/>
            </w:tcBorders>
            <w:shd w:val="clear" w:color="000000" w:fill="FFB81C"/>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Census 2011 (SE England)</w:t>
            </w:r>
          </w:p>
        </w:tc>
        <w:tc>
          <w:tcPr>
            <w:tcW w:w="960" w:type="dxa"/>
            <w:tcBorders>
              <w:top w:val="nil"/>
              <w:left w:val="nil"/>
              <w:bottom w:val="nil"/>
              <w:right w:val="nil"/>
            </w:tcBorders>
            <w:shd w:val="clear" w:color="000000" w:fill="FFB81C"/>
            <w:noWrap/>
            <w:vAlign w:val="bottom"/>
            <w:hideMark/>
          </w:tcPr>
          <w:p w:rsidR="00A372B3" w:rsidRPr="00AE49C8" w:rsidRDefault="00A372B3" w:rsidP="00A372B3">
            <w:pPr>
              <w:spacing w:after="0" w:line="240" w:lineRule="auto"/>
              <w:jc w:val="center"/>
              <w:rPr>
                <w:rFonts w:eastAsia="Times New Roman"/>
                <w:color w:val="000000"/>
                <w:szCs w:val="24"/>
                <w:lang w:eastAsia="en-GB"/>
              </w:rPr>
            </w:pPr>
            <w:r w:rsidRPr="00AE49C8">
              <w:rPr>
                <w:rFonts w:eastAsia="Times New Roman"/>
                <w:color w:val="000000"/>
                <w:szCs w:val="24"/>
                <w:lang w:eastAsia="en-GB"/>
              </w:rPr>
              <w:t>50.9%</w:t>
            </w:r>
          </w:p>
        </w:tc>
        <w:tc>
          <w:tcPr>
            <w:tcW w:w="960" w:type="dxa"/>
            <w:tcBorders>
              <w:top w:val="nil"/>
              <w:left w:val="nil"/>
              <w:bottom w:val="nil"/>
              <w:right w:val="nil"/>
            </w:tcBorders>
            <w:shd w:val="clear" w:color="000000" w:fill="FFB81C"/>
            <w:noWrap/>
            <w:vAlign w:val="bottom"/>
            <w:hideMark/>
          </w:tcPr>
          <w:p w:rsidR="00A372B3" w:rsidRPr="00AE49C8" w:rsidRDefault="00A372B3" w:rsidP="00A372B3">
            <w:pPr>
              <w:spacing w:after="0" w:line="240" w:lineRule="auto"/>
              <w:jc w:val="center"/>
              <w:rPr>
                <w:rFonts w:eastAsia="Times New Roman"/>
                <w:color w:val="000000"/>
                <w:szCs w:val="24"/>
                <w:lang w:eastAsia="en-GB"/>
              </w:rPr>
            </w:pPr>
            <w:r w:rsidRPr="00AE49C8">
              <w:rPr>
                <w:rFonts w:eastAsia="Times New Roman"/>
                <w:color w:val="000000"/>
                <w:szCs w:val="24"/>
                <w:lang w:eastAsia="en-GB"/>
              </w:rPr>
              <w:t>49.1%</w:t>
            </w:r>
          </w:p>
        </w:tc>
      </w:tr>
    </w:tbl>
    <w:p w:rsidR="00A372B3" w:rsidRPr="00AE49C8" w:rsidRDefault="00A372B3" w:rsidP="00A372B3">
      <w:pPr>
        <w:rPr>
          <w:b/>
        </w:rPr>
      </w:pPr>
    </w:p>
    <w:p w:rsidR="00A372B3" w:rsidRPr="00AE49C8" w:rsidRDefault="00A372B3" w:rsidP="00A372B3">
      <w:pPr>
        <w:jc w:val="center"/>
        <w:rPr>
          <w:b/>
        </w:rPr>
      </w:pPr>
      <w:r w:rsidRPr="00AE49C8">
        <w:rPr>
          <w:noProof/>
          <w:lang w:eastAsia="en-GB"/>
        </w:rPr>
        <w:lastRenderedPageBreak/>
        <w:drawing>
          <wp:inline distT="0" distB="0" distL="0" distR="0" wp14:anchorId="7961DD67" wp14:editId="3A77B5C6">
            <wp:extent cx="3719945" cy="1880754"/>
            <wp:effectExtent l="0" t="0" r="0" b="5715"/>
            <wp:docPr id="26" name="Chart 26" title="Overall workforce representation brokendown by age and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372B3" w:rsidRPr="000D2F61" w:rsidRDefault="00A372B3" w:rsidP="00A372B3">
      <w:r w:rsidRPr="000D2F61">
        <w:t>Observations:</w:t>
      </w:r>
    </w:p>
    <w:p w:rsidR="004A366D" w:rsidRPr="00AE49C8" w:rsidRDefault="004A366D" w:rsidP="004A366D">
      <w:pPr>
        <w:pStyle w:val="ListParagraph"/>
      </w:pPr>
      <w:r w:rsidRPr="00AE49C8">
        <w:t>Neither BSUH nor WSHT’s workforces reflect the 2011 Census data, but the gender profile broadly aligns with the national NHS workforce data.</w:t>
      </w:r>
    </w:p>
    <w:p w:rsidR="004A366D" w:rsidRPr="00AE49C8" w:rsidRDefault="004A366D" w:rsidP="004A366D">
      <w:pPr>
        <w:pStyle w:val="ListParagraph"/>
      </w:pPr>
      <w:r w:rsidRPr="00AE49C8">
        <w:t>There have not been any significant changes to the BSUH or WSHT gender profile compared to the previous year.</w:t>
      </w:r>
    </w:p>
    <w:p w:rsidR="008A38FE" w:rsidRPr="00AE49C8" w:rsidRDefault="00A372B3" w:rsidP="008A38FE">
      <w:pPr>
        <w:pStyle w:val="Heading3"/>
      </w:pPr>
      <w:bookmarkStart w:id="54" w:name="_Toc88634001"/>
      <w:r w:rsidRPr="00AE49C8">
        <w:t>Bre</w:t>
      </w:r>
      <w:r w:rsidR="008A38FE" w:rsidRPr="00AE49C8">
        <w:t>akdown of gender by pay banding</w:t>
      </w:r>
      <w:bookmarkEnd w:id="54"/>
    </w:p>
    <w:p w:rsidR="00A372B3" w:rsidRPr="00AE49C8" w:rsidRDefault="008A38FE" w:rsidP="00A372B3">
      <w:r w:rsidRPr="00AE49C8">
        <w:t>T</w:t>
      </w:r>
      <w:r w:rsidR="00A372B3" w:rsidRPr="00AE49C8">
        <w:t>he items in bold</w:t>
      </w:r>
      <w:r w:rsidRPr="00AE49C8">
        <w:t xml:space="preserve"> show where</w:t>
      </w:r>
      <w:r w:rsidR="00A372B3" w:rsidRPr="00AE49C8">
        <w:t xml:space="preserve"> a great</w:t>
      </w:r>
      <w:r w:rsidRPr="00AE49C8">
        <w:t>er</w:t>
      </w:r>
      <w:r w:rsidR="00A372B3" w:rsidRPr="00AE49C8">
        <w:t xml:space="preserve"> representation of that particular group </w:t>
      </w:r>
      <w:r w:rsidRPr="00AE49C8">
        <w:t>than</w:t>
      </w:r>
      <w:r w:rsidR="00A372B3" w:rsidRPr="00AE49C8">
        <w:t xml:space="preserve"> representation in the overall workforce</w:t>
      </w:r>
    </w:p>
    <w:p w:rsidR="00A372B3" w:rsidRPr="00AE49C8" w:rsidRDefault="00A372B3" w:rsidP="00A372B3">
      <w:pPr>
        <w:rPr>
          <w:b/>
        </w:rPr>
      </w:pPr>
      <w:r w:rsidRPr="00AE49C8">
        <w:rPr>
          <w:b/>
        </w:rPr>
        <w:t>BSUH</w:t>
      </w:r>
    </w:p>
    <w:tbl>
      <w:tblPr>
        <w:tblW w:w="6092" w:type="dxa"/>
        <w:jc w:val="center"/>
        <w:tblBorders>
          <w:insideH w:val="dotted" w:sz="4" w:space="0" w:color="auto"/>
        </w:tblBorders>
        <w:tblLook w:val="04A0" w:firstRow="1" w:lastRow="0" w:firstColumn="1" w:lastColumn="0" w:noHBand="0" w:noVBand="1"/>
        <w:tblCaption w:val="Payband/grade brokendown by gender"/>
      </w:tblPr>
      <w:tblGrid>
        <w:gridCol w:w="4172"/>
        <w:gridCol w:w="1044"/>
        <w:gridCol w:w="1030"/>
      </w:tblGrid>
      <w:tr w:rsidR="00A372B3" w:rsidRPr="00AE49C8" w:rsidTr="004A366D">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Pay Band</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b/>
                <w:bCs/>
                <w:color w:val="000000"/>
                <w:szCs w:val="24"/>
                <w:lang w:eastAsia="en-GB"/>
              </w:rPr>
            </w:pPr>
            <w:r w:rsidRPr="00AE49C8">
              <w:rPr>
                <w:rFonts w:eastAsia="Times New Roman"/>
                <w:b/>
                <w:bCs/>
                <w:color w:val="000000"/>
                <w:szCs w:val="24"/>
                <w:lang w:eastAsia="en-GB"/>
              </w:rPr>
              <w:t>Female</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b/>
                <w:bCs/>
                <w:color w:val="000000"/>
                <w:szCs w:val="24"/>
                <w:lang w:eastAsia="en-GB"/>
              </w:rPr>
            </w:pPr>
            <w:r w:rsidRPr="00AE49C8">
              <w:rPr>
                <w:rFonts w:eastAsia="Times New Roman"/>
                <w:b/>
                <w:bCs/>
                <w:color w:val="000000"/>
                <w:szCs w:val="24"/>
                <w:lang w:eastAsia="en-GB"/>
              </w:rPr>
              <w:t>Male</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1</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69.7%</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30.3%</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2</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64.9%</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35.1%</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3</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73.6%</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26.4%</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4</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79.0%</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21.0%</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5</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79.4%</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20.6%</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6</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82.0%</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18.0%</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7</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77.8%</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22.2%</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8a</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67.1%</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32.9%</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8b</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65.2%</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34.8%</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8c</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62.5%</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37.5%</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8d</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42.9%</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57.1%</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9</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43.8%</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56.3%</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Directors</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63.6%</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36.4%</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Consultant</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41.5%</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58.5%</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Middle Grade</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45.5%</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54.5%</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Training</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55.3%</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44.7%</w:t>
            </w:r>
          </w:p>
        </w:tc>
      </w:tr>
      <w:tr w:rsidR="00A372B3" w:rsidRPr="00AE49C8" w:rsidTr="00C92A79">
        <w:trPr>
          <w:cantSplit/>
          <w:trHeight w:val="288"/>
          <w:tblHeader/>
          <w:jc w:val="center"/>
        </w:trPr>
        <w:tc>
          <w:tcPr>
            <w:tcW w:w="417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Local Scale</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0.0%</w:t>
            </w:r>
          </w:p>
        </w:tc>
        <w:tc>
          <w:tcPr>
            <w:tcW w:w="960" w:type="dxa"/>
            <w:shd w:val="clear" w:color="auto" w:fill="41B6E6"/>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100.0%</w:t>
            </w:r>
          </w:p>
        </w:tc>
      </w:tr>
    </w:tbl>
    <w:p w:rsidR="00A372B3" w:rsidRPr="00AE49C8" w:rsidRDefault="00A372B3" w:rsidP="00A372B3">
      <w:pPr>
        <w:rPr>
          <w:b/>
        </w:rPr>
      </w:pPr>
    </w:p>
    <w:p w:rsidR="00A372B3" w:rsidRPr="000D2F61" w:rsidRDefault="00A372B3" w:rsidP="00A372B3">
      <w:r w:rsidRPr="000D2F61">
        <w:t>Observations</w:t>
      </w:r>
    </w:p>
    <w:p w:rsidR="00A372B3" w:rsidRPr="00AE49C8" w:rsidRDefault="004A366D" w:rsidP="004A366D">
      <w:pPr>
        <w:pStyle w:val="ListParagraph"/>
      </w:pPr>
      <w:r w:rsidRPr="00AE49C8">
        <w:lastRenderedPageBreak/>
        <w:t xml:space="preserve">There is a fair to good representation of female staff in bands 1-8b.  </w:t>
      </w:r>
      <w:r w:rsidR="007E749F" w:rsidRPr="00AE49C8">
        <w:t>There is a lower than expected representation from 8c-9, directors and all medical grades</w:t>
      </w:r>
      <w:r w:rsidRPr="00AE49C8">
        <w:t xml:space="preserve"> than the overall workforce representation.</w:t>
      </w:r>
    </w:p>
    <w:p w:rsidR="004A366D" w:rsidRPr="00AE49C8" w:rsidRDefault="004A366D" w:rsidP="004A366D">
      <w:pPr>
        <w:pStyle w:val="ListParagraph"/>
      </w:pPr>
      <w:r w:rsidRPr="00AE49C8">
        <w:t>Female staff have the highest representation in bands 3-7.</w:t>
      </w:r>
    </w:p>
    <w:p w:rsidR="004A366D" w:rsidRPr="00AE49C8" w:rsidRDefault="004A366D" w:rsidP="004A366D">
      <w:pPr>
        <w:pStyle w:val="ListParagraph"/>
      </w:pPr>
      <w:r w:rsidRPr="00AE49C8">
        <w:t>Male staff are well represented in bands 1-3, 8a-9, directors</w:t>
      </w:r>
      <w:r w:rsidR="008E6F14">
        <w:t xml:space="preserve"> and</w:t>
      </w:r>
      <w:r w:rsidRPr="00AE49C8">
        <w:t xml:space="preserve"> medical grades.  Apart from bands 3-7 (lower than expected), male staff have a higher than expected representation than the overall workforce.</w:t>
      </w:r>
    </w:p>
    <w:p w:rsidR="00A372B3" w:rsidRPr="00AE49C8" w:rsidRDefault="00A372B3" w:rsidP="00A372B3">
      <w:pPr>
        <w:rPr>
          <w:b/>
        </w:rPr>
      </w:pPr>
      <w:r w:rsidRPr="00AE49C8">
        <w:rPr>
          <w:b/>
        </w:rPr>
        <w:t>WSHT</w:t>
      </w:r>
    </w:p>
    <w:tbl>
      <w:tblPr>
        <w:tblW w:w="5658" w:type="dxa"/>
        <w:jc w:val="center"/>
        <w:tblBorders>
          <w:insideH w:val="dotted" w:sz="4" w:space="0" w:color="auto"/>
        </w:tblBorders>
        <w:tblLook w:val="04A0" w:firstRow="1" w:lastRow="0" w:firstColumn="1" w:lastColumn="0" w:noHBand="0" w:noVBand="1"/>
        <w:tblCaption w:val="Payband/grade brokendown by gender"/>
      </w:tblPr>
      <w:tblGrid>
        <w:gridCol w:w="3738"/>
        <w:gridCol w:w="1044"/>
        <w:gridCol w:w="960"/>
      </w:tblGrid>
      <w:tr w:rsidR="00A372B3" w:rsidRPr="00AE49C8" w:rsidTr="004A366D">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Pay Band</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b/>
                <w:bCs/>
                <w:color w:val="000000"/>
                <w:szCs w:val="24"/>
                <w:lang w:eastAsia="en-GB"/>
              </w:rPr>
            </w:pPr>
            <w:r w:rsidRPr="00AE49C8">
              <w:rPr>
                <w:rFonts w:eastAsia="Times New Roman"/>
                <w:b/>
                <w:bCs/>
                <w:color w:val="000000"/>
                <w:szCs w:val="24"/>
                <w:lang w:eastAsia="en-GB"/>
              </w:rPr>
              <w:t>Female</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b/>
                <w:bCs/>
                <w:color w:val="000000"/>
                <w:szCs w:val="24"/>
                <w:lang w:eastAsia="en-GB"/>
              </w:rPr>
            </w:pPr>
            <w:r w:rsidRPr="00AE49C8">
              <w:rPr>
                <w:rFonts w:eastAsia="Times New Roman"/>
                <w:b/>
                <w:bCs/>
                <w:color w:val="000000"/>
                <w:szCs w:val="24"/>
                <w:lang w:eastAsia="en-GB"/>
              </w:rPr>
              <w:t>Male</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1</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56.1%</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43.9%</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2</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75.8%</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24.2%</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3</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79.1%</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20.9%</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4</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86.3%</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13.7%</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5</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84.2%</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15.8%</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6</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86.7%</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13.3%</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7</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83.3%</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16.7%</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8a</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70.2%</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29.8%</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8b</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66.2%</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33.8%</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8c</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76.7%</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23.3%</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8d</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87.5%</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12.5%</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Band 9</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57.1%</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42.9%</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Directors</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52.4%</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47.6%</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Consultant</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35.8%</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64.2%</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Middle Grade</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53.8%</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46.2%</w:t>
            </w:r>
          </w:p>
        </w:tc>
      </w:tr>
      <w:tr w:rsidR="00A372B3" w:rsidRPr="00AE49C8" w:rsidTr="00C92A79">
        <w:trPr>
          <w:cantSplit/>
          <w:trHeight w:val="312"/>
          <w:tblHeader/>
          <w:jc w:val="center"/>
        </w:trPr>
        <w:tc>
          <w:tcPr>
            <w:tcW w:w="373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Training</w:t>
            </w:r>
          </w:p>
        </w:tc>
        <w:tc>
          <w:tcPr>
            <w:tcW w:w="960" w:type="dxa"/>
            <w:shd w:val="clear" w:color="auto" w:fill="auto"/>
            <w:noWrap/>
            <w:vAlign w:val="bottom"/>
            <w:hideMark/>
          </w:tcPr>
          <w:p w:rsidR="00A372B3" w:rsidRPr="00AE49C8" w:rsidRDefault="00A372B3" w:rsidP="00A372B3">
            <w:pPr>
              <w:spacing w:after="0" w:line="240" w:lineRule="auto"/>
              <w:jc w:val="right"/>
              <w:rPr>
                <w:rFonts w:eastAsia="Times New Roman"/>
                <w:color w:val="000000"/>
                <w:szCs w:val="24"/>
                <w:lang w:eastAsia="en-GB"/>
              </w:rPr>
            </w:pPr>
            <w:r w:rsidRPr="00AE49C8">
              <w:rPr>
                <w:rFonts w:eastAsia="Times New Roman"/>
                <w:color w:val="000000"/>
                <w:szCs w:val="24"/>
                <w:lang w:eastAsia="en-GB"/>
              </w:rPr>
              <w:t>62.7%</w:t>
            </w:r>
          </w:p>
        </w:tc>
        <w:tc>
          <w:tcPr>
            <w:tcW w:w="960" w:type="dxa"/>
            <w:shd w:val="clear" w:color="auto" w:fill="009639"/>
            <w:noWrap/>
            <w:vAlign w:val="bottom"/>
            <w:hideMark/>
          </w:tcPr>
          <w:p w:rsidR="00A372B3" w:rsidRPr="00C92A79" w:rsidRDefault="00A372B3" w:rsidP="00A372B3">
            <w:pPr>
              <w:spacing w:after="0" w:line="240" w:lineRule="auto"/>
              <w:jc w:val="right"/>
              <w:rPr>
                <w:rFonts w:eastAsia="Times New Roman"/>
                <w:b/>
                <w:bCs/>
                <w:color w:val="FFFFFF" w:themeColor="background1"/>
                <w:szCs w:val="24"/>
                <w:lang w:eastAsia="en-GB"/>
              </w:rPr>
            </w:pPr>
            <w:r w:rsidRPr="00C92A79">
              <w:rPr>
                <w:rFonts w:eastAsia="Times New Roman"/>
                <w:b/>
                <w:bCs/>
                <w:color w:val="FFFFFF" w:themeColor="background1"/>
                <w:szCs w:val="24"/>
                <w:lang w:eastAsia="en-GB"/>
              </w:rPr>
              <w:t>37.3%</w:t>
            </w:r>
          </w:p>
        </w:tc>
      </w:tr>
    </w:tbl>
    <w:p w:rsidR="00A372B3" w:rsidRPr="00AE49C8" w:rsidRDefault="00A372B3" w:rsidP="00A372B3">
      <w:pPr>
        <w:jc w:val="center"/>
        <w:rPr>
          <w:b/>
        </w:rPr>
      </w:pPr>
    </w:p>
    <w:p w:rsidR="00A372B3" w:rsidRPr="000D2F61" w:rsidRDefault="00A372B3" w:rsidP="00A372B3">
      <w:r w:rsidRPr="000D2F61">
        <w:t>Observations</w:t>
      </w:r>
    </w:p>
    <w:p w:rsidR="00A372B3" w:rsidRPr="00AE49C8" w:rsidRDefault="004A366D" w:rsidP="004A366D">
      <w:pPr>
        <w:pStyle w:val="ListParagraph"/>
      </w:pPr>
      <w:r w:rsidRPr="00AE49C8">
        <w:t>There is a good representation of female staff in bands 2-7 and 8c-d.  For all other bands, female staff have a lower than expected representation than the overall workforce.</w:t>
      </w:r>
    </w:p>
    <w:p w:rsidR="004A366D" w:rsidRPr="00AE49C8" w:rsidRDefault="004A366D" w:rsidP="004A366D">
      <w:pPr>
        <w:pStyle w:val="ListParagraph"/>
      </w:pPr>
      <w:r w:rsidRPr="00AE49C8">
        <w:t>Female staff have a higher than the overall workforce representation in bands 3-7 and 8d.</w:t>
      </w:r>
    </w:p>
    <w:p w:rsidR="004A366D" w:rsidRPr="00AE49C8" w:rsidRDefault="004A366D" w:rsidP="004A366D">
      <w:pPr>
        <w:pStyle w:val="ListParagraph"/>
      </w:pPr>
      <w:r w:rsidRPr="00AE49C8">
        <w:t xml:space="preserve">Male staff have a larger than expected representation (than the overall workforce representation) in bands 1-2, 8a-c, 9, directors and all medical grades.  In all other bands, male staff have a lower </w:t>
      </w:r>
      <w:r w:rsidR="008E6F14">
        <w:t>representation than expected</w:t>
      </w:r>
      <w:r w:rsidRPr="00AE49C8">
        <w:t>.</w:t>
      </w:r>
    </w:p>
    <w:p w:rsidR="004A366D" w:rsidRPr="00AE49C8" w:rsidRDefault="00A372B3" w:rsidP="004A366D">
      <w:pPr>
        <w:pStyle w:val="Heading3"/>
      </w:pPr>
      <w:bookmarkStart w:id="55" w:name="_Toc88634002"/>
      <w:r w:rsidRPr="00AE49C8">
        <w:t>Breakdown of gender in recruitment processes</w:t>
      </w:r>
      <w:bookmarkEnd w:id="55"/>
    </w:p>
    <w:p w:rsidR="00A372B3" w:rsidRPr="00AE49C8" w:rsidRDefault="004A366D" w:rsidP="00A372B3">
      <w:r w:rsidRPr="00AE49C8">
        <w:t>T</w:t>
      </w:r>
      <w:r w:rsidR="00A372B3" w:rsidRPr="00AE49C8">
        <w:t>he data compares the three stages of recruitment compared to the workforce representation within the organisation.</w:t>
      </w:r>
    </w:p>
    <w:p w:rsidR="00A372B3" w:rsidRPr="00AE49C8" w:rsidRDefault="00A372B3" w:rsidP="00A372B3">
      <w:pPr>
        <w:spacing w:line="240" w:lineRule="auto"/>
        <w:rPr>
          <w:b/>
        </w:rPr>
      </w:pPr>
      <w:r w:rsidRPr="00AE49C8">
        <w:rPr>
          <w:b/>
        </w:rPr>
        <w:lastRenderedPageBreak/>
        <w:t>BSUH</w:t>
      </w:r>
    </w:p>
    <w:tbl>
      <w:tblPr>
        <w:tblW w:w="7314" w:type="dxa"/>
        <w:jc w:val="center"/>
        <w:tblBorders>
          <w:insideH w:val="dotted" w:sz="4" w:space="0" w:color="auto"/>
        </w:tblBorders>
        <w:tblLook w:val="04A0" w:firstRow="1" w:lastRow="0" w:firstColumn="1" w:lastColumn="0" w:noHBand="0" w:noVBand="1"/>
        <w:tblCaption w:val="Recruitment processes brokendown by gender"/>
      </w:tblPr>
      <w:tblGrid>
        <w:gridCol w:w="2015"/>
        <w:gridCol w:w="1657"/>
        <w:gridCol w:w="1470"/>
        <w:gridCol w:w="1403"/>
        <w:gridCol w:w="1403"/>
      </w:tblGrid>
      <w:tr w:rsidR="00A372B3" w:rsidRPr="00AE49C8" w:rsidTr="004A366D">
        <w:trPr>
          <w:cantSplit/>
          <w:trHeight w:val="864"/>
          <w:tblHeader/>
          <w:jc w:val="center"/>
        </w:trPr>
        <w:tc>
          <w:tcPr>
            <w:tcW w:w="2015" w:type="dxa"/>
            <w:shd w:val="clear" w:color="auto" w:fill="auto"/>
            <w:vAlign w:val="bottom"/>
            <w:hideMark/>
          </w:tcPr>
          <w:p w:rsidR="00A372B3" w:rsidRPr="00AE49C8" w:rsidRDefault="006455EF" w:rsidP="00A372B3">
            <w:pPr>
              <w:spacing w:after="0" w:line="240" w:lineRule="auto"/>
              <w:rPr>
                <w:rFonts w:eastAsia="Times New Roman"/>
                <w:b/>
                <w:color w:val="000000"/>
                <w:lang w:eastAsia="en-GB"/>
              </w:rPr>
            </w:pPr>
            <w:r w:rsidRPr="00AE49C8">
              <w:rPr>
                <w:rFonts w:eastAsia="Times New Roman"/>
                <w:b/>
                <w:color w:val="000000"/>
                <w:lang w:eastAsia="en-GB"/>
              </w:rPr>
              <w:t>Gender</w:t>
            </w:r>
          </w:p>
        </w:tc>
        <w:tc>
          <w:tcPr>
            <w:tcW w:w="1452" w:type="dxa"/>
            <w:shd w:val="clear" w:color="auto" w:fill="auto"/>
            <w:vAlign w:val="bottom"/>
            <w:hideMark/>
          </w:tcPr>
          <w:p w:rsidR="00A372B3" w:rsidRPr="00AE49C8" w:rsidRDefault="00A372B3" w:rsidP="00A372B3">
            <w:pPr>
              <w:spacing w:after="0" w:line="240" w:lineRule="auto"/>
              <w:rPr>
                <w:rFonts w:eastAsia="Times New Roman"/>
                <w:b/>
                <w:color w:val="000000"/>
                <w:lang w:eastAsia="en-GB"/>
              </w:rPr>
            </w:pPr>
            <w:r w:rsidRPr="00AE49C8">
              <w:rPr>
                <w:rFonts w:eastAsia="Times New Roman"/>
                <w:b/>
                <w:color w:val="000000"/>
                <w:lang w:eastAsia="en-GB"/>
              </w:rPr>
              <w:t>Applications</w:t>
            </w:r>
          </w:p>
        </w:tc>
        <w:tc>
          <w:tcPr>
            <w:tcW w:w="1303" w:type="dxa"/>
            <w:shd w:val="clear" w:color="auto" w:fill="auto"/>
            <w:vAlign w:val="bottom"/>
            <w:hideMark/>
          </w:tcPr>
          <w:p w:rsidR="00A372B3" w:rsidRPr="00AE49C8" w:rsidRDefault="00A372B3" w:rsidP="00A372B3">
            <w:pPr>
              <w:spacing w:after="0" w:line="240" w:lineRule="auto"/>
              <w:rPr>
                <w:rFonts w:eastAsia="Times New Roman"/>
                <w:b/>
                <w:color w:val="000000"/>
                <w:lang w:eastAsia="en-GB"/>
              </w:rPr>
            </w:pPr>
            <w:r w:rsidRPr="00AE49C8">
              <w:rPr>
                <w:rFonts w:eastAsia="Times New Roman"/>
                <w:b/>
                <w:color w:val="000000"/>
                <w:lang w:eastAsia="en-GB"/>
              </w:rPr>
              <w:t>Shortlisted</w:t>
            </w:r>
          </w:p>
        </w:tc>
        <w:tc>
          <w:tcPr>
            <w:tcW w:w="1269" w:type="dxa"/>
            <w:shd w:val="clear" w:color="auto" w:fill="auto"/>
            <w:vAlign w:val="bottom"/>
            <w:hideMark/>
          </w:tcPr>
          <w:p w:rsidR="00A372B3" w:rsidRPr="00AE49C8" w:rsidRDefault="00A372B3" w:rsidP="00A372B3">
            <w:pPr>
              <w:spacing w:after="0" w:line="240" w:lineRule="auto"/>
              <w:rPr>
                <w:rFonts w:eastAsia="Times New Roman"/>
                <w:b/>
                <w:color w:val="000000"/>
                <w:lang w:eastAsia="en-GB"/>
              </w:rPr>
            </w:pPr>
            <w:r w:rsidRPr="00AE49C8">
              <w:rPr>
                <w:rFonts w:eastAsia="Times New Roman"/>
                <w:b/>
                <w:color w:val="000000"/>
                <w:lang w:eastAsia="en-GB"/>
              </w:rPr>
              <w:t>Appointed</w:t>
            </w:r>
          </w:p>
        </w:tc>
        <w:tc>
          <w:tcPr>
            <w:tcW w:w="1275" w:type="dxa"/>
            <w:shd w:val="clear" w:color="auto" w:fill="auto"/>
            <w:vAlign w:val="bottom"/>
            <w:hideMark/>
          </w:tcPr>
          <w:p w:rsidR="00A372B3" w:rsidRPr="00AE49C8" w:rsidRDefault="00A372B3" w:rsidP="00A372B3">
            <w:pPr>
              <w:spacing w:after="0" w:line="240" w:lineRule="auto"/>
              <w:rPr>
                <w:rFonts w:eastAsia="Times New Roman"/>
                <w:b/>
                <w:color w:val="000000"/>
                <w:lang w:eastAsia="en-GB"/>
              </w:rPr>
            </w:pPr>
            <w:r w:rsidRPr="00AE49C8">
              <w:rPr>
                <w:rFonts w:eastAsia="Times New Roman"/>
                <w:b/>
                <w:color w:val="000000"/>
                <w:lang w:eastAsia="en-GB"/>
              </w:rPr>
              <w:t>Workforce</w:t>
            </w:r>
          </w:p>
        </w:tc>
      </w:tr>
      <w:tr w:rsidR="00A372B3" w:rsidRPr="00AE49C8" w:rsidTr="004A366D">
        <w:trPr>
          <w:cantSplit/>
          <w:trHeight w:val="288"/>
          <w:tblHeader/>
          <w:jc w:val="center"/>
        </w:trPr>
        <w:tc>
          <w:tcPr>
            <w:tcW w:w="2015" w:type="dxa"/>
            <w:shd w:val="clear" w:color="auto" w:fill="auto"/>
            <w:noWrap/>
            <w:vAlign w:val="bottom"/>
            <w:hideMark/>
          </w:tcPr>
          <w:p w:rsidR="00A372B3" w:rsidRPr="00AE49C8" w:rsidRDefault="00A372B3" w:rsidP="00A372B3">
            <w:pPr>
              <w:spacing w:after="0" w:line="240" w:lineRule="auto"/>
              <w:rPr>
                <w:rFonts w:eastAsia="Times New Roman"/>
                <w:color w:val="000000"/>
                <w:lang w:eastAsia="en-GB"/>
              </w:rPr>
            </w:pPr>
            <w:r w:rsidRPr="00AE49C8">
              <w:rPr>
                <w:rFonts w:eastAsia="Times New Roman"/>
                <w:color w:val="000000"/>
                <w:lang w:eastAsia="en-GB"/>
              </w:rPr>
              <w:t>Male</w:t>
            </w:r>
          </w:p>
        </w:tc>
        <w:tc>
          <w:tcPr>
            <w:tcW w:w="1452"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37.9%</w:t>
            </w:r>
          </w:p>
        </w:tc>
        <w:tc>
          <w:tcPr>
            <w:tcW w:w="1303"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28.7%</w:t>
            </w:r>
          </w:p>
        </w:tc>
        <w:tc>
          <w:tcPr>
            <w:tcW w:w="1269"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27.3%</w:t>
            </w:r>
          </w:p>
        </w:tc>
        <w:tc>
          <w:tcPr>
            <w:tcW w:w="1275"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28.9%</w:t>
            </w:r>
          </w:p>
        </w:tc>
      </w:tr>
      <w:tr w:rsidR="00A372B3" w:rsidRPr="00AE49C8" w:rsidTr="004A366D">
        <w:trPr>
          <w:cantSplit/>
          <w:trHeight w:val="288"/>
          <w:tblHeader/>
          <w:jc w:val="center"/>
        </w:trPr>
        <w:tc>
          <w:tcPr>
            <w:tcW w:w="2015" w:type="dxa"/>
            <w:shd w:val="clear" w:color="auto" w:fill="auto"/>
            <w:noWrap/>
            <w:vAlign w:val="bottom"/>
            <w:hideMark/>
          </w:tcPr>
          <w:p w:rsidR="00A372B3" w:rsidRPr="00AE49C8" w:rsidRDefault="00A372B3" w:rsidP="00A372B3">
            <w:pPr>
              <w:spacing w:after="0" w:line="240" w:lineRule="auto"/>
              <w:rPr>
                <w:rFonts w:eastAsia="Times New Roman"/>
                <w:color w:val="000000"/>
                <w:lang w:eastAsia="en-GB"/>
              </w:rPr>
            </w:pPr>
            <w:r w:rsidRPr="00AE49C8">
              <w:rPr>
                <w:rFonts w:eastAsia="Times New Roman"/>
                <w:color w:val="000000"/>
                <w:lang w:eastAsia="en-GB"/>
              </w:rPr>
              <w:t>Female</w:t>
            </w:r>
          </w:p>
        </w:tc>
        <w:tc>
          <w:tcPr>
            <w:tcW w:w="1452"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61.4%</w:t>
            </w:r>
          </w:p>
        </w:tc>
        <w:tc>
          <w:tcPr>
            <w:tcW w:w="1303"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70.8%</w:t>
            </w:r>
          </w:p>
        </w:tc>
        <w:tc>
          <w:tcPr>
            <w:tcW w:w="1269"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72.0%</w:t>
            </w:r>
          </w:p>
        </w:tc>
        <w:tc>
          <w:tcPr>
            <w:tcW w:w="1275"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71.1%</w:t>
            </w:r>
          </w:p>
        </w:tc>
      </w:tr>
      <w:tr w:rsidR="00A372B3" w:rsidRPr="00AE49C8" w:rsidTr="004A366D">
        <w:trPr>
          <w:cantSplit/>
          <w:trHeight w:val="288"/>
          <w:tblHeader/>
          <w:jc w:val="center"/>
        </w:trPr>
        <w:tc>
          <w:tcPr>
            <w:tcW w:w="2015" w:type="dxa"/>
            <w:shd w:val="clear" w:color="auto" w:fill="auto"/>
            <w:noWrap/>
            <w:vAlign w:val="bottom"/>
            <w:hideMark/>
          </w:tcPr>
          <w:p w:rsidR="00A372B3" w:rsidRPr="00AE49C8" w:rsidRDefault="00A372B3" w:rsidP="00A372B3">
            <w:pPr>
              <w:spacing w:after="0" w:line="240" w:lineRule="auto"/>
              <w:rPr>
                <w:rFonts w:eastAsia="Times New Roman"/>
                <w:color w:val="000000"/>
                <w:lang w:eastAsia="en-GB"/>
              </w:rPr>
            </w:pPr>
            <w:r w:rsidRPr="00AE49C8">
              <w:rPr>
                <w:rFonts w:eastAsia="Times New Roman"/>
                <w:color w:val="000000"/>
                <w:lang w:eastAsia="en-GB"/>
              </w:rPr>
              <w:t>Prefer not to say</w:t>
            </w:r>
          </w:p>
        </w:tc>
        <w:tc>
          <w:tcPr>
            <w:tcW w:w="1452"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0.7%</w:t>
            </w:r>
          </w:p>
        </w:tc>
        <w:tc>
          <w:tcPr>
            <w:tcW w:w="1303"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0.5%</w:t>
            </w:r>
          </w:p>
        </w:tc>
        <w:tc>
          <w:tcPr>
            <w:tcW w:w="1269"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0.6%</w:t>
            </w:r>
          </w:p>
        </w:tc>
        <w:tc>
          <w:tcPr>
            <w:tcW w:w="1275" w:type="dxa"/>
            <w:shd w:val="clear" w:color="auto" w:fill="auto"/>
            <w:noWrap/>
            <w:vAlign w:val="bottom"/>
            <w:hideMark/>
          </w:tcPr>
          <w:p w:rsidR="00A372B3" w:rsidRPr="00AE49C8" w:rsidRDefault="00A372B3" w:rsidP="00A372B3">
            <w:pPr>
              <w:spacing w:after="0" w:line="240" w:lineRule="auto"/>
              <w:rPr>
                <w:rFonts w:eastAsia="Times New Roman"/>
                <w:color w:val="000000"/>
                <w:lang w:eastAsia="en-GB"/>
              </w:rPr>
            </w:pPr>
          </w:p>
        </w:tc>
      </w:tr>
      <w:tr w:rsidR="00A372B3" w:rsidRPr="00AE49C8" w:rsidTr="004A366D">
        <w:trPr>
          <w:cantSplit/>
          <w:trHeight w:val="288"/>
          <w:tblHeader/>
          <w:jc w:val="center"/>
        </w:trPr>
        <w:tc>
          <w:tcPr>
            <w:tcW w:w="2015" w:type="dxa"/>
            <w:shd w:val="clear" w:color="auto" w:fill="auto"/>
            <w:noWrap/>
            <w:vAlign w:val="bottom"/>
            <w:hideMark/>
          </w:tcPr>
          <w:p w:rsidR="00A372B3" w:rsidRPr="00AE49C8" w:rsidRDefault="00A372B3" w:rsidP="00A372B3">
            <w:pPr>
              <w:spacing w:after="0" w:line="240" w:lineRule="auto"/>
              <w:rPr>
                <w:rFonts w:eastAsia="Times New Roman"/>
                <w:color w:val="000000"/>
                <w:lang w:eastAsia="en-GB"/>
              </w:rPr>
            </w:pPr>
            <w:r w:rsidRPr="00AE49C8">
              <w:rPr>
                <w:rFonts w:eastAsia="Times New Roman"/>
                <w:color w:val="000000"/>
                <w:lang w:eastAsia="en-GB"/>
              </w:rPr>
              <w:t>Unknown</w:t>
            </w:r>
          </w:p>
        </w:tc>
        <w:tc>
          <w:tcPr>
            <w:tcW w:w="1452"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0.0%</w:t>
            </w:r>
          </w:p>
        </w:tc>
        <w:tc>
          <w:tcPr>
            <w:tcW w:w="1303"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0.0%</w:t>
            </w:r>
          </w:p>
        </w:tc>
        <w:tc>
          <w:tcPr>
            <w:tcW w:w="1269"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0.0%</w:t>
            </w:r>
          </w:p>
        </w:tc>
        <w:tc>
          <w:tcPr>
            <w:tcW w:w="1275" w:type="dxa"/>
            <w:shd w:val="clear" w:color="auto" w:fill="auto"/>
            <w:noWrap/>
            <w:vAlign w:val="bottom"/>
            <w:hideMark/>
          </w:tcPr>
          <w:p w:rsidR="00A372B3" w:rsidRPr="00AE49C8" w:rsidRDefault="00A372B3" w:rsidP="00A372B3">
            <w:pPr>
              <w:spacing w:after="0" w:line="240" w:lineRule="auto"/>
              <w:rPr>
                <w:rFonts w:eastAsia="Times New Roman"/>
                <w:color w:val="000000"/>
                <w:lang w:eastAsia="en-GB"/>
              </w:rPr>
            </w:pPr>
          </w:p>
        </w:tc>
      </w:tr>
      <w:tr w:rsidR="00A372B3" w:rsidRPr="00AE49C8" w:rsidTr="004A366D">
        <w:trPr>
          <w:cantSplit/>
          <w:trHeight w:val="288"/>
          <w:tblHeader/>
          <w:jc w:val="center"/>
        </w:trPr>
        <w:tc>
          <w:tcPr>
            <w:tcW w:w="2015" w:type="dxa"/>
            <w:shd w:val="clear" w:color="auto" w:fill="auto"/>
            <w:noWrap/>
            <w:vAlign w:val="bottom"/>
            <w:hideMark/>
          </w:tcPr>
          <w:p w:rsidR="00A372B3" w:rsidRPr="00AE49C8" w:rsidRDefault="00A372B3" w:rsidP="00A372B3">
            <w:pPr>
              <w:spacing w:after="0" w:line="240" w:lineRule="auto"/>
              <w:rPr>
                <w:rFonts w:eastAsia="Times New Roman"/>
                <w:color w:val="000000"/>
                <w:lang w:eastAsia="en-GB"/>
              </w:rPr>
            </w:pPr>
            <w:r w:rsidRPr="00AE49C8">
              <w:rPr>
                <w:rFonts w:eastAsia="Times New Roman"/>
                <w:color w:val="000000"/>
                <w:lang w:eastAsia="en-GB"/>
              </w:rPr>
              <w:t>Total</w:t>
            </w:r>
          </w:p>
        </w:tc>
        <w:tc>
          <w:tcPr>
            <w:tcW w:w="1452"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100.0%</w:t>
            </w:r>
          </w:p>
        </w:tc>
        <w:tc>
          <w:tcPr>
            <w:tcW w:w="1303"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100.0%</w:t>
            </w:r>
          </w:p>
        </w:tc>
        <w:tc>
          <w:tcPr>
            <w:tcW w:w="1269" w:type="dxa"/>
            <w:shd w:val="clear" w:color="auto" w:fill="auto"/>
            <w:noWrap/>
            <w:vAlign w:val="bottom"/>
            <w:hideMark/>
          </w:tcPr>
          <w:p w:rsidR="00A372B3" w:rsidRPr="00AE49C8" w:rsidRDefault="00A372B3" w:rsidP="00A372B3">
            <w:pPr>
              <w:spacing w:after="0" w:line="240" w:lineRule="auto"/>
              <w:jc w:val="right"/>
              <w:rPr>
                <w:rFonts w:eastAsia="Times New Roman"/>
                <w:color w:val="000000"/>
                <w:lang w:eastAsia="en-GB"/>
              </w:rPr>
            </w:pPr>
            <w:r w:rsidRPr="00AE49C8">
              <w:rPr>
                <w:rFonts w:eastAsia="Times New Roman"/>
                <w:color w:val="000000"/>
                <w:lang w:eastAsia="en-GB"/>
              </w:rPr>
              <w:t>100.0%</w:t>
            </w:r>
          </w:p>
        </w:tc>
        <w:tc>
          <w:tcPr>
            <w:tcW w:w="1275" w:type="dxa"/>
            <w:shd w:val="clear" w:color="auto" w:fill="auto"/>
            <w:noWrap/>
            <w:vAlign w:val="bottom"/>
            <w:hideMark/>
          </w:tcPr>
          <w:p w:rsidR="00A372B3" w:rsidRPr="00AE49C8" w:rsidRDefault="00A372B3" w:rsidP="00A372B3">
            <w:pPr>
              <w:spacing w:after="0" w:line="240" w:lineRule="auto"/>
              <w:rPr>
                <w:rFonts w:eastAsia="Times New Roman"/>
                <w:color w:val="000000"/>
                <w:lang w:eastAsia="en-GB"/>
              </w:rPr>
            </w:pPr>
          </w:p>
        </w:tc>
      </w:tr>
    </w:tbl>
    <w:p w:rsidR="00A372B3" w:rsidRPr="00AE49C8" w:rsidRDefault="00A372B3" w:rsidP="00A372B3">
      <w:pPr>
        <w:spacing w:line="240" w:lineRule="auto"/>
        <w:rPr>
          <w:b/>
        </w:rPr>
      </w:pPr>
    </w:p>
    <w:p w:rsidR="00A372B3" w:rsidRPr="00AE49C8" w:rsidRDefault="00A372B3" w:rsidP="00A372B3">
      <w:pPr>
        <w:jc w:val="center"/>
        <w:rPr>
          <w:b/>
        </w:rPr>
      </w:pPr>
      <w:r w:rsidRPr="00AE49C8">
        <w:rPr>
          <w:noProof/>
          <w:lang w:eastAsia="en-GB"/>
        </w:rPr>
        <w:drawing>
          <wp:inline distT="0" distB="0" distL="0" distR="0" wp14:anchorId="1D85426D" wp14:editId="1C520CBE">
            <wp:extent cx="5731510" cy="2690148"/>
            <wp:effectExtent l="0" t="0" r="2540" b="0"/>
            <wp:docPr id="27" name="Chart 27" title="Recruitment processes brokendown by gender and comparing to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372B3" w:rsidRPr="000D2F61" w:rsidRDefault="00A372B3" w:rsidP="00A372B3">
      <w:r w:rsidRPr="000D2F61">
        <w:t>Observations</w:t>
      </w:r>
    </w:p>
    <w:p w:rsidR="00A372B3" w:rsidRPr="00AE49C8" w:rsidRDefault="004A366D" w:rsidP="004A366D">
      <w:pPr>
        <w:pStyle w:val="ListParagraph"/>
      </w:pPr>
      <w:r w:rsidRPr="00AE49C8">
        <w:t>There is a greater proportion of male candidates (than the overall workforce representation) at the application stage.  However, at shortlisting and appointment stages, the representation of male candidates are broadly in line with the overall workforce representation.</w:t>
      </w:r>
    </w:p>
    <w:p w:rsidR="004A366D" w:rsidRPr="00AE49C8" w:rsidRDefault="004A366D" w:rsidP="004A366D">
      <w:pPr>
        <w:pStyle w:val="ListParagraph"/>
      </w:pPr>
      <w:r w:rsidRPr="00AE49C8">
        <w:t>There is a lower representation of female applicants at the application stage than in the overall workforce representation.  However, at shortlisting and appointment stages, the representation of female candidates is broadly in line with the overall workforce representation.</w:t>
      </w:r>
    </w:p>
    <w:p w:rsidR="005F60AF" w:rsidRPr="00AE49C8" w:rsidRDefault="005F60AF" w:rsidP="004A366D">
      <w:pPr>
        <w:pStyle w:val="ListParagraph"/>
      </w:pPr>
      <w:r w:rsidRPr="00AE49C8">
        <w:t>The overall conversion throughout the recruitment process may suggest that male candidates may suggest that they experience a disadvantage; the opposite is true for female candidates.</w:t>
      </w:r>
    </w:p>
    <w:p w:rsidR="005F60AF" w:rsidRPr="00AE49C8" w:rsidRDefault="005F60AF" w:rsidP="004A366D">
      <w:pPr>
        <w:pStyle w:val="ListParagraph"/>
      </w:pPr>
    </w:p>
    <w:p w:rsidR="00C92A79" w:rsidRDefault="00C92A79">
      <w:pPr>
        <w:widowControl w:val="0"/>
        <w:rPr>
          <w:b/>
        </w:rPr>
      </w:pPr>
      <w:r>
        <w:rPr>
          <w:b/>
        </w:rPr>
        <w:br w:type="page"/>
      </w:r>
    </w:p>
    <w:p w:rsidR="00A372B3" w:rsidRPr="00AE49C8" w:rsidRDefault="00A372B3" w:rsidP="00A372B3">
      <w:pPr>
        <w:spacing w:line="240" w:lineRule="auto"/>
        <w:rPr>
          <w:b/>
        </w:rPr>
      </w:pPr>
      <w:r w:rsidRPr="00AE49C8">
        <w:rPr>
          <w:b/>
        </w:rPr>
        <w:lastRenderedPageBreak/>
        <w:t>WSHT</w:t>
      </w:r>
    </w:p>
    <w:tbl>
      <w:tblPr>
        <w:tblW w:w="7261" w:type="dxa"/>
        <w:jc w:val="center"/>
        <w:tblBorders>
          <w:insideH w:val="dotted" w:sz="4" w:space="0" w:color="auto"/>
        </w:tblBorders>
        <w:tblLook w:val="04A0" w:firstRow="1" w:lastRow="0" w:firstColumn="1" w:lastColumn="0" w:noHBand="0" w:noVBand="1"/>
        <w:tblCaption w:val="Recruitment processes brokendown by gender"/>
      </w:tblPr>
      <w:tblGrid>
        <w:gridCol w:w="1962"/>
        <w:gridCol w:w="1657"/>
        <w:gridCol w:w="1470"/>
        <w:gridCol w:w="1403"/>
        <w:gridCol w:w="1403"/>
      </w:tblGrid>
      <w:tr w:rsidR="00A372B3" w:rsidRPr="00AE49C8" w:rsidTr="004A366D">
        <w:trPr>
          <w:cantSplit/>
          <w:trHeight w:val="936"/>
          <w:tblHeader/>
          <w:jc w:val="center"/>
        </w:trPr>
        <w:tc>
          <w:tcPr>
            <w:tcW w:w="1962" w:type="dxa"/>
            <w:shd w:val="clear" w:color="auto" w:fill="auto"/>
            <w:vAlign w:val="bottom"/>
            <w:hideMark/>
          </w:tcPr>
          <w:p w:rsidR="006455EF" w:rsidRPr="00AE49C8" w:rsidRDefault="006455EF" w:rsidP="00A372B3">
            <w:pPr>
              <w:spacing w:after="0" w:line="240" w:lineRule="auto"/>
              <w:rPr>
                <w:rFonts w:eastAsia="Times New Roman"/>
                <w:b/>
                <w:color w:val="000000"/>
                <w:szCs w:val="24"/>
                <w:lang w:eastAsia="en-GB"/>
              </w:rPr>
            </w:pPr>
            <w:r w:rsidRPr="00AE49C8">
              <w:rPr>
                <w:rFonts w:eastAsia="Times New Roman"/>
                <w:b/>
                <w:color w:val="000000"/>
                <w:szCs w:val="24"/>
                <w:lang w:eastAsia="en-GB"/>
              </w:rPr>
              <w:t>Gender</w:t>
            </w:r>
          </w:p>
        </w:tc>
        <w:tc>
          <w:tcPr>
            <w:tcW w:w="1452" w:type="dxa"/>
            <w:shd w:val="clear" w:color="auto" w:fill="auto"/>
            <w:vAlign w:val="bottom"/>
            <w:hideMark/>
          </w:tcPr>
          <w:p w:rsidR="00A372B3" w:rsidRPr="00AE49C8" w:rsidRDefault="00A372B3" w:rsidP="00A372B3">
            <w:pPr>
              <w:spacing w:after="0" w:line="240" w:lineRule="auto"/>
              <w:rPr>
                <w:rFonts w:eastAsia="Times New Roman"/>
                <w:b/>
                <w:color w:val="000000"/>
                <w:szCs w:val="24"/>
                <w:lang w:eastAsia="en-GB"/>
              </w:rPr>
            </w:pPr>
            <w:r w:rsidRPr="00AE49C8">
              <w:rPr>
                <w:rFonts w:eastAsia="Times New Roman"/>
                <w:b/>
                <w:color w:val="000000"/>
                <w:szCs w:val="24"/>
                <w:lang w:eastAsia="en-GB"/>
              </w:rPr>
              <w:t>Applications</w:t>
            </w:r>
          </w:p>
        </w:tc>
        <w:tc>
          <w:tcPr>
            <w:tcW w:w="1303" w:type="dxa"/>
            <w:shd w:val="clear" w:color="auto" w:fill="auto"/>
            <w:vAlign w:val="bottom"/>
            <w:hideMark/>
          </w:tcPr>
          <w:p w:rsidR="00A372B3" w:rsidRPr="00AE49C8" w:rsidRDefault="00A372B3" w:rsidP="00A372B3">
            <w:pPr>
              <w:spacing w:after="0" w:line="240" w:lineRule="auto"/>
              <w:rPr>
                <w:rFonts w:eastAsia="Times New Roman"/>
                <w:b/>
                <w:color w:val="000000"/>
                <w:szCs w:val="24"/>
                <w:lang w:eastAsia="en-GB"/>
              </w:rPr>
            </w:pPr>
            <w:r w:rsidRPr="00AE49C8">
              <w:rPr>
                <w:rFonts w:eastAsia="Times New Roman"/>
                <w:b/>
                <w:color w:val="000000"/>
                <w:szCs w:val="24"/>
                <w:lang w:eastAsia="en-GB"/>
              </w:rPr>
              <w:t>Shortlisted</w:t>
            </w:r>
          </w:p>
        </w:tc>
        <w:tc>
          <w:tcPr>
            <w:tcW w:w="1269" w:type="dxa"/>
            <w:shd w:val="clear" w:color="auto" w:fill="auto"/>
            <w:vAlign w:val="bottom"/>
            <w:hideMark/>
          </w:tcPr>
          <w:p w:rsidR="00A372B3" w:rsidRPr="00AE49C8" w:rsidRDefault="00A372B3" w:rsidP="00A372B3">
            <w:pPr>
              <w:spacing w:after="0" w:line="240" w:lineRule="auto"/>
              <w:rPr>
                <w:rFonts w:eastAsia="Times New Roman"/>
                <w:b/>
                <w:color w:val="000000"/>
                <w:szCs w:val="24"/>
                <w:lang w:eastAsia="en-GB"/>
              </w:rPr>
            </w:pPr>
            <w:r w:rsidRPr="00AE49C8">
              <w:rPr>
                <w:rFonts w:eastAsia="Times New Roman"/>
                <w:b/>
                <w:color w:val="000000"/>
                <w:szCs w:val="24"/>
                <w:lang w:eastAsia="en-GB"/>
              </w:rPr>
              <w:t>Appointed</w:t>
            </w:r>
          </w:p>
        </w:tc>
        <w:tc>
          <w:tcPr>
            <w:tcW w:w="1275" w:type="dxa"/>
            <w:shd w:val="clear" w:color="auto" w:fill="auto"/>
            <w:vAlign w:val="bottom"/>
            <w:hideMark/>
          </w:tcPr>
          <w:p w:rsidR="00A372B3" w:rsidRPr="00AE49C8" w:rsidRDefault="00A372B3" w:rsidP="00A372B3">
            <w:pPr>
              <w:spacing w:after="0" w:line="240" w:lineRule="auto"/>
              <w:rPr>
                <w:rFonts w:eastAsia="Times New Roman"/>
                <w:b/>
                <w:color w:val="000000"/>
                <w:szCs w:val="24"/>
                <w:lang w:eastAsia="en-GB"/>
              </w:rPr>
            </w:pPr>
            <w:r w:rsidRPr="00AE49C8">
              <w:rPr>
                <w:rFonts w:eastAsia="Times New Roman"/>
                <w:b/>
                <w:color w:val="000000"/>
                <w:szCs w:val="24"/>
                <w:lang w:eastAsia="en-GB"/>
              </w:rPr>
              <w:t>Workforce</w:t>
            </w:r>
          </w:p>
        </w:tc>
      </w:tr>
      <w:tr w:rsidR="00A372B3" w:rsidRPr="00AE49C8" w:rsidTr="004A366D">
        <w:trPr>
          <w:cantSplit/>
          <w:trHeight w:val="312"/>
          <w:tblHeader/>
          <w:jc w:val="center"/>
        </w:trPr>
        <w:tc>
          <w:tcPr>
            <w:tcW w:w="196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Male</w:t>
            </w:r>
          </w:p>
        </w:tc>
        <w:tc>
          <w:tcPr>
            <w:tcW w:w="145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34.9%</w:t>
            </w:r>
          </w:p>
        </w:tc>
        <w:tc>
          <w:tcPr>
            <w:tcW w:w="1303"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25.1%</w:t>
            </w:r>
          </w:p>
        </w:tc>
        <w:tc>
          <w:tcPr>
            <w:tcW w:w="1269"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22.2%</w:t>
            </w:r>
          </w:p>
        </w:tc>
        <w:tc>
          <w:tcPr>
            <w:tcW w:w="127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23.1%</w:t>
            </w:r>
          </w:p>
        </w:tc>
      </w:tr>
      <w:tr w:rsidR="00A372B3" w:rsidRPr="00AE49C8" w:rsidTr="004A366D">
        <w:trPr>
          <w:cantSplit/>
          <w:trHeight w:val="312"/>
          <w:tblHeader/>
          <w:jc w:val="center"/>
        </w:trPr>
        <w:tc>
          <w:tcPr>
            <w:tcW w:w="196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Female</w:t>
            </w:r>
          </w:p>
        </w:tc>
        <w:tc>
          <w:tcPr>
            <w:tcW w:w="145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64.8%</w:t>
            </w:r>
          </w:p>
        </w:tc>
        <w:tc>
          <w:tcPr>
            <w:tcW w:w="1303"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74.6%</w:t>
            </w:r>
          </w:p>
        </w:tc>
        <w:tc>
          <w:tcPr>
            <w:tcW w:w="1269"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77.6%</w:t>
            </w:r>
          </w:p>
        </w:tc>
        <w:tc>
          <w:tcPr>
            <w:tcW w:w="127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76.9%</w:t>
            </w:r>
          </w:p>
        </w:tc>
      </w:tr>
      <w:tr w:rsidR="00A372B3" w:rsidRPr="00AE49C8" w:rsidTr="004A366D">
        <w:trPr>
          <w:cantSplit/>
          <w:trHeight w:val="312"/>
          <w:tblHeader/>
          <w:jc w:val="center"/>
        </w:trPr>
        <w:tc>
          <w:tcPr>
            <w:tcW w:w="196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45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0.3%</w:t>
            </w:r>
          </w:p>
        </w:tc>
        <w:tc>
          <w:tcPr>
            <w:tcW w:w="1303"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0.3%</w:t>
            </w:r>
          </w:p>
        </w:tc>
        <w:tc>
          <w:tcPr>
            <w:tcW w:w="1269"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0.2%</w:t>
            </w:r>
          </w:p>
        </w:tc>
        <w:tc>
          <w:tcPr>
            <w:tcW w:w="127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p>
        </w:tc>
      </w:tr>
      <w:tr w:rsidR="00A372B3" w:rsidRPr="00AE49C8" w:rsidTr="004A366D">
        <w:trPr>
          <w:cantSplit/>
          <w:trHeight w:val="312"/>
          <w:tblHeader/>
          <w:jc w:val="center"/>
        </w:trPr>
        <w:tc>
          <w:tcPr>
            <w:tcW w:w="196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45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303"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69"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7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p>
        </w:tc>
      </w:tr>
      <w:tr w:rsidR="00A372B3" w:rsidRPr="00AE49C8" w:rsidTr="004A366D">
        <w:trPr>
          <w:cantSplit/>
          <w:trHeight w:val="312"/>
          <w:tblHeader/>
          <w:jc w:val="center"/>
        </w:trPr>
        <w:tc>
          <w:tcPr>
            <w:tcW w:w="196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Total</w:t>
            </w:r>
          </w:p>
        </w:tc>
        <w:tc>
          <w:tcPr>
            <w:tcW w:w="145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303"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269"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27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p>
        </w:tc>
      </w:tr>
    </w:tbl>
    <w:p w:rsidR="00A372B3" w:rsidRPr="00AE49C8" w:rsidRDefault="00A372B3" w:rsidP="00A372B3">
      <w:pPr>
        <w:spacing w:line="240" w:lineRule="auto"/>
        <w:jc w:val="center"/>
        <w:rPr>
          <w:b/>
        </w:rPr>
      </w:pPr>
    </w:p>
    <w:p w:rsidR="00A372B3" w:rsidRPr="00AE49C8" w:rsidRDefault="00A372B3" w:rsidP="00A372B3">
      <w:pPr>
        <w:jc w:val="center"/>
        <w:rPr>
          <w:b/>
        </w:rPr>
      </w:pPr>
      <w:r w:rsidRPr="00AE49C8">
        <w:rPr>
          <w:noProof/>
          <w:lang w:eastAsia="en-GB"/>
        </w:rPr>
        <w:drawing>
          <wp:inline distT="0" distB="0" distL="0" distR="0" wp14:anchorId="12BF90E5" wp14:editId="5A2659B0">
            <wp:extent cx="5731510" cy="2809710"/>
            <wp:effectExtent l="0" t="0" r="2540" b="0"/>
            <wp:docPr id="28" name="Chart 28" title="Recruitment processes brokendown by gender and comparing to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372B3" w:rsidRPr="000D2F61" w:rsidRDefault="00A372B3" w:rsidP="00A372B3">
      <w:r w:rsidRPr="000D2F61">
        <w:t>Observations</w:t>
      </w:r>
    </w:p>
    <w:p w:rsidR="005F60AF" w:rsidRPr="00AE49C8" w:rsidRDefault="005F60AF" w:rsidP="005F60AF">
      <w:pPr>
        <w:pStyle w:val="ListParagraph"/>
      </w:pPr>
      <w:r w:rsidRPr="00AE49C8">
        <w:t>There is a greater proportion of male candidates (than the overall workforce representation) at the application stage.  However, at shortlisting and appointment stages, the representation of male candidates are broadly in line with the overall workforce representation.</w:t>
      </w:r>
    </w:p>
    <w:p w:rsidR="005F60AF" w:rsidRPr="00AE49C8" w:rsidRDefault="005F60AF" w:rsidP="005F60AF">
      <w:pPr>
        <w:pStyle w:val="ListParagraph"/>
      </w:pPr>
      <w:r w:rsidRPr="00AE49C8">
        <w:t>There is a lower representation of female applicants at the application stage than in the overall workforce representation.  However, at shortlisting and appointment stages, the representation of female candidates is broadly in line with the overall workforce representation.</w:t>
      </w:r>
    </w:p>
    <w:p w:rsidR="005F60AF" w:rsidRPr="00AE49C8" w:rsidRDefault="005F60AF" w:rsidP="005F60AF">
      <w:pPr>
        <w:pStyle w:val="ListParagraph"/>
      </w:pPr>
      <w:r w:rsidRPr="00AE49C8">
        <w:t>The overall conversion throughout the recruitment process may suggest that male candidates may suggest that they experience a disadvantage; the opposite is true for female candidates.</w:t>
      </w:r>
    </w:p>
    <w:p w:rsidR="00C92A79" w:rsidRDefault="00C92A79">
      <w:pPr>
        <w:widowControl w:val="0"/>
        <w:rPr>
          <w:rFonts w:eastAsiaTheme="majorEastAsia"/>
          <w:b/>
          <w:bCs/>
          <w:color w:val="0070C0"/>
        </w:rPr>
      </w:pPr>
      <w:r>
        <w:br w:type="page"/>
      </w:r>
    </w:p>
    <w:p w:rsidR="00A372B3" w:rsidRPr="00AE49C8" w:rsidRDefault="00A372B3" w:rsidP="000B2BAB">
      <w:pPr>
        <w:pStyle w:val="Heading3"/>
      </w:pPr>
      <w:bookmarkStart w:id="56" w:name="_Toc88634003"/>
      <w:r w:rsidRPr="00AE49C8">
        <w:lastRenderedPageBreak/>
        <w:t>Uptake of non-mandatory training or continuing professional development</w:t>
      </w:r>
      <w:bookmarkEnd w:id="56"/>
    </w:p>
    <w:p w:rsidR="00A372B3" w:rsidRPr="00AE49C8" w:rsidRDefault="00A372B3" w:rsidP="00A372B3">
      <w:pPr>
        <w:rPr>
          <w:b/>
        </w:rPr>
      </w:pPr>
      <w:r w:rsidRPr="00AE49C8">
        <w:rPr>
          <w:b/>
        </w:rPr>
        <w:t>BSUH</w:t>
      </w:r>
    </w:p>
    <w:tbl>
      <w:tblPr>
        <w:tblW w:w="7674" w:type="dxa"/>
        <w:jc w:val="center"/>
        <w:tblBorders>
          <w:insideH w:val="dotted" w:sz="4" w:space="0" w:color="auto"/>
        </w:tblBorders>
        <w:tblLook w:val="04A0" w:firstRow="1" w:lastRow="0" w:firstColumn="1" w:lastColumn="0" w:noHBand="0" w:noVBand="1"/>
        <w:tblCaption w:val="Non-mandatory/CPD training uptake brokendown by gender"/>
      </w:tblPr>
      <w:tblGrid>
        <w:gridCol w:w="1690"/>
        <w:gridCol w:w="2153"/>
        <w:gridCol w:w="2126"/>
        <w:gridCol w:w="1884"/>
      </w:tblGrid>
      <w:tr w:rsidR="00A372B3" w:rsidRPr="00AE49C8" w:rsidTr="000B2BAB">
        <w:trPr>
          <w:cantSplit/>
          <w:trHeight w:val="312"/>
          <w:tblHeader/>
          <w:jc w:val="center"/>
        </w:trPr>
        <w:tc>
          <w:tcPr>
            <w:tcW w:w="1690"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Recorded Gender</w:t>
            </w:r>
          </w:p>
        </w:tc>
        <w:tc>
          <w:tcPr>
            <w:tcW w:w="2153"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of staff attending training</w:t>
            </w:r>
          </w:p>
        </w:tc>
        <w:tc>
          <w:tcPr>
            <w:tcW w:w="2126"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 staff attending training</w:t>
            </w:r>
          </w:p>
        </w:tc>
        <w:tc>
          <w:tcPr>
            <w:tcW w:w="1705" w:type="dxa"/>
            <w:shd w:val="clear" w:color="auto" w:fill="auto"/>
            <w:noWrap/>
            <w:vAlign w:val="bottom"/>
            <w:hideMark/>
          </w:tcPr>
          <w:p w:rsidR="00A372B3" w:rsidRPr="00AE49C8" w:rsidRDefault="00A372B3" w:rsidP="00A372B3">
            <w:pPr>
              <w:spacing w:after="0" w:line="240" w:lineRule="auto"/>
              <w:rPr>
                <w:rFonts w:eastAsia="Times New Roman"/>
                <w:b/>
                <w:color w:val="000000"/>
                <w:szCs w:val="24"/>
                <w:lang w:eastAsia="en-GB"/>
              </w:rPr>
            </w:pPr>
            <w:r w:rsidRPr="00AE49C8">
              <w:rPr>
                <w:rFonts w:eastAsia="Times New Roman"/>
                <w:b/>
                <w:color w:val="000000"/>
                <w:szCs w:val="24"/>
                <w:lang w:eastAsia="en-GB"/>
              </w:rPr>
              <w:t>Workforce representation</w:t>
            </w:r>
          </w:p>
        </w:tc>
      </w:tr>
      <w:tr w:rsidR="00A372B3" w:rsidRPr="00AE49C8" w:rsidTr="000B2BAB">
        <w:trPr>
          <w:cantSplit/>
          <w:trHeight w:val="312"/>
          <w:tblHeader/>
          <w:jc w:val="center"/>
        </w:trPr>
        <w:tc>
          <w:tcPr>
            <w:tcW w:w="1690" w:type="dxa"/>
            <w:shd w:val="clear" w:color="auto" w:fill="auto"/>
            <w:noWrap/>
            <w:vAlign w:val="bottom"/>
            <w:hideMark/>
          </w:tcPr>
          <w:p w:rsidR="00A372B3" w:rsidRPr="00AE49C8" w:rsidRDefault="00A372B3" w:rsidP="00A372B3">
            <w:pPr>
              <w:spacing w:after="0" w:line="240" w:lineRule="auto"/>
              <w:rPr>
                <w:rFonts w:eastAsia="Times New Roman"/>
                <w:bCs/>
                <w:color w:val="000000"/>
                <w:szCs w:val="24"/>
                <w:lang w:eastAsia="en-GB"/>
              </w:rPr>
            </w:pPr>
            <w:r w:rsidRPr="00AE49C8">
              <w:rPr>
                <w:rFonts w:eastAsia="Times New Roman"/>
                <w:bCs/>
                <w:color w:val="000000"/>
                <w:szCs w:val="24"/>
                <w:lang w:eastAsia="en-GB"/>
              </w:rPr>
              <w:t>Female</w:t>
            </w:r>
          </w:p>
        </w:tc>
        <w:tc>
          <w:tcPr>
            <w:tcW w:w="2153" w:type="dxa"/>
            <w:shd w:val="clear" w:color="auto" w:fill="auto"/>
            <w:noWrap/>
            <w:vAlign w:val="bottom"/>
            <w:hideMark/>
          </w:tcPr>
          <w:p w:rsidR="00A372B3" w:rsidRPr="00AE49C8" w:rsidRDefault="00A372B3" w:rsidP="00A372B3">
            <w:pPr>
              <w:spacing w:after="0" w:line="240" w:lineRule="auto"/>
              <w:rPr>
                <w:rFonts w:eastAsia="Times New Roman"/>
                <w:bCs/>
                <w:color w:val="000000"/>
                <w:szCs w:val="24"/>
                <w:lang w:eastAsia="en-GB"/>
              </w:rPr>
            </w:pPr>
            <w:r w:rsidRPr="00AE49C8">
              <w:rPr>
                <w:rFonts w:eastAsia="Times New Roman"/>
                <w:bCs/>
                <w:color w:val="000000"/>
                <w:szCs w:val="24"/>
                <w:lang w:eastAsia="en-GB"/>
              </w:rPr>
              <w:t>268</w:t>
            </w:r>
          </w:p>
        </w:tc>
        <w:tc>
          <w:tcPr>
            <w:tcW w:w="212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80.2%</w:t>
            </w:r>
          </w:p>
        </w:tc>
        <w:tc>
          <w:tcPr>
            <w:tcW w:w="170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71.1%</w:t>
            </w:r>
          </w:p>
        </w:tc>
      </w:tr>
      <w:tr w:rsidR="00A372B3" w:rsidRPr="00AE49C8" w:rsidTr="000B2BAB">
        <w:trPr>
          <w:cantSplit/>
          <w:trHeight w:val="312"/>
          <w:tblHeader/>
          <w:jc w:val="center"/>
        </w:trPr>
        <w:tc>
          <w:tcPr>
            <w:tcW w:w="1690" w:type="dxa"/>
            <w:shd w:val="clear" w:color="auto" w:fill="auto"/>
            <w:noWrap/>
            <w:vAlign w:val="bottom"/>
            <w:hideMark/>
          </w:tcPr>
          <w:p w:rsidR="00A372B3" w:rsidRPr="00AE49C8" w:rsidRDefault="00A372B3" w:rsidP="00A372B3">
            <w:pPr>
              <w:spacing w:after="0" w:line="240" w:lineRule="auto"/>
              <w:rPr>
                <w:rFonts w:eastAsia="Times New Roman"/>
                <w:bCs/>
                <w:color w:val="000000"/>
                <w:szCs w:val="24"/>
                <w:lang w:eastAsia="en-GB"/>
              </w:rPr>
            </w:pPr>
            <w:r w:rsidRPr="00AE49C8">
              <w:rPr>
                <w:rFonts w:eastAsia="Times New Roman"/>
                <w:bCs/>
                <w:color w:val="000000"/>
                <w:szCs w:val="24"/>
                <w:lang w:eastAsia="en-GB"/>
              </w:rPr>
              <w:t>Male</w:t>
            </w:r>
          </w:p>
        </w:tc>
        <w:tc>
          <w:tcPr>
            <w:tcW w:w="2153" w:type="dxa"/>
            <w:shd w:val="clear" w:color="auto" w:fill="auto"/>
            <w:noWrap/>
            <w:vAlign w:val="bottom"/>
            <w:hideMark/>
          </w:tcPr>
          <w:p w:rsidR="00A372B3" w:rsidRPr="00AE49C8" w:rsidRDefault="00A372B3" w:rsidP="00A372B3">
            <w:pPr>
              <w:spacing w:after="0" w:line="240" w:lineRule="auto"/>
              <w:rPr>
                <w:rFonts w:eastAsia="Times New Roman"/>
                <w:bCs/>
                <w:color w:val="000000"/>
                <w:szCs w:val="24"/>
                <w:lang w:eastAsia="en-GB"/>
              </w:rPr>
            </w:pPr>
            <w:r w:rsidRPr="00AE49C8">
              <w:rPr>
                <w:rFonts w:eastAsia="Times New Roman"/>
                <w:bCs/>
                <w:color w:val="000000"/>
                <w:szCs w:val="24"/>
                <w:lang w:eastAsia="en-GB"/>
              </w:rPr>
              <w:t>65</w:t>
            </w:r>
          </w:p>
        </w:tc>
        <w:tc>
          <w:tcPr>
            <w:tcW w:w="212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19.5%</w:t>
            </w:r>
          </w:p>
        </w:tc>
        <w:tc>
          <w:tcPr>
            <w:tcW w:w="170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28.9%</w:t>
            </w:r>
          </w:p>
        </w:tc>
      </w:tr>
      <w:tr w:rsidR="00A372B3" w:rsidRPr="00AE49C8" w:rsidTr="000B2BAB">
        <w:trPr>
          <w:cantSplit/>
          <w:trHeight w:val="312"/>
          <w:tblHeader/>
          <w:jc w:val="center"/>
        </w:trPr>
        <w:tc>
          <w:tcPr>
            <w:tcW w:w="1690" w:type="dxa"/>
            <w:shd w:val="clear" w:color="auto" w:fill="auto"/>
            <w:noWrap/>
            <w:vAlign w:val="bottom"/>
            <w:hideMark/>
          </w:tcPr>
          <w:p w:rsidR="00A372B3" w:rsidRPr="00AE49C8" w:rsidRDefault="00A372B3" w:rsidP="00A372B3">
            <w:pPr>
              <w:spacing w:after="0" w:line="240" w:lineRule="auto"/>
              <w:rPr>
                <w:rFonts w:eastAsia="Times New Roman"/>
                <w:bCs/>
                <w:color w:val="000000"/>
                <w:szCs w:val="24"/>
                <w:lang w:eastAsia="en-GB"/>
              </w:rPr>
            </w:pPr>
            <w:r w:rsidRPr="00AE49C8">
              <w:rPr>
                <w:rFonts w:eastAsia="Times New Roman"/>
                <w:bCs/>
                <w:color w:val="000000"/>
                <w:szCs w:val="24"/>
                <w:lang w:eastAsia="en-GB"/>
              </w:rPr>
              <w:t>Prefer not to say</w:t>
            </w:r>
          </w:p>
        </w:tc>
        <w:tc>
          <w:tcPr>
            <w:tcW w:w="2153" w:type="dxa"/>
            <w:shd w:val="clear" w:color="auto" w:fill="auto"/>
            <w:noWrap/>
            <w:vAlign w:val="bottom"/>
            <w:hideMark/>
          </w:tcPr>
          <w:p w:rsidR="00A372B3" w:rsidRPr="00AE49C8" w:rsidRDefault="00A372B3" w:rsidP="00A372B3">
            <w:pPr>
              <w:spacing w:after="0" w:line="240" w:lineRule="auto"/>
              <w:rPr>
                <w:rFonts w:eastAsia="Times New Roman"/>
                <w:bCs/>
                <w:color w:val="000000"/>
                <w:szCs w:val="24"/>
                <w:lang w:eastAsia="en-GB"/>
              </w:rPr>
            </w:pPr>
            <w:r w:rsidRPr="00AE49C8">
              <w:rPr>
                <w:rFonts w:eastAsia="Times New Roman"/>
                <w:bCs/>
                <w:color w:val="000000"/>
                <w:szCs w:val="24"/>
                <w:lang w:eastAsia="en-GB"/>
              </w:rPr>
              <w:t>1</w:t>
            </w:r>
          </w:p>
        </w:tc>
        <w:tc>
          <w:tcPr>
            <w:tcW w:w="212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0.3%</w:t>
            </w:r>
          </w:p>
        </w:tc>
        <w:tc>
          <w:tcPr>
            <w:tcW w:w="170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p>
        </w:tc>
      </w:tr>
      <w:tr w:rsidR="00A372B3" w:rsidRPr="00AE49C8" w:rsidTr="000B2BAB">
        <w:trPr>
          <w:cantSplit/>
          <w:trHeight w:val="312"/>
          <w:tblHeader/>
          <w:jc w:val="center"/>
        </w:trPr>
        <w:tc>
          <w:tcPr>
            <w:tcW w:w="1690" w:type="dxa"/>
            <w:shd w:val="clear" w:color="auto" w:fill="auto"/>
            <w:noWrap/>
            <w:vAlign w:val="bottom"/>
            <w:hideMark/>
          </w:tcPr>
          <w:p w:rsidR="00A372B3" w:rsidRPr="00AE49C8" w:rsidRDefault="00A372B3" w:rsidP="00A372B3">
            <w:pPr>
              <w:spacing w:after="0" w:line="240" w:lineRule="auto"/>
              <w:rPr>
                <w:rFonts w:eastAsia="Times New Roman"/>
                <w:bCs/>
                <w:color w:val="000000"/>
                <w:szCs w:val="24"/>
                <w:lang w:eastAsia="en-GB"/>
              </w:rPr>
            </w:pPr>
            <w:r w:rsidRPr="00AE49C8">
              <w:rPr>
                <w:rFonts w:eastAsia="Times New Roman"/>
                <w:bCs/>
                <w:color w:val="000000"/>
                <w:szCs w:val="24"/>
                <w:lang w:eastAsia="en-GB"/>
              </w:rPr>
              <w:t>Grand Total</w:t>
            </w:r>
          </w:p>
        </w:tc>
        <w:tc>
          <w:tcPr>
            <w:tcW w:w="2153" w:type="dxa"/>
            <w:shd w:val="clear" w:color="auto" w:fill="auto"/>
            <w:noWrap/>
            <w:vAlign w:val="bottom"/>
            <w:hideMark/>
          </w:tcPr>
          <w:p w:rsidR="00A372B3" w:rsidRPr="00AE49C8" w:rsidRDefault="00A372B3" w:rsidP="00A372B3">
            <w:pPr>
              <w:spacing w:after="0" w:line="240" w:lineRule="auto"/>
              <w:rPr>
                <w:rFonts w:eastAsia="Times New Roman"/>
                <w:bCs/>
                <w:color w:val="000000"/>
                <w:szCs w:val="24"/>
                <w:lang w:eastAsia="en-GB"/>
              </w:rPr>
            </w:pPr>
            <w:r w:rsidRPr="00AE49C8">
              <w:rPr>
                <w:rFonts w:eastAsia="Times New Roman"/>
                <w:bCs/>
                <w:color w:val="000000"/>
                <w:szCs w:val="24"/>
                <w:lang w:eastAsia="en-GB"/>
              </w:rPr>
              <w:t>334</w:t>
            </w:r>
          </w:p>
        </w:tc>
        <w:tc>
          <w:tcPr>
            <w:tcW w:w="212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70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A372B3" w:rsidRPr="00AE49C8" w:rsidRDefault="00A372B3" w:rsidP="00A372B3">
      <w:pPr>
        <w:jc w:val="center"/>
        <w:rPr>
          <w:b/>
        </w:rPr>
      </w:pPr>
    </w:p>
    <w:p w:rsidR="00A372B3" w:rsidRPr="00AE49C8" w:rsidRDefault="00A372B3" w:rsidP="00A372B3">
      <w:pPr>
        <w:jc w:val="center"/>
        <w:rPr>
          <w:b/>
        </w:rPr>
      </w:pPr>
      <w:r w:rsidRPr="00AE49C8">
        <w:rPr>
          <w:noProof/>
          <w:lang w:eastAsia="en-GB"/>
        </w:rPr>
        <w:drawing>
          <wp:inline distT="0" distB="0" distL="0" distR="0" wp14:anchorId="0C4B8D22" wp14:editId="4971FCCF">
            <wp:extent cx="4894118" cy="2712027"/>
            <wp:effectExtent l="0" t="0" r="1905" b="0"/>
            <wp:docPr id="29" name="Chart 29" title="Non-mandatory/CPD training uptake brokendown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372B3" w:rsidRPr="000D2F61" w:rsidRDefault="00A372B3" w:rsidP="00A372B3">
      <w:r w:rsidRPr="000D2F61">
        <w:t>Observations</w:t>
      </w:r>
    </w:p>
    <w:p w:rsidR="00A372B3" w:rsidRPr="00AE49C8" w:rsidRDefault="000B2BAB" w:rsidP="000B2BAB">
      <w:pPr>
        <w:pStyle w:val="ListParagraph"/>
      </w:pPr>
      <w:r w:rsidRPr="00AE49C8">
        <w:t>A higher proportion of female staff has undertaken non-mandatory/CPD training than the overall workforce representation; the opposite is true for male staff.</w:t>
      </w:r>
    </w:p>
    <w:p w:rsidR="00A372B3" w:rsidRPr="00AE49C8" w:rsidRDefault="00A372B3" w:rsidP="00A372B3">
      <w:pPr>
        <w:rPr>
          <w:b/>
        </w:rPr>
      </w:pPr>
      <w:r w:rsidRPr="00AE49C8">
        <w:rPr>
          <w:b/>
        </w:rPr>
        <w:t>WSHT</w:t>
      </w:r>
    </w:p>
    <w:tbl>
      <w:tblPr>
        <w:tblW w:w="8085" w:type="dxa"/>
        <w:jc w:val="center"/>
        <w:tblBorders>
          <w:insideH w:val="dotted" w:sz="4" w:space="0" w:color="auto"/>
        </w:tblBorders>
        <w:tblLook w:val="04A0" w:firstRow="1" w:lastRow="0" w:firstColumn="1" w:lastColumn="0" w:noHBand="0" w:noVBand="1"/>
        <w:tblCaption w:val="Non-mandatory/CPD training uptake brokendown by gender"/>
      </w:tblPr>
      <w:tblGrid>
        <w:gridCol w:w="1876"/>
        <w:gridCol w:w="2378"/>
        <w:gridCol w:w="2126"/>
        <w:gridCol w:w="1884"/>
      </w:tblGrid>
      <w:tr w:rsidR="00A372B3" w:rsidRPr="00AE49C8" w:rsidTr="000B2BAB">
        <w:trPr>
          <w:cantSplit/>
          <w:trHeight w:val="312"/>
          <w:tblHeader/>
          <w:jc w:val="center"/>
        </w:trPr>
        <w:tc>
          <w:tcPr>
            <w:tcW w:w="1876"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Recorded Gender</w:t>
            </w:r>
          </w:p>
        </w:tc>
        <w:tc>
          <w:tcPr>
            <w:tcW w:w="2378"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of staff attending training</w:t>
            </w:r>
          </w:p>
        </w:tc>
        <w:tc>
          <w:tcPr>
            <w:tcW w:w="2126"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 staff attending training</w:t>
            </w:r>
          </w:p>
        </w:tc>
        <w:tc>
          <w:tcPr>
            <w:tcW w:w="1705"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representation</w:t>
            </w:r>
          </w:p>
        </w:tc>
      </w:tr>
      <w:tr w:rsidR="00A372B3" w:rsidRPr="00AE49C8" w:rsidTr="000B2BAB">
        <w:trPr>
          <w:cantSplit/>
          <w:trHeight w:val="312"/>
          <w:tblHeader/>
          <w:jc w:val="center"/>
        </w:trPr>
        <w:tc>
          <w:tcPr>
            <w:tcW w:w="187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Female</w:t>
            </w:r>
          </w:p>
        </w:tc>
        <w:tc>
          <w:tcPr>
            <w:tcW w:w="237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2285</w:t>
            </w:r>
          </w:p>
        </w:tc>
        <w:tc>
          <w:tcPr>
            <w:tcW w:w="212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83.4%</w:t>
            </w:r>
          </w:p>
        </w:tc>
        <w:tc>
          <w:tcPr>
            <w:tcW w:w="170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76.9%</w:t>
            </w:r>
          </w:p>
        </w:tc>
      </w:tr>
      <w:tr w:rsidR="00A372B3" w:rsidRPr="00AE49C8" w:rsidTr="000B2BAB">
        <w:trPr>
          <w:cantSplit/>
          <w:trHeight w:val="312"/>
          <w:tblHeader/>
          <w:jc w:val="center"/>
        </w:trPr>
        <w:tc>
          <w:tcPr>
            <w:tcW w:w="187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Male</w:t>
            </w:r>
          </w:p>
        </w:tc>
        <w:tc>
          <w:tcPr>
            <w:tcW w:w="237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456</w:t>
            </w:r>
          </w:p>
        </w:tc>
        <w:tc>
          <w:tcPr>
            <w:tcW w:w="212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16.6%</w:t>
            </w:r>
          </w:p>
        </w:tc>
        <w:tc>
          <w:tcPr>
            <w:tcW w:w="170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23.1%</w:t>
            </w:r>
          </w:p>
        </w:tc>
      </w:tr>
      <w:tr w:rsidR="00A372B3" w:rsidRPr="00AE49C8" w:rsidTr="000B2BAB">
        <w:trPr>
          <w:cantSplit/>
          <w:trHeight w:val="312"/>
          <w:tblHeader/>
          <w:jc w:val="center"/>
        </w:trPr>
        <w:tc>
          <w:tcPr>
            <w:tcW w:w="187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Grand Total</w:t>
            </w:r>
          </w:p>
        </w:tc>
        <w:tc>
          <w:tcPr>
            <w:tcW w:w="2378"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2741</w:t>
            </w:r>
          </w:p>
        </w:tc>
        <w:tc>
          <w:tcPr>
            <w:tcW w:w="212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70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A372B3" w:rsidRPr="00AE49C8" w:rsidRDefault="00A372B3" w:rsidP="00A372B3">
      <w:pPr>
        <w:jc w:val="center"/>
        <w:rPr>
          <w:b/>
        </w:rPr>
      </w:pPr>
      <w:r w:rsidRPr="00AE49C8">
        <w:rPr>
          <w:noProof/>
          <w:lang w:eastAsia="en-GB"/>
        </w:rPr>
        <w:lastRenderedPageBreak/>
        <w:drawing>
          <wp:inline distT="0" distB="0" distL="0" distR="0" wp14:anchorId="34FC7887" wp14:editId="54A89906">
            <wp:extent cx="4572000" cy="2743200"/>
            <wp:effectExtent l="0" t="0" r="0" b="0"/>
            <wp:docPr id="34" name="Chart 34" title="Non-mandatory/CPD training uptake brokendown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372B3" w:rsidRPr="00AE49C8" w:rsidRDefault="00A372B3" w:rsidP="00A372B3">
      <w:pPr>
        <w:jc w:val="center"/>
        <w:rPr>
          <w:b/>
        </w:rPr>
      </w:pPr>
    </w:p>
    <w:p w:rsidR="00A372B3" w:rsidRPr="000D2F61" w:rsidRDefault="00A372B3" w:rsidP="00A372B3">
      <w:r w:rsidRPr="000D2F61">
        <w:t>Observations</w:t>
      </w:r>
    </w:p>
    <w:p w:rsidR="000B2BAB" w:rsidRPr="00AE49C8" w:rsidRDefault="000B2BAB" w:rsidP="000B2BAB">
      <w:pPr>
        <w:pStyle w:val="ListParagraph"/>
      </w:pPr>
      <w:r w:rsidRPr="00AE49C8">
        <w:t>A higher proportion of female staff has undertaken non-mandatory/CPD training than the overall workforce representation; the opposite is true for male staff.</w:t>
      </w:r>
    </w:p>
    <w:p w:rsidR="00A372B3" w:rsidRPr="00AE49C8" w:rsidRDefault="00A372B3" w:rsidP="000B2BAB">
      <w:pPr>
        <w:pStyle w:val="Heading3"/>
      </w:pPr>
      <w:bookmarkStart w:id="57" w:name="_Toc88634004"/>
      <w:r w:rsidRPr="00AE49C8">
        <w:t>Employee relations processes broken down by gender</w:t>
      </w:r>
      <w:bookmarkEnd w:id="57"/>
    </w:p>
    <w:p w:rsidR="00A372B3" w:rsidRPr="00AE49C8" w:rsidRDefault="00A372B3" w:rsidP="00A372B3">
      <w:pPr>
        <w:rPr>
          <w:b/>
        </w:rPr>
      </w:pPr>
      <w:r w:rsidRPr="00AE49C8">
        <w:rPr>
          <w:b/>
        </w:rPr>
        <w:t>BSUH</w:t>
      </w:r>
    </w:p>
    <w:tbl>
      <w:tblPr>
        <w:tblW w:w="9371" w:type="dxa"/>
        <w:tblInd w:w="93" w:type="dxa"/>
        <w:tblBorders>
          <w:insideH w:val="dotted" w:sz="4" w:space="0" w:color="auto"/>
        </w:tblBorders>
        <w:tblLook w:val="04A0" w:firstRow="1" w:lastRow="0" w:firstColumn="1" w:lastColumn="0" w:noHBand="0" w:noVBand="1"/>
        <w:tblCaption w:val="Capability processes brokendown by gender"/>
      </w:tblPr>
      <w:tblGrid>
        <w:gridCol w:w="1323"/>
        <w:gridCol w:w="1684"/>
        <w:gridCol w:w="1985"/>
        <w:gridCol w:w="1363"/>
        <w:gridCol w:w="1363"/>
        <w:gridCol w:w="2112"/>
      </w:tblGrid>
      <w:tr w:rsidR="00A372B3" w:rsidRPr="00AE49C8" w:rsidTr="00BD6BE6">
        <w:trPr>
          <w:cantSplit/>
          <w:trHeight w:val="312"/>
          <w:tblHeader/>
        </w:trPr>
        <w:tc>
          <w:tcPr>
            <w:tcW w:w="1166"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Recorded Gender</w:t>
            </w:r>
          </w:p>
        </w:tc>
        <w:tc>
          <w:tcPr>
            <w:tcW w:w="1684"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(Non-UHR)</w:t>
            </w:r>
          </w:p>
        </w:tc>
        <w:tc>
          <w:tcPr>
            <w:tcW w:w="1985"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(Non-UHR) %</w:t>
            </w:r>
          </w:p>
        </w:tc>
        <w:tc>
          <w:tcPr>
            <w:tcW w:w="1212"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(UHR)</w:t>
            </w:r>
          </w:p>
        </w:tc>
        <w:tc>
          <w:tcPr>
            <w:tcW w:w="1212"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(UHR) %</w:t>
            </w:r>
          </w:p>
        </w:tc>
        <w:tc>
          <w:tcPr>
            <w:tcW w:w="2112"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 xml:space="preserve">Workforce </w:t>
            </w:r>
            <w:r w:rsidR="008E6F14" w:rsidRPr="00AE49C8">
              <w:rPr>
                <w:rFonts w:eastAsia="Times New Roman"/>
                <w:b/>
                <w:bCs/>
                <w:color w:val="000000"/>
                <w:szCs w:val="24"/>
                <w:lang w:eastAsia="en-GB"/>
              </w:rPr>
              <w:t>Representation</w:t>
            </w:r>
            <w:r w:rsidRPr="00AE49C8">
              <w:rPr>
                <w:rFonts w:eastAsia="Times New Roman"/>
                <w:b/>
                <w:bCs/>
                <w:color w:val="000000"/>
                <w:szCs w:val="24"/>
                <w:lang w:eastAsia="en-GB"/>
              </w:rPr>
              <w:t xml:space="preserve"> %</w:t>
            </w:r>
          </w:p>
        </w:tc>
      </w:tr>
      <w:tr w:rsidR="00A372B3" w:rsidRPr="00AE49C8" w:rsidTr="00BD6BE6">
        <w:trPr>
          <w:cantSplit/>
          <w:trHeight w:val="312"/>
          <w:tblHeader/>
        </w:trPr>
        <w:tc>
          <w:tcPr>
            <w:tcW w:w="116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Female</w:t>
            </w:r>
          </w:p>
        </w:tc>
        <w:tc>
          <w:tcPr>
            <w:tcW w:w="1684"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27</w:t>
            </w:r>
          </w:p>
        </w:tc>
        <w:tc>
          <w:tcPr>
            <w:tcW w:w="198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84.4%</w:t>
            </w:r>
          </w:p>
        </w:tc>
        <w:tc>
          <w:tcPr>
            <w:tcW w:w="121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121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62.5%</w:t>
            </w:r>
          </w:p>
        </w:tc>
        <w:tc>
          <w:tcPr>
            <w:tcW w:w="211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71.1%</w:t>
            </w:r>
          </w:p>
        </w:tc>
      </w:tr>
      <w:tr w:rsidR="00A372B3" w:rsidRPr="00AE49C8" w:rsidTr="00BD6BE6">
        <w:trPr>
          <w:cantSplit/>
          <w:trHeight w:val="312"/>
          <w:tblHeader/>
        </w:trPr>
        <w:tc>
          <w:tcPr>
            <w:tcW w:w="116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Male</w:t>
            </w:r>
          </w:p>
        </w:tc>
        <w:tc>
          <w:tcPr>
            <w:tcW w:w="1684"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198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15.6%</w:t>
            </w:r>
          </w:p>
        </w:tc>
        <w:tc>
          <w:tcPr>
            <w:tcW w:w="121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21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37.5%</w:t>
            </w:r>
          </w:p>
        </w:tc>
        <w:tc>
          <w:tcPr>
            <w:tcW w:w="211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28.9%</w:t>
            </w:r>
          </w:p>
        </w:tc>
      </w:tr>
      <w:tr w:rsidR="00A372B3" w:rsidRPr="00AE49C8" w:rsidTr="00BD6BE6">
        <w:trPr>
          <w:cantSplit/>
          <w:trHeight w:val="312"/>
          <w:tblHeader/>
        </w:trPr>
        <w:tc>
          <w:tcPr>
            <w:tcW w:w="1166"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684"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32</w:t>
            </w:r>
          </w:p>
        </w:tc>
        <w:tc>
          <w:tcPr>
            <w:tcW w:w="1985"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212"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8</w:t>
            </w:r>
          </w:p>
        </w:tc>
        <w:tc>
          <w:tcPr>
            <w:tcW w:w="1212"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2112"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p>
        </w:tc>
      </w:tr>
    </w:tbl>
    <w:p w:rsidR="00A372B3" w:rsidRPr="00AE49C8" w:rsidRDefault="00A372B3" w:rsidP="00A372B3">
      <w:pPr>
        <w:rPr>
          <w:b/>
        </w:rPr>
      </w:pPr>
    </w:p>
    <w:p w:rsidR="00A372B3" w:rsidRPr="00AE49C8" w:rsidRDefault="00A372B3" w:rsidP="00A372B3">
      <w:pPr>
        <w:jc w:val="center"/>
        <w:rPr>
          <w:b/>
        </w:rPr>
      </w:pPr>
      <w:r w:rsidRPr="00AE49C8">
        <w:rPr>
          <w:noProof/>
          <w:lang w:eastAsia="en-GB"/>
        </w:rPr>
        <w:lastRenderedPageBreak/>
        <w:drawing>
          <wp:inline distT="0" distB="0" distL="0" distR="0" wp14:anchorId="63036E0B" wp14:editId="15A1874C">
            <wp:extent cx="5731510" cy="2904945"/>
            <wp:effectExtent l="0" t="0" r="2540" b="0"/>
            <wp:docPr id="36" name="Chart 36" title="Capability processes brokendown by gender compared to the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W w:w="11201" w:type="dxa"/>
        <w:jc w:val="center"/>
        <w:tblBorders>
          <w:insideH w:val="dotted" w:sz="4" w:space="0" w:color="auto"/>
        </w:tblBorders>
        <w:tblLook w:val="04A0" w:firstRow="1" w:lastRow="0" w:firstColumn="1" w:lastColumn="0" w:noHBand="0" w:noVBand="1"/>
        <w:tblCaption w:val="Harassment, grievance and disciplinary cases brokendown by gender"/>
      </w:tblPr>
      <w:tblGrid>
        <w:gridCol w:w="1231"/>
        <w:gridCol w:w="1495"/>
        <w:gridCol w:w="1476"/>
        <w:gridCol w:w="1281"/>
        <w:gridCol w:w="1281"/>
        <w:gridCol w:w="1464"/>
        <w:gridCol w:w="1464"/>
        <w:gridCol w:w="1946"/>
      </w:tblGrid>
      <w:tr w:rsidR="00A372B3" w:rsidRPr="00AE49C8" w:rsidTr="00BD6BE6">
        <w:trPr>
          <w:cantSplit/>
          <w:trHeight w:val="312"/>
          <w:tblHeader/>
          <w:jc w:val="center"/>
        </w:trPr>
        <w:tc>
          <w:tcPr>
            <w:tcW w:w="1166" w:type="dxa"/>
            <w:shd w:val="clear" w:color="auto" w:fill="auto"/>
            <w:noWrap/>
            <w:vAlign w:val="bottom"/>
            <w:hideMark/>
          </w:tcPr>
          <w:p w:rsidR="00A372B3" w:rsidRPr="000C64DA" w:rsidRDefault="00A372B3" w:rsidP="00A372B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Recorded Gender</w:t>
            </w:r>
          </w:p>
        </w:tc>
        <w:tc>
          <w:tcPr>
            <w:tcW w:w="1495" w:type="dxa"/>
            <w:shd w:val="clear" w:color="auto" w:fill="auto"/>
            <w:noWrap/>
            <w:vAlign w:val="bottom"/>
            <w:hideMark/>
          </w:tcPr>
          <w:p w:rsidR="00A372B3" w:rsidRPr="000C64DA" w:rsidRDefault="008E6F14" w:rsidP="00A372B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Harassment</w:t>
            </w:r>
            <w:r w:rsidR="00A372B3" w:rsidRPr="000C64DA">
              <w:rPr>
                <w:rFonts w:eastAsia="Times New Roman"/>
                <w:b/>
                <w:bCs/>
                <w:color w:val="000000"/>
                <w:sz w:val="22"/>
                <w:szCs w:val="24"/>
                <w:lang w:eastAsia="en-GB"/>
              </w:rPr>
              <w:t xml:space="preserve"> Cases</w:t>
            </w:r>
          </w:p>
        </w:tc>
        <w:tc>
          <w:tcPr>
            <w:tcW w:w="1410" w:type="dxa"/>
            <w:shd w:val="clear" w:color="auto" w:fill="auto"/>
            <w:noWrap/>
            <w:vAlign w:val="bottom"/>
            <w:hideMark/>
          </w:tcPr>
          <w:p w:rsidR="00A372B3" w:rsidRPr="000C64DA" w:rsidRDefault="00A372B3" w:rsidP="00A372B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Harassment Cases %</w:t>
            </w:r>
          </w:p>
        </w:tc>
        <w:tc>
          <w:tcPr>
            <w:tcW w:w="1217" w:type="dxa"/>
            <w:shd w:val="clear" w:color="auto" w:fill="auto"/>
            <w:noWrap/>
            <w:vAlign w:val="bottom"/>
            <w:hideMark/>
          </w:tcPr>
          <w:p w:rsidR="00A372B3" w:rsidRPr="000C64DA" w:rsidRDefault="00A372B3" w:rsidP="00A372B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 xml:space="preserve">Grievance Cases </w:t>
            </w:r>
          </w:p>
        </w:tc>
        <w:tc>
          <w:tcPr>
            <w:tcW w:w="1217" w:type="dxa"/>
            <w:shd w:val="clear" w:color="auto" w:fill="auto"/>
            <w:noWrap/>
            <w:vAlign w:val="bottom"/>
            <w:hideMark/>
          </w:tcPr>
          <w:p w:rsidR="00A372B3" w:rsidRPr="000C64DA" w:rsidRDefault="00A372B3" w:rsidP="00A372B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Grievance Cases %</w:t>
            </w:r>
          </w:p>
        </w:tc>
        <w:tc>
          <w:tcPr>
            <w:tcW w:w="1375" w:type="dxa"/>
            <w:shd w:val="clear" w:color="auto" w:fill="auto"/>
            <w:noWrap/>
            <w:vAlign w:val="bottom"/>
            <w:hideMark/>
          </w:tcPr>
          <w:p w:rsidR="00A372B3" w:rsidRPr="000C64DA" w:rsidRDefault="00A372B3" w:rsidP="00A372B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Disciplinary Cases</w:t>
            </w:r>
          </w:p>
        </w:tc>
        <w:tc>
          <w:tcPr>
            <w:tcW w:w="1375" w:type="dxa"/>
            <w:shd w:val="clear" w:color="auto" w:fill="auto"/>
            <w:noWrap/>
            <w:vAlign w:val="bottom"/>
            <w:hideMark/>
          </w:tcPr>
          <w:p w:rsidR="00A372B3" w:rsidRPr="000C64DA" w:rsidRDefault="00A372B3" w:rsidP="00A372B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Disciplinary Cases %</w:t>
            </w:r>
          </w:p>
        </w:tc>
        <w:tc>
          <w:tcPr>
            <w:tcW w:w="1946" w:type="dxa"/>
            <w:shd w:val="clear" w:color="auto" w:fill="auto"/>
            <w:noWrap/>
            <w:vAlign w:val="bottom"/>
            <w:hideMark/>
          </w:tcPr>
          <w:p w:rsidR="00A372B3" w:rsidRPr="000C64DA" w:rsidRDefault="00A372B3" w:rsidP="00A372B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 xml:space="preserve">Workforce </w:t>
            </w:r>
            <w:r w:rsidR="008E6F14" w:rsidRPr="000C64DA">
              <w:rPr>
                <w:rFonts w:eastAsia="Times New Roman"/>
                <w:b/>
                <w:bCs/>
                <w:color w:val="000000"/>
                <w:sz w:val="22"/>
                <w:szCs w:val="24"/>
                <w:lang w:eastAsia="en-GB"/>
              </w:rPr>
              <w:t>Representation</w:t>
            </w:r>
            <w:r w:rsidRPr="000C64DA">
              <w:rPr>
                <w:rFonts w:eastAsia="Times New Roman"/>
                <w:b/>
                <w:bCs/>
                <w:color w:val="000000"/>
                <w:sz w:val="22"/>
                <w:szCs w:val="24"/>
                <w:lang w:eastAsia="en-GB"/>
              </w:rPr>
              <w:t xml:space="preserve"> %</w:t>
            </w:r>
          </w:p>
        </w:tc>
      </w:tr>
      <w:tr w:rsidR="00A372B3" w:rsidRPr="00AE49C8" w:rsidTr="00BD6BE6">
        <w:trPr>
          <w:cantSplit/>
          <w:trHeight w:val="312"/>
          <w:tblHeader/>
          <w:jc w:val="center"/>
        </w:trPr>
        <w:tc>
          <w:tcPr>
            <w:tcW w:w="1166"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Female</w:t>
            </w:r>
          </w:p>
        </w:tc>
        <w:tc>
          <w:tcPr>
            <w:tcW w:w="1495"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w:t>
            </w:r>
          </w:p>
        </w:tc>
        <w:tc>
          <w:tcPr>
            <w:tcW w:w="1410"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100.0%</w:t>
            </w:r>
          </w:p>
        </w:tc>
        <w:tc>
          <w:tcPr>
            <w:tcW w:w="1217"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7</w:t>
            </w:r>
          </w:p>
        </w:tc>
        <w:tc>
          <w:tcPr>
            <w:tcW w:w="1217"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77.8%</w:t>
            </w:r>
          </w:p>
        </w:tc>
        <w:tc>
          <w:tcPr>
            <w:tcW w:w="1375"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13</w:t>
            </w:r>
          </w:p>
        </w:tc>
        <w:tc>
          <w:tcPr>
            <w:tcW w:w="1375"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56.5%</w:t>
            </w:r>
          </w:p>
        </w:tc>
        <w:tc>
          <w:tcPr>
            <w:tcW w:w="1946"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71.1%</w:t>
            </w:r>
          </w:p>
        </w:tc>
      </w:tr>
      <w:tr w:rsidR="00A372B3" w:rsidRPr="00AE49C8" w:rsidTr="00BD6BE6">
        <w:trPr>
          <w:cantSplit/>
          <w:trHeight w:val="312"/>
          <w:tblHeader/>
          <w:jc w:val="center"/>
        </w:trPr>
        <w:tc>
          <w:tcPr>
            <w:tcW w:w="1166"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Male</w:t>
            </w:r>
          </w:p>
        </w:tc>
        <w:tc>
          <w:tcPr>
            <w:tcW w:w="1495"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w:t>
            </w:r>
          </w:p>
        </w:tc>
        <w:tc>
          <w:tcPr>
            <w:tcW w:w="1410"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0.0%</w:t>
            </w:r>
          </w:p>
        </w:tc>
        <w:tc>
          <w:tcPr>
            <w:tcW w:w="1217"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w:t>
            </w:r>
          </w:p>
        </w:tc>
        <w:tc>
          <w:tcPr>
            <w:tcW w:w="1217"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22.2%</w:t>
            </w:r>
          </w:p>
        </w:tc>
        <w:tc>
          <w:tcPr>
            <w:tcW w:w="1375"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10</w:t>
            </w:r>
          </w:p>
        </w:tc>
        <w:tc>
          <w:tcPr>
            <w:tcW w:w="1375"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43.5%</w:t>
            </w:r>
          </w:p>
        </w:tc>
        <w:tc>
          <w:tcPr>
            <w:tcW w:w="1946"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28.9%</w:t>
            </w:r>
          </w:p>
        </w:tc>
      </w:tr>
      <w:tr w:rsidR="00A372B3" w:rsidRPr="00AE49C8" w:rsidTr="00BD6BE6">
        <w:trPr>
          <w:cantSplit/>
          <w:trHeight w:val="312"/>
          <w:tblHeader/>
          <w:jc w:val="center"/>
        </w:trPr>
        <w:tc>
          <w:tcPr>
            <w:tcW w:w="1166" w:type="dxa"/>
            <w:shd w:val="clear" w:color="auto" w:fill="auto"/>
            <w:noWrap/>
            <w:vAlign w:val="bottom"/>
            <w:hideMark/>
          </w:tcPr>
          <w:p w:rsidR="00A372B3" w:rsidRPr="000C64DA" w:rsidRDefault="00A372B3" w:rsidP="00A372B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Total</w:t>
            </w:r>
          </w:p>
        </w:tc>
        <w:tc>
          <w:tcPr>
            <w:tcW w:w="1495" w:type="dxa"/>
            <w:shd w:val="clear" w:color="auto" w:fill="auto"/>
            <w:noWrap/>
            <w:vAlign w:val="bottom"/>
            <w:hideMark/>
          </w:tcPr>
          <w:p w:rsidR="00A372B3" w:rsidRPr="000C64DA" w:rsidRDefault="00A372B3" w:rsidP="00A372B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4</w:t>
            </w:r>
          </w:p>
        </w:tc>
        <w:tc>
          <w:tcPr>
            <w:tcW w:w="1410" w:type="dxa"/>
            <w:shd w:val="clear" w:color="auto" w:fill="auto"/>
            <w:noWrap/>
            <w:vAlign w:val="bottom"/>
            <w:hideMark/>
          </w:tcPr>
          <w:p w:rsidR="00A372B3" w:rsidRPr="000C64DA" w:rsidRDefault="00A372B3" w:rsidP="00A372B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100.0%</w:t>
            </w:r>
          </w:p>
        </w:tc>
        <w:tc>
          <w:tcPr>
            <w:tcW w:w="1217" w:type="dxa"/>
            <w:shd w:val="clear" w:color="auto" w:fill="auto"/>
            <w:noWrap/>
            <w:vAlign w:val="bottom"/>
            <w:hideMark/>
          </w:tcPr>
          <w:p w:rsidR="00A372B3" w:rsidRPr="000C64DA" w:rsidRDefault="00A372B3" w:rsidP="00A372B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9</w:t>
            </w:r>
          </w:p>
        </w:tc>
        <w:tc>
          <w:tcPr>
            <w:tcW w:w="1217" w:type="dxa"/>
            <w:shd w:val="clear" w:color="auto" w:fill="auto"/>
            <w:noWrap/>
            <w:vAlign w:val="bottom"/>
            <w:hideMark/>
          </w:tcPr>
          <w:p w:rsidR="00A372B3" w:rsidRPr="000C64DA" w:rsidRDefault="00A372B3" w:rsidP="00A372B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100.0%</w:t>
            </w:r>
          </w:p>
        </w:tc>
        <w:tc>
          <w:tcPr>
            <w:tcW w:w="1375" w:type="dxa"/>
            <w:shd w:val="clear" w:color="auto" w:fill="auto"/>
            <w:noWrap/>
            <w:vAlign w:val="bottom"/>
            <w:hideMark/>
          </w:tcPr>
          <w:p w:rsidR="00A372B3" w:rsidRPr="000C64DA" w:rsidRDefault="00A372B3" w:rsidP="00A372B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23</w:t>
            </w:r>
          </w:p>
        </w:tc>
        <w:tc>
          <w:tcPr>
            <w:tcW w:w="1375" w:type="dxa"/>
            <w:shd w:val="clear" w:color="auto" w:fill="auto"/>
            <w:noWrap/>
            <w:vAlign w:val="bottom"/>
            <w:hideMark/>
          </w:tcPr>
          <w:p w:rsidR="00A372B3" w:rsidRPr="000C64DA" w:rsidRDefault="00A372B3" w:rsidP="00A372B3">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100.0%</w:t>
            </w:r>
          </w:p>
        </w:tc>
        <w:tc>
          <w:tcPr>
            <w:tcW w:w="1946" w:type="dxa"/>
            <w:shd w:val="clear" w:color="auto" w:fill="auto"/>
            <w:noWrap/>
            <w:vAlign w:val="bottom"/>
            <w:hideMark/>
          </w:tcPr>
          <w:p w:rsidR="00A372B3" w:rsidRPr="000C64DA" w:rsidRDefault="00A372B3" w:rsidP="00A372B3">
            <w:pPr>
              <w:spacing w:after="0" w:line="240" w:lineRule="auto"/>
              <w:rPr>
                <w:rFonts w:eastAsia="Times New Roman"/>
                <w:color w:val="000000"/>
                <w:sz w:val="22"/>
                <w:szCs w:val="24"/>
                <w:lang w:eastAsia="en-GB"/>
              </w:rPr>
            </w:pPr>
          </w:p>
        </w:tc>
      </w:tr>
    </w:tbl>
    <w:p w:rsidR="00A372B3" w:rsidRPr="00AE49C8" w:rsidRDefault="00A372B3" w:rsidP="00A372B3">
      <w:pPr>
        <w:jc w:val="center"/>
        <w:rPr>
          <w:b/>
        </w:rPr>
      </w:pPr>
    </w:p>
    <w:p w:rsidR="00A372B3" w:rsidRPr="00AE49C8" w:rsidRDefault="00A372B3" w:rsidP="00A372B3">
      <w:pPr>
        <w:rPr>
          <w:b/>
        </w:rPr>
      </w:pPr>
      <w:r w:rsidRPr="00AE49C8">
        <w:rPr>
          <w:noProof/>
          <w:lang w:eastAsia="en-GB"/>
        </w:rPr>
        <w:drawing>
          <wp:inline distT="0" distB="0" distL="0" distR="0" wp14:anchorId="70D02647" wp14:editId="7C59706B">
            <wp:extent cx="5731510" cy="2521007"/>
            <wp:effectExtent l="0" t="0" r="2540" b="0"/>
            <wp:docPr id="45" name="Chart 45" title="Harassment, grievance and disciplinary cases brokendown by gender compared to the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372B3" w:rsidRPr="00AE49C8" w:rsidRDefault="00A372B3" w:rsidP="00A372B3">
      <w:pPr>
        <w:jc w:val="center"/>
        <w:rPr>
          <w:b/>
        </w:rPr>
      </w:pPr>
    </w:p>
    <w:tbl>
      <w:tblPr>
        <w:tblW w:w="10080" w:type="dxa"/>
        <w:tblInd w:w="93" w:type="dxa"/>
        <w:tblBorders>
          <w:insideH w:val="dotted" w:sz="4" w:space="0" w:color="auto"/>
        </w:tblBorders>
        <w:tblLook w:val="04A0" w:firstRow="1" w:lastRow="0" w:firstColumn="1" w:lastColumn="0" w:noHBand="0" w:noVBand="1"/>
        <w:tblCaption w:val="Dismissals brokendown by gender"/>
      </w:tblPr>
      <w:tblGrid>
        <w:gridCol w:w="1323"/>
        <w:gridCol w:w="1543"/>
        <w:gridCol w:w="1559"/>
        <w:gridCol w:w="1843"/>
        <w:gridCol w:w="1984"/>
        <w:gridCol w:w="1985"/>
      </w:tblGrid>
      <w:tr w:rsidR="00A372B3" w:rsidRPr="00AE49C8" w:rsidTr="00BD6BE6">
        <w:trPr>
          <w:cantSplit/>
          <w:trHeight w:val="312"/>
          <w:tblHeader/>
        </w:trPr>
        <w:tc>
          <w:tcPr>
            <w:tcW w:w="1166"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Recorded Gender</w:t>
            </w:r>
          </w:p>
        </w:tc>
        <w:tc>
          <w:tcPr>
            <w:tcW w:w="1543"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 xml:space="preserve">All Dismissals </w:t>
            </w:r>
          </w:p>
        </w:tc>
        <w:tc>
          <w:tcPr>
            <w:tcW w:w="1559"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All Dismissals %</w:t>
            </w:r>
          </w:p>
        </w:tc>
        <w:tc>
          <w:tcPr>
            <w:tcW w:w="1843"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Dismissals (Sickness only)</w:t>
            </w:r>
          </w:p>
        </w:tc>
        <w:tc>
          <w:tcPr>
            <w:tcW w:w="1984"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Dismissals (Sickness only) %</w:t>
            </w:r>
          </w:p>
        </w:tc>
        <w:tc>
          <w:tcPr>
            <w:tcW w:w="1985"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Representation %</w:t>
            </w:r>
          </w:p>
        </w:tc>
      </w:tr>
      <w:tr w:rsidR="00A372B3" w:rsidRPr="00AE49C8" w:rsidTr="00BD6BE6">
        <w:trPr>
          <w:cantSplit/>
          <w:trHeight w:val="312"/>
          <w:tblHeader/>
        </w:trPr>
        <w:tc>
          <w:tcPr>
            <w:tcW w:w="116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Female</w:t>
            </w:r>
          </w:p>
        </w:tc>
        <w:tc>
          <w:tcPr>
            <w:tcW w:w="1543"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13</w:t>
            </w:r>
          </w:p>
        </w:tc>
        <w:tc>
          <w:tcPr>
            <w:tcW w:w="1559"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76.5%</w:t>
            </w:r>
          </w:p>
        </w:tc>
        <w:tc>
          <w:tcPr>
            <w:tcW w:w="1843"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11</w:t>
            </w:r>
          </w:p>
        </w:tc>
        <w:tc>
          <w:tcPr>
            <w:tcW w:w="1984"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84.6%</w:t>
            </w:r>
          </w:p>
        </w:tc>
        <w:tc>
          <w:tcPr>
            <w:tcW w:w="198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71.1%</w:t>
            </w:r>
          </w:p>
        </w:tc>
      </w:tr>
      <w:tr w:rsidR="00A372B3" w:rsidRPr="00AE49C8" w:rsidTr="00BD6BE6">
        <w:trPr>
          <w:cantSplit/>
          <w:trHeight w:val="312"/>
          <w:tblHeader/>
        </w:trPr>
        <w:tc>
          <w:tcPr>
            <w:tcW w:w="116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Male</w:t>
            </w:r>
          </w:p>
        </w:tc>
        <w:tc>
          <w:tcPr>
            <w:tcW w:w="1543"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1559"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23.5%</w:t>
            </w:r>
          </w:p>
        </w:tc>
        <w:tc>
          <w:tcPr>
            <w:tcW w:w="1843"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984"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15.4%</w:t>
            </w:r>
          </w:p>
        </w:tc>
        <w:tc>
          <w:tcPr>
            <w:tcW w:w="198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28.9%</w:t>
            </w:r>
          </w:p>
        </w:tc>
      </w:tr>
      <w:tr w:rsidR="00A372B3" w:rsidRPr="00AE49C8" w:rsidTr="00BD6BE6">
        <w:trPr>
          <w:cantSplit/>
          <w:trHeight w:val="312"/>
          <w:tblHeader/>
        </w:trPr>
        <w:tc>
          <w:tcPr>
            <w:tcW w:w="1166"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543"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17</w:t>
            </w:r>
          </w:p>
        </w:tc>
        <w:tc>
          <w:tcPr>
            <w:tcW w:w="1559"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843"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13</w:t>
            </w:r>
          </w:p>
        </w:tc>
        <w:tc>
          <w:tcPr>
            <w:tcW w:w="1984"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985"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p>
        </w:tc>
      </w:tr>
    </w:tbl>
    <w:p w:rsidR="00A372B3" w:rsidRPr="00AE49C8" w:rsidRDefault="00A372B3" w:rsidP="00A372B3">
      <w:pPr>
        <w:rPr>
          <w:b/>
        </w:rPr>
      </w:pPr>
    </w:p>
    <w:p w:rsidR="00A372B3" w:rsidRPr="00AE49C8" w:rsidRDefault="00A372B3" w:rsidP="00A372B3">
      <w:pPr>
        <w:jc w:val="center"/>
        <w:rPr>
          <w:b/>
        </w:rPr>
      </w:pPr>
      <w:r w:rsidRPr="00AE49C8">
        <w:rPr>
          <w:noProof/>
          <w:lang w:eastAsia="en-GB"/>
        </w:rPr>
        <w:lastRenderedPageBreak/>
        <w:drawing>
          <wp:inline distT="0" distB="0" distL="0" distR="0" wp14:anchorId="0E3AB807" wp14:editId="7DB2A175">
            <wp:extent cx="5731510" cy="2904945"/>
            <wp:effectExtent l="0" t="0" r="2540" b="0"/>
            <wp:docPr id="46" name="Chart 46" title="Dismissals brokendown by gender compared to the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372B3" w:rsidRPr="000D2F61" w:rsidRDefault="00A372B3" w:rsidP="00A372B3">
      <w:r w:rsidRPr="000D2F61">
        <w:t>Observations</w:t>
      </w:r>
    </w:p>
    <w:p w:rsidR="00BD6BE6" w:rsidRPr="00AE49C8" w:rsidRDefault="00BD6BE6" w:rsidP="00A372B3">
      <w:r w:rsidRPr="00AE49C8">
        <w:t>Compared to the overall workforce representation</w:t>
      </w:r>
    </w:p>
    <w:p w:rsidR="00A372B3" w:rsidRPr="00AE49C8" w:rsidRDefault="00BD6BE6" w:rsidP="00BD6BE6">
      <w:pPr>
        <w:pStyle w:val="ListParagraph"/>
      </w:pPr>
      <w:r w:rsidRPr="00AE49C8">
        <w:t>Female staff have a higher than expected representation in capability (non-underlying health reasons), but male staff have a higher than expected representation in capability (underlying health reasons).</w:t>
      </w:r>
    </w:p>
    <w:p w:rsidR="00BD6BE6" w:rsidRPr="00AE49C8" w:rsidRDefault="00BD6BE6" w:rsidP="00BD6BE6">
      <w:pPr>
        <w:pStyle w:val="ListParagraph"/>
      </w:pPr>
      <w:r w:rsidRPr="00AE49C8">
        <w:t>Female staff has a higher than expected representation in harassment cases, while male staff have a higher representation in disciplinary cases.</w:t>
      </w:r>
    </w:p>
    <w:p w:rsidR="00BD6BE6" w:rsidRPr="00AE49C8" w:rsidRDefault="00BD6BE6" w:rsidP="00BD6BE6">
      <w:pPr>
        <w:pStyle w:val="ListParagraph"/>
      </w:pPr>
      <w:r w:rsidRPr="00AE49C8">
        <w:t>Grievance cases are broadly in line with the overall workforce representation.</w:t>
      </w:r>
    </w:p>
    <w:p w:rsidR="00BD6BE6" w:rsidRPr="00AE49C8" w:rsidRDefault="00BD6BE6" w:rsidP="00BD6BE6">
      <w:pPr>
        <w:pStyle w:val="ListParagraph"/>
      </w:pPr>
      <w:r w:rsidRPr="00AE49C8">
        <w:t xml:space="preserve">In dismissals, both male and female staff representation </w:t>
      </w:r>
      <w:r w:rsidR="008E6F14">
        <w:t>broadly aligns</w:t>
      </w:r>
      <w:r w:rsidRPr="00AE49C8">
        <w:t xml:space="preserve"> with the workforce.  But in dismissals relating to sickness, women have a higher than expected representation.</w:t>
      </w:r>
    </w:p>
    <w:p w:rsidR="00BD6BE6" w:rsidRPr="00AE49C8" w:rsidRDefault="00BD6BE6" w:rsidP="00BD6BE6">
      <w:pPr>
        <w:pStyle w:val="ListParagraph"/>
      </w:pPr>
      <w:r w:rsidRPr="00AE49C8">
        <w:t>Men have a lower representation than that of all dismissal processes.</w:t>
      </w:r>
    </w:p>
    <w:p w:rsidR="00A372B3" w:rsidRPr="00AE49C8" w:rsidRDefault="00A372B3" w:rsidP="00A372B3">
      <w:pPr>
        <w:rPr>
          <w:b/>
        </w:rPr>
      </w:pPr>
      <w:r w:rsidRPr="00AE49C8">
        <w:rPr>
          <w:b/>
        </w:rPr>
        <w:t>WSHT</w:t>
      </w:r>
    </w:p>
    <w:tbl>
      <w:tblPr>
        <w:tblW w:w="7953" w:type="dxa"/>
        <w:jc w:val="center"/>
        <w:tblBorders>
          <w:insideH w:val="dotted" w:sz="4" w:space="0" w:color="auto"/>
        </w:tblBorders>
        <w:tblLook w:val="04A0" w:firstRow="1" w:lastRow="0" w:firstColumn="1" w:lastColumn="0" w:noHBand="0" w:noVBand="1"/>
        <w:tblCaption w:val="Grievance and disciplinary cases brokendown by gender"/>
      </w:tblPr>
      <w:tblGrid>
        <w:gridCol w:w="1231"/>
        <w:gridCol w:w="1281"/>
        <w:gridCol w:w="1281"/>
        <w:gridCol w:w="1464"/>
        <w:gridCol w:w="1464"/>
        <w:gridCol w:w="2044"/>
      </w:tblGrid>
      <w:tr w:rsidR="00A372B3" w:rsidRPr="00AE49C8" w:rsidTr="00BD6BE6">
        <w:trPr>
          <w:cantSplit/>
          <w:trHeight w:val="300"/>
          <w:tblHeader/>
          <w:jc w:val="center"/>
        </w:trPr>
        <w:tc>
          <w:tcPr>
            <w:tcW w:w="1087" w:type="dxa"/>
            <w:shd w:val="clear" w:color="auto" w:fill="auto"/>
            <w:noWrap/>
            <w:vAlign w:val="bottom"/>
            <w:hideMark/>
          </w:tcPr>
          <w:p w:rsidR="00A372B3" w:rsidRPr="00AE49C8" w:rsidRDefault="00A372B3" w:rsidP="00A372B3">
            <w:pPr>
              <w:spacing w:after="0" w:line="240" w:lineRule="auto"/>
              <w:rPr>
                <w:rFonts w:eastAsia="Times New Roman"/>
                <w:b/>
                <w:bCs/>
                <w:color w:val="000000"/>
                <w:sz w:val="22"/>
                <w:lang w:eastAsia="en-GB"/>
              </w:rPr>
            </w:pPr>
            <w:r w:rsidRPr="00AE49C8">
              <w:rPr>
                <w:rFonts w:eastAsia="Times New Roman"/>
                <w:b/>
                <w:bCs/>
                <w:color w:val="000000"/>
                <w:sz w:val="22"/>
                <w:lang w:eastAsia="en-GB"/>
              </w:rPr>
              <w:t>Recorded Gender</w:t>
            </w:r>
          </w:p>
        </w:tc>
        <w:tc>
          <w:tcPr>
            <w:tcW w:w="1133" w:type="dxa"/>
            <w:shd w:val="clear" w:color="auto" w:fill="auto"/>
            <w:noWrap/>
            <w:vAlign w:val="bottom"/>
            <w:hideMark/>
          </w:tcPr>
          <w:p w:rsidR="00A372B3" w:rsidRPr="00AE49C8" w:rsidRDefault="00A372B3" w:rsidP="00A372B3">
            <w:pPr>
              <w:spacing w:after="0" w:line="240" w:lineRule="auto"/>
              <w:jc w:val="center"/>
              <w:rPr>
                <w:rFonts w:eastAsia="Times New Roman"/>
                <w:b/>
                <w:bCs/>
                <w:color w:val="000000"/>
                <w:sz w:val="22"/>
                <w:lang w:eastAsia="en-GB"/>
              </w:rPr>
            </w:pPr>
            <w:r w:rsidRPr="00AE49C8">
              <w:rPr>
                <w:rFonts w:eastAsia="Times New Roman"/>
                <w:b/>
                <w:bCs/>
                <w:color w:val="000000"/>
                <w:sz w:val="22"/>
                <w:lang w:eastAsia="en-GB"/>
              </w:rPr>
              <w:t>Grievance Cases</w:t>
            </w:r>
          </w:p>
        </w:tc>
        <w:tc>
          <w:tcPr>
            <w:tcW w:w="1133" w:type="dxa"/>
            <w:shd w:val="clear" w:color="auto" w:fill="auto"/>
            <w:noWrap/>
            <w:vAlign w:val="bottom"/>
            <w:hideMark/>
          </w:tcPr>
          <w:p w:rsidR="00A372B3" w:rsidRPr="00AE49C8" w:rsidRDefault="00A372B3" w:rsidP="00A372B3">
            <w:pPr>
              <w:spacing w:after="0" w:line="240" w:lineRule="auto"/>
              <w:jc w:val="center"/>
              <w:rPr>
                <w:rFonts w:eastAsia="Times New Roman"/>
                <w:b/>
                <w:bCs/>
                <w:color w:val="000000"/>
                <w:sz w:val="22"/>
                <w:lang w:eastAsia="en-GB"/>
              </w:rPr>
            </w:pPr>
            <w:r w:rsidRPr="00AE49C8">
              <w:rPr>
                <w:rFonts w:eastAsia="Times New Roman"/>
                <w:b/>
                <w:bCs/>
                <w:color w:val="000000"/>
                <w:sz w:val="22"/>
                <w:lang w:eastAsia="en-GB"/>
              </w:rPr>
              <w:t>Grievance Cases %</w:t>
            </w:r>
          </w:p>
        </w:tc>
        <w:tc>
          <w:tcPr>
            <w:tcW w:w="1278" w:type="dxa"/>
            <w:shd w:val="clear" w:color="auto" w:fill="auto"/>
            <w:noWrap/>
            <w:vAlign w:val="bottom"/>
            <w:hideMark/>
          </w:tcPr>
          <w:p w:rsidR="00A372B3" w:rsidRPr="00AE49C8" w:rsidRDefault="00A372B3" w:rsidP="00A372B3">
            <w:pPr>
              <w:spacing w:after="0" w:line="240" w:lineRule="auto"/>
              <w:jc w:val="center"/>
              <w:rPr>
                <w:rFonts w:eastAsia="Times New Roman"/>
                <w:b/>
                <w:bCs/>
                <w:color w:val="000000"/>
                <w:sz w:val="22"/>
                <w:lang w:eastAsia="en-GB"/>
              </w:rPr>
            </w:pPr>
            <w:r w:rsidRPr="00AE49C8">
              <w:rPr>
                <w:rFonts w:eastAsia="Times New Roman"/>
                <w:b/>
                <w:bCs/>
                <w:color w:val="000000"/>
                <w:sz w:val="22"/>
                <w:lang w:eastAsia="en-GB"/>
              </w:rPr>
              <w:t>Disciplinary Cases</w:t>
            </w:r>
          </w:p>
        </w:tc>
        <w:tc>
          <w:tcPr>
            <w:tcW w:w="1278" w:type="dxa"/>
            <w:shd w:val="clear" w:color="auto" w:fill="auto"/>
            <w:noWrap/>
            <w:vAlign w:val="bottom"/>
            <w:hideMark/>
          </w:tcPr>
          <w:p w:rsidR="00A372B3" w:rsidRPr="00AE49C8" w:rsidRDefault="00A372B3" w:rsidP="00A372B3">
            <w:pPr>
              <w:spacing w:after="0" w:line="240" w:lineRule="auto"/>
              <w:jc w:val="center"/>
              <w:rPr>
                <w:rFonts w:eastAsia="Times New Roman"/>
                <w:b/>
                <w:bCs/>
                <w:color w:val="000000"/>
                <w:sz w:val="22"/>
                <w:lang w:eastAsia="en-GB"/>
              </w:rPr>
            </w:pPr>
            <w:r w:rsidRPr="00AE49C8">
              <w:rPr>
                <w:rFonts w:eastAsia="Times New Roman"/>
                <w:b/>
                <w:bCs/>
                <w:color w:val="000000"/>
                <w:sz w:val="22"/>
                <w:lang w:eastAsia="en-GB"/>
              </w:rPr>
              <w:t>Disciplinary Cases %</w:t>
            </w:r>
          </w:p>
        </w:tc>
        <w:tc>
          <w:tcPr>
            <w:tcW w:w="2044" w:type="dxa"/>
            <w:shd w:val="clear" w:color="auto" w:fill="auto"/>
            <w:noWrap/>
            <w:vAlign w:val="bottom"/>
            <w:hideMark/>
          </w:tcPr>
          <w:p w:rsidR="00A372B3" w:rsidRPr="00AE49C8" w:rsidRDefault="00A372B3" w:rsidP="00A372B3">
            <w:pPr>
              <w:spacing w:after="0" w:line="240" w:lineRule="auto"/>
              <w:jc w:val="center"/>
              <w:rPr>
                <w:rFonts w:eastAsia="Times New Roman"/>
                <w:b/>
                <w:bCs/>
                <w:color w:val="000000"/>
                <w:sz w:val="22"/>
                <w:lang w:eastAsia="en-GB"/>
              </w:rPr>
            </w:pPr>
            <w:r w:rsidRPr="00AE49C8">
              <w:rPr>
                <w:rFonts w:eastAsia="Times New Roman"/>
                <w:b/>
                <w:bCs/>
                <w:color w:val="000000"/>
                <w:sz w:val="22"/>
                <w:lang w:eastAsia="en-GB"/>
              </w:rPr>
              <w:t>Workforce Represen</w:t>
            </w:r>
            <w:r w:rsidR="00BD6BE6" w:rsidRPr="00AE49C8">
              <w:rPr>
                <w:rFonts w:eastAsia="Times New Roman"/>
                <w:b/>
                <w:bCs/>
                <w:color w:val="000000"/>
                <w:sz w:val="22"/>
                <w:lang w:eastAsia="en-GB"/>
              </w:rPr>
              <w:t>t</w:t>
            </w:r>
            <w:r w:rsidRPr="00AE49C8">
              <w:rPr>
                <w:rFonts w:eastAsia="Times New Roman"/>
                <w:b/>
                <w:bCs/>
                <w:color w:val="000000"/>
                <w:sz w:val="22"/>
                <w:lang w:eastAsia="en-GB"/>
              </w:rPr>
              <w:t>ation %</w:t>
            </w:r>
          </w:p>
        </w:tc>
      </w:tr>
      <w:tr w:rsidR="00A372B3" w:rsidRPr="00AE49C8" w:rsidTr="00BD6BE6">
        <w:trPr>
          <w:cantSplit/>
          <w:trHeight w:val="300"/>
          <w:tblHeader/>
          <w:jc w:val="center"/>
        </w:trPr>
        <w:tc>
          <w:tcPr>
            <w:tcW w:w="1087" w:type="dxa"/>
            <w:shd w:val="clear" w:color="auto" w:fill="auto"/>
            <w:noWrap/>
            <w:vAlign w:val="bottom"/>
            <w:hideMark/>
          </w:tcPr>
          <w:p w:rsidR="00A372B3" w:rsidRPr="00AE49C8" w:rsidRDefault="00A372B3" w:rsidP="00A372B3">
            <w:pPr>
              <w:spacing w:after="0" w:line="240" w:lineRule="auto"/>
              <w:rPr>
                <w:rFonts w:eastAsia="Times New Roman"/>
                <w:color w:val="000000"/>
                <w:sz w:val="22"/>
                <w:lang w:eastAsia="en-GB"/>
              </w:rPr>
            </w:pPr>
            <w:r w:rsidRPr="00AE49C8">
              <w:rPr>
                <w:rFonts w:eastAsia="Times New Roman"/>
                <w:color w:val="000000"/>
                <w:sz w:val="22"/>
                <w:lang w:eastAsia="en-GB"/>
              </w:rPr>
              <w:t>Female</w:t>
            </w:r>
          </w:p>
        </w:tc>
        <w:tc>
          <w:tcPr>
            <w:tcW w:w="1133" w:type="dxa"/>
            <w:shd w:val="clear" w:color="auto" w:fill="auto"/>
            <w:noWrap/>
            <w:vAlign w:val="bottom"/>
            <w:hideMark/>
          </w:tcPr>
          <w:p w:rsidR="00A372B3" w:rsidRPr="00AE49C8" w:rsidRDefault="00A372B3" w:rsidP="00A372B3">
            <w:pPr>
              <w:spacing w:after="0" w:line="240" w:lineRule="auto"/>
              <w:jc w:val="center"/>
              <w:rPr>
                <w:rFonts w:eastAsia="Times New Roman"/>
                <w:color w:val="000000"/>
                <w:sz w:val="22"/>
                <w:lang w:eastAsia="en-GB"/>
              </w:rPr>
            </w:pPr>
            <w:r w:rsidRPr="00AE49C8">
              <w:rPr>
                <w:rFonts w:eastAsia="Times New Roman"/>
                <w:color w:val="000000"/>
                <w:sz w:val="22"/>
                <w:lang w:eastAsia="en-GB"/>
              </w:rPr>
              <w:t>19</w:t>
            </w:r>
          </w:p>
        </w:tc>
        <w:tc>
          <w:tcPr>
            <w:tcW w:w="1133" w:type="dxa"/>
            <w:shd w:val="clear" w:color="auto" w:fill="auto"/>
            <w:noWrap/>
            <w:vAlign w:val="bottom"/>
            <w:hideMark/>
          </w:tcPr>
          <w:p w:rsidR="00A372B3" w:rsidRPr="00AE49C8" w:rsidRDefault="00A372B3" w:rsidP="00A372B3">
            <w:pPr>
              <w:spacing w:after="0" w:line="240" w:lineRule="auto"/>
              <w:jc w:val="center"/>
              <w:rPr>
                <w:rFonts w:eastAsia="Times New Roman"/>
                <w:color w:val="000000"/>
                <w:sz w:val="22"/>
                <w:lang w:eastAsia="en-GB"/>
              </w:rPr>
            </w:pPr>
            <w:r w:rsidRPr="00AE49C8">
              <w:rPr>
                <w:rFonts w:eastAsia="Times New Roman"/>
                <w:color w:val="000000"/>
                <w:sz w:val="22"/>
                <w:lang w:eastAsia="en-GB"/>
              </w:rPr>
              <w:t>67.9%</w:t>
            </w:r>
          </w:p>
        </w:tc>
        <w:tc>
          <w:tcPr>
            <w:tcW w:w="1278" w:type="dxa"/>
            <w:shd w:val="clear" w:color="auto" w:fill="auto"/>
            <w:noWrap/>
            <w:vAlign w:val="bottom"/>
            <w:hideMark/>
          </w:tcPr>
          <w:p w:rsidR="00A372B3" w:rsidRPr="00AE49C8" w:rsidRDefault="00A372B3" w:rsidP="00A372B3">
            <w:pPr>
              <w:spacing w:after="0" w:line="240" w:lineRule="auto"/>
              <w:jc w:val="center"/>
              <w:rPr>
                <w:rFonts w:eastAsia="Times New Roman"/>
                <w:color w:val="000000"/>
                <w:sz w:val="22"/>
                <w:lang w:eastAsia="en-GB"/>
              </w:rPr>
            </w:pPr>
            <w:r w:rsidRPr="00AE49C8">
              <w:rPr>
                <w:rFonts w:eastAsia="Times New Roman"/>
                <w:color w:val="000000"/>
                <w:sz w:val="22"/>
                <w:lang w:eastAsia="en-GB"/>
              </w:rPr>
              <w:t>34</w:t>
            </w:r>
          </w:p>
        </w:tc>
        <w:tc>
          <w:tcPr>
            <w:tcW w:w="1278" w:type="dxa"/>
            <w:shd w:val="clear" w:color="auto" w:fill="auto"/>
            <w:noWrap/>
            <w:vAlign w:val="bottom"/>
            <w:hideMark/>
          </w:tcPr>
          <w:p w:rsidR="00A372B3" w:rsidRPr="00AE49C8" w:rsidRDefault="00A372B3" w:rsidP="00A372B3">
            <w:pPr>
              <w:spacing w:after="0" w:line="240" w:lineRule="auto"/>
              <w:jc w:val="center"/>
              <w:rPr>
                <w:rFonts w:eastAsia="Times New Roman"/>
                <w:color w:val="000000"/>
                <w:sz w:val="22"/>
                <w:lang w:eastAsia="en-GB"/>
              </w:rPr>
            </w:pPr>
            <w:r w:rsidRPr="00AE49C8">
              <w:rPr>
                <w:rFonts w:eastAsia="Times New Roman"/>
                <w:color w:val="000000"/>
                <w:sz w:val="22"/>
                <w:lang w:eastAsia="en-GB"/>
              </w:rPr>
              <w:t>64.2%</w:t>
            </w:r>
          </w:p>
        </w:tc>
        <w:tc>
          <w:tcPr>
            <w:tcW w:w="2044" w:type="dxa"/>
            <w:shd w:val="clear" w:color="auto" w:fill="auto"/>
            <w:noWrap/>
            <w:vAlign w:val="bottom"/>
            <w:hideMark/>
          </w:tcPr>
          <w:p w:rsidR="00A372B3" w:rsidRPr="00AE49C8" w:rsidRDefault="00A372B3" w:rsidP="00A372B3">
            <w:pPr>
              <w:spacing w:after="0" w:line="240" w:lineRule="auto"/>
              <w:jc w:val="center"/>
              <w:rPr>
                <w:rFonts w:eastAsia="Times New Roman"/>
                <w:color w:val="000000"/>
                <w:sz w:val="22"/>
                <w:lang w:eastAsia="en-GB"/>
              </w:rPr>
            </w:pPr>
            <w:r w:rsidRPr="00AE49C8">
              <w:rPr>
                <w:rFonts w:eastAsia="Times New Roman"/>
                <w:color w:val="000000"/>
                <w:sz w:val="22"/>
                <w:lang w:eastAsia="en-GB"/>
              </w:rPr>
              <w:t>76.9%</w:t>
            </w:r>
          </w:p>
        </w:tc>
      </w:tr>
      <w:tr w:rsidR="00A372B3" w:rsidRPr="00AE49C8" w:rsidTr="00BD6BE6">
        <w:trPr>
          <w:cantSplit/>
          <w:trHeight w:val="300"/>
          <w:tblHeader/>
          <w:jc w:val="center"/>
        </w:trPr>
        <w:tc>
          <w:tcPr>
            <w:tcW w:w="1087" w:type="dxa"/>
            <w:shd w:val="clear" w:color="auto" w:fill="auto"/>
            <w:noWrap/>
            <w:vAlign w:val="bottom"/>
            <w:hideMark/>
          </w:tcPr>
          <w:p w:rsidR="00A372B3" w:rsidRPr="00AE49C8" w:rsidRDefault="00A372B3" w:rsidP="00A372B3">
            <w:pPr>
              <w:spacing w:after="0" w:line="240" w:lineRule="auto"/>
              <w:rPr>
                <w:rFonts w:eastAsia="Times New Roman"/>
                <w:color w:val="000000"/>
                <w:sz w:val="22"/>
                <w:lang w:eastAsia="en-GB"/>
              </w:rPr>
            </w:pPr>
            <w:r w:rsidRPr="00AE49C8">
              <w:rPr>
                <w:rFonts w:eastAsia="Times New Roman"/>
                <w:color w:val="000000"/>
                <w:sz w:val="22"/>
                <w:lang w:eastAsia="en-GB"/>
              </w:rPr>
              <w:t>Male</w:t>
            </w:r>
          </w:p>
        </w:tc>
        <w:tc>
          <w:tcPr>
            <w:tcW w:w="1133" w:type="dxa"/>
            <w:shd w:val="clear" w:color="auto" w:fill="auto"/>
            <w:noWrap/>
            <w:vAlign w:val="bottom"/>
            <w:hideMark/>
          </w:tcPr>
          <w:p w:rsidR="00A372B3" w:rsidRPr="00AE49C8" w:rsidRDefault="00A372B3" w:rsidP="00A372B3">
            <w:pPr>
              <w:spacing w:after="0" w:line="240" w:lineRule="auto"/>
              <w:jc w:val="center"/>
              <w:rPr>
                <w:rFonts w:eastAsia="Times New Roman"/>
                <w:color w:val="000000"/>
                <w:sz w:val="22"/>
                <w:lang w:eastAsia="en-GB"/>
              </w:rPr>
            </w:pPr>
            <w:r w:rsidRPr="00AE49C8">
              <w:rPr>
                <w:rFonts w:eastAsia="Times New Roman"/>
                <w:color w:val="000000"/>
                <w:sz w:val="22"/>
                <w:lang w:eastAsia="en-GB"/>
              </w:rPr>
              <w:t>9</w:t>
            </w:r>
          </w:p>
        </w:tc>
        <w:tc>
          <w:tcPr>
            <w:tcW w:w="1133" w:type="dxa"/>
            <w:shd w:val="clear" w:color="auto" w:fill="auto"/>
            <w:noWrap/>
            <w:vAlign w:val="bottom"/>
            <w:hideMark/>
          </w:tcPr>
          <w:p w:rsidR="00A372B3" w:rsidRPr="00AE49C8" w:rsidRDefault="00A372B3" w:rsidP="00A372B3">
            <w:pPr>
              <w:spacing w:after="0" w:line="240" w:lineRule="auto"/>
              <w:jc w:val="center"/>
              <w:rPr>
                <w:rFonts w:eastAsia="Times New Roman"/>
                <w:color w:val="000000"/>
                <w:sz w:val="22"/>
                <w:lang w:eastAsia="en-GB"/>
              </w:rPr>
            </w:pPr>
            <w:r w:rsidRPr="00AE49C8">
              <w:rPr>
                <w:rFonts w:eastAsia="Times New Roman"/>
                <w:color w:val="000000"/>
                <w:sz w:val="22"/>
                <w:lang w:eastAsia="en-GB"/>
              </w:rPr>
              <w:t>32.1%</w:t>
            </w:r>
          </w:p>
        </w:tc>
        <w:tc>
          <w:tcPr>
            <w:tcW w:w="1278" w:type="dxa"/>
            <w:shd w:val="clear" w:color="auto" w:fill="auto"/>
            <w:noWrap/>
            <w:vAlign w:val="bottom"/>
            <w:hideMark/>
          </w:tcPr>
          <w:p w:rsidR="00A372B3" w:rsidRPr="00AE49C8" w:rsidRDefault="00A372B3" w:rsidP="00A372B3">
            <w:pPr>
              <w:spacing w:after="0" w:line="240" w:lineRule="auto"/>
              <w:jc w:val="center"/>
              <w:rPr>
                <w:rFonts w:eastAsia="Times New Roman"/>
                <w:color w:val="000000"/>
                <w:sz w:val="22"/>
                <w:lang w:eastAsia="en-GB"/>
              </w:rPr>
            </w:pPr>
            <w:r w:rsidRPr="00AE49C8">
              <w:rPr>
                <w:rFonts w:eastAsia="Times New Roman"/>
                <w:color w:val="000000"/>
                <w:sz w:val="22"/>
                <w:lang w:eastAsia="en-GB"/>
              </w:rPr>
              <w:t>19</w:t>
            </w:r>
          </w:p>
        </w:tc>
        <w:tc>
          <w:tcPr>
            <w:tcW w:w="1278" w:type="dxa"/>
            <w:shd w:val="clear" w:color="auto" w:fill="auto"/>
            <w:noWrap/>
            <w:vAlign w:val="bottom"/>
            <w:hideMark/>
          </w:tcPr>
          <w:p w:rsidR="00A372B3" w:rsidRPr="00AE49C8" w:rsidRDefault="00A372B3" w:rsidP="00A372B3">
            <w:pPr>
              <w:spacing w:after="0" w:line="240" w:lineRule="auto"/>
              <w:jc w:val="center"/>
              <w:rPr>
                <w:rFonts w:eastAsia="Times New Roman"/>
                <w:color w:val="000000"/>
                <w:sz w:val="22"/>
                <w:lang w:eastAsia="en-GB"/>
              </w:rPr>
            </w:pPr>
            <w:r w:rsidRPr="00AE49C8">
              <w:rPr>
                <w:rFonts w:eastAsia="Times New Roman"/>
                <w:color w:val="000000"/>
                <w:sz w:val="22"/>
                <w:lang w:eastAsia="en-GB"/>
              </w:rPr>
              <w:t>35.8%</w:t>
            </w:r>
          </w:p>
        </w:tc>
        <w:tc>
          <w:tcPr>
            <w:tcW w:w="2044" w:type="dxa"/>
            <w:shd w:val="clear" w:color="auto" w:fill="auto"/>
            <w:noWrap/>
            <w:vAlign w:val="bottom"/>
            <w:hideMark/>
          </w:tcPr>
          <w:p w:rsidR="00A372B3" w:rsidRPr="00AE49C8" w:rsidRDefault="00A372B3" w:rsidP="00A372B3">
            <w:pPr>
              <w:spacing w:after="0" w:line="240" w:lineRule="auto"/>
              <w:jc w:val="center"/>
              <w:rPr>
                <w:rFonts w:eastAsia="Times New Roman"/>
                <w:color w:val="000000"/>
                <w:sz w:val="22"/>
                <w:lang w:eastAsia="en-GB"/>
              </w:rPr>
            </w:pPr>
            <w:r w:rsidRPr="00AE49C8">
              <w:rPr>
                <w:rFonts w:eastAsia="Times New Roman"/>
                <w:color w:val="000000"/>
                <w:sz w:val="22"/>
                <w:lang w:eastAsia="en-GB"/>
              </w:rPr>
              <w:t>23.1%</w:t>
            </w:r>
          </w:p>
        </w:tc>
      </w:tr>
      <w:tr w:rsidR="00A372B3" w:rsidRPr="00AE49C8" w:rsidTr="00BD6BE6">
        <w:trPr>
          <w:cantSplit/>
          <w:trHeight w:val="300"/>
          <w:tblHeader/>
          <w:jc w:val="center"/>
        </w:trPr>
        <w:tc>
          <w:tcPr>
            <w:tcW w:w="1087" w:type="dxa"/>
            <w:shd w:val="clear" w:color="auto" w:fill="auto"/>
            <w:noWrap/>
            <w:vAlign w:val="bottom"/>
            <w:hideMark/>
          </w:tcPr>
          <w:p w:rsidR="00A372B3" w:rsidRPr="00AE49C8" w:rsidRDefault="00A372B3" w:rsidP="00A372B3">
            <w:pPr>
              <w:spacing w:after="0" w:line="240" w:lineRule="auto"/>
              <w:rPr>
                <w:rFonts w:eastAsia="Times New Roman"/>
                <w:b/>
                <w:bCs/>
                <w:color w:val="000000"/>
                <w:sz w:val="22"/>
                <w:lang w:eastAsia="en-GB"/>
              </w:rPr>
            </w:pPr>
            <w:r w:rsidRPr="00AE49C8">
              <w:rPr>
                <w:rFonts w:eastAsia="Times New Roman"/>
                <w:b/>
                <w:bCs/>
                <w:color w:val="000000"/>
                <w:sz w:val="22"/>
                <w:lang w:eastAsia="en-GB"/>
              </w:rPr>
              <w:t>Total</w:t>
            </w:r>
          </w:p>
        </w:tc>
        <w:tc>
          <w:tcPr>
            <w:tcW w:w="1133" w:type="dxa"/>
            <w:shd w:val="clear" w:color="auto" w:fill="auto"/>
            <w:noWrap/>
            <w:vAlign w:val="bottom"/>
            <w:hideMark/>
          </w:tcPr>
          <w:p w:rsidR="00A372B3" w:rsidRPr="00AE49C8" w:rsidRDefault="00A372B3" w:rsidP="00A372B3">
            <w:pPr>
              <w:spacing w:after="0" w:line="240" w:lineRule="auto"/>
              <w:jc w:val="center"/>
              <w:rPr>
                <w:rFonts w:eastAsia="Times New Roman"/>
                <w:b/>
                <w:bCs/>
                <w:color w:val="000000"/>
                <w:sz w:val="22"/>
                <w:lang w:eastAsia="en-GB"/>
              </w:rPr>
            </w:pPr>
            <w:r w:rsidRPr="00AE49C8">
              <w:rPr>
                <w:rFonts w:eastAsia="Times New Roman"/>
                <w:b/>
                <w:bCs/>
                <w:color w:val="000000"/>
                <w:sz w:val="22"/>
                <w:lang w:eastAsia="en-GB"/>
              </w:rPr>
              <w:t>28</w:t>
            </w:r>
          </w:p>
        </w:tc>
        <w:tc>
          <w:tcPr>
            <w:tcW w:w="1133" w:type="dxa"/>
            <w:shd w:val="clear" w:color="auto" w:fill="auto"/>
            <w:noWrap/>
            <w:vAlign w:val="bottom"/>
            <w:hideMark/>
          </w:tcPr>
          <w:p w:rsidR="00A372B3" w:rsidRPr="00AE49C8" w:rsidRDefault="00A372B3" w:rsidP="00A372B3">
            <w:pPr>
              <w:spacing w:after="0" w:line="240" w:lineRule="auto"/>
              <w:jc w:val="center"/>
              <w:rPr>
                <w:rFonts w:eastAsia="Times New Roman"/>
                <w:b/>
                <w:bCs/>
                <w:color w:val="000000"/>
                <w:sz w:val="22"/>
                <w:lang w:eastAsia="en-GB"/>
              </w:rPr>
            </w:pPr>
            <w:r w:rsidRPr="00AE49C8">
              <w:rPr>
                <w:rFonts w:eastAsia="Times New Roman"/>
                <w:b/>
                <w:bCs/>
                <w:color w:val="000000"/>
                <w:sz w:val="22"/>
                <w:lang w:eastAsia="en-GB"/>
              </w:rPr>
              <w:t>100%</w:t>
            </w:r>
          </w:p>
        </w:tc>
        <w:tc>
          <w:tcPr>
            <w:tcW w:w="1278" w:type="dxa"/>
            <w:shd w:val="clear" w:color="auto" w:fill="auto"/>
            <w:noWrap/>
            <w:vAlign w:val="bottom"/>
            <w:hideMark/>
          </w:tcPr>
          <w:p w:rsidR="00A372B3" w:rsidRPr="00AE49C8" w:rsidRDefault="00A372B3" w:rsidP="00A372B3">
            <w:pPr>
              <w:spacing w:after="0" w:line="240" w:lineRule="auto"/>
              <w:jc w:val="center"/>
              <w:rPr>
                <w:rFonts w:eastAsia="Times New Roman"/>
                <w:b/>
                <w:bCs/>
                <w:color w:val="000000"/>
                <w:sz w:val="22"/>
                <w:lang w:eastAsia="en-GB"/>
              </w:rPr>
            </w:pPr>
            <w:r w:rsidRPr="00AE49C8">
              <w:rPr>
                <w:rFonts w:eastAsia="Times New Roman"/>
                <w:b/>
                <w:bCs/>
                <w:color w:val="000000"/>
                <w:sz w:val="22"/>
                <w:lang w:eastAsia="en-GB"/>
              </w:rPr>
              <w:t>53</w:t>
            </w:r>
          </w:p>
        </w:tc>
        <w:tc>
          <w:tcPr>
            <w:tcW w:w="1278" w:type="dxa"/>
            <w:shd w:val="clear" w:color="auto" w:fill="auto"/>
            <w:noWrap/>
            <w:vAlign w:val="bottom"/>
            <w:hideMark/>
          </w:tcPr>
          <w:p w:rsidR="00A372B3" w:rsidRPr="00AE49C8" w:rsidRDefault="00A372B3" w:rsidP="00A372B3">
            <w:pPr>
              <w:spacing w:after="0" w:line="240" w:lineRule="auto"/>
              <w:jc w:val="center"/>
              <w:rPr>
                <w:rFonts w:eastAsia="Times New Roman"/>
                <w:b/>
                <w:bCs/>
                <w:color w:val="000000"/>
                <w:sz w:val="22"/>
                <w:lang w:eastAsia="en-GB"/>
              </w:rPr>
            </w:pPr>
            <w:r w:rsidRPr="00AE49C8">
              <w:rPr>
                <w:rFonts w:eastAsia="Times New Roman"/>
                <w:b/>
                <w:bCs/>
                <w:color w:val="000000"/>
                <w:sz w:val="22"/>
                <w:lang w:eastAsia="en-GB"/>
              </w:rPr>
              <w:t>100%</w:t>
            </w:r>
          </w:p>
        </w:tc>
        <w:tc>
          <w:tcPr>
            <w:tcW w:w="2044" w:type="dxa"/>
            <w:shd w:val="clear" w:color="auto" w:fill="auto"/>
            <w:noWrap/>
            <w:vAlign w:val="bottom"/>
            <w:hideMark/>
          </w:tcPr>
          <w:p w:rsidR="00A372B3" w:rsidRPr="00AE49C8" w:rsidRDefault="00A372B3" w:rsidP="00A372B3">
            <w:pPr>
              <w:spacing w:after="0" w:line="240" w:lineRule="auto"/>
              <w:rPr>
                <w:rFonts w:eastAsia="Times New Roman"/>
                <w:color w:val="000000"/>
                <w:sz w:val="22"/>
                <w:lang w:eastAsia="en-GB"/>
              </w:rPr>
            </w:pPr>
          </w:p>
        </w:tc>
      </w:tr>
    </w:tbl>
    <w:p w:rsidR="00A372B3" w:rsidRPr="00AE49C8" w:rsidRDefault="00A372B3" w:rsidP="00A372B3">
      <w:pPr>
        <w:rPr>
          <w:b/>
        </w:rPr>
      </w:pPr>
    </w:p>
    <w:p w:rsidR="00A372B3" w:rsidRPr="00AE49C8" w:rsidRDefault="00A372B3" w:rsidP="00A372B3">
      <w:pPr>
        <w:rPr>
          <w:b/>
        </w:rPr>
      </w:pPr>
      <w:r w:rsidRPr="00AE49C8">
        <w:rPr>
          <w:noProof/>
          <w:lang w:eastAsia="en-GB"/>
        </w:rPr>
        <w:lastRenderedPageBreak/>
        <w:drawing>
          <wp:inline distT="0" distB="0" distL="0" distR="0" wp14:anchorId="48E8F931" wp14:editId="2CACB806">
            <wp:extent cx="5731510" cy="2726141"/>
            <wp:effectExtent l="0" t="0" r="2540" b="0"/>
            <wp:docPr id="47" name="Chart 47" title="Grievance and disciplinary cases brokendown by gender compared to the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372B3" w:rsidRPr="000D2F61" w:rsidRDefault="00A372B3" w:rsidP="00A372B3">
      <w:r w:rsidRPr="000D2F61">
        <w:t>Observations</w:t>
      </w:r>
    </w:p>
    <w:p w:rsidR="00A372B3" w:rsidRPr="00AE49C8" w:rsidRDefault="00B249BF" w:rsidP="00BD6BE6">
      <w:pPr>
        <w:pStyle w:val="ListParagraph"/>
      </w:pPr>
      <w:r w:rsidRPr="00AE49C8">
        <w:t>In both grievances and disciplinaries, male staff have a higher than expected representation, and the opposite is true for female staff.</w:t>
      </w:r>
    </w:p>
    <w:p w:rsidR="006455EF" w:rsidRPr="00AE49C8" w:rsidRDefault="00A372B3" w:rsidP="008A38FE">
      <w:pPr>
        <w:pStyle w:val="Heading3"/>
      </w:pPr>
      <w:bookmarkStart w:id="58" w:name="_Toc88634005"/>
      <w:r w:rsidRPr="00AE49C8">
        <w:t xml:space="preserve">Leavers broken down by </w:t>
      </w:r>
      <w:r w:rsidR="006455EF" w:rsidRPr="00AE49C8">
        <w:t>gender</w:t>
      </w:r>
      <w:bookmarkEnd w:id="58"/>
    </w:p>
    <w:p w:rsidR="00A372B3" w:rsidRPr="00AE49C8" w:rsidRDefault="00A372B3" w:rsidP="00A372B3">
      <w:pPr>
        <w:rPr>
          <w:b/>
        </w:rPr>
      </w:pPr>
      <w:r w:rsidRPr="00AE49C8">
        <w:rPr>
          <w:b/>
        </w:rPr>
        <w:t>BSUH</w:t>
      </w:r>
    </w:p>
    <w:tbl>
      <w:tblPr>
        <w:tblW w:w="8520" w:type="dxa"/>
        <w:jc w:val="center"/>
        <w:tblBorders>
          <w:insideH w:val="dotted" w:sz="4" w:space="0" w:color="auto"/>
        </w:tblBorders>
        <w:tblLook w:val="04A0" w:firstRow="1" w:lastRow="0" w:firstColumn="1" w:lastColumn="0" w:noHBand="0" w:noVBand="1"/>
        <w:tblCaption w:val="Leavers brokendown by gender"/>
      </w:tblPr>
      <w:tblGrid>
        <w:gridCol w:w="1580"/>
        <w:gridCol w:w="1979"/>
        <w:gridCol w:w="1843"/>
        <w:gridCol w:w="1559"/>
        <w:gridCol w:w="1559"/>
      </w:tblGrid>
      <w:tr w:rsidR="00A372B3" w:rsidRPr="00AE49C8" w:rsidTr="00B249BF">
        <w:trPr>
          <w:cantSplit/>
          <w:trHeight w:val="312"/>
          <w:tblHeader/>
          <w:jc w:val="center"/>
        </w:trPr>
        <w:tc>
          <w:tcPr>
            <w:tcW w:w="1580" w:type="dxa"/>
            <w:shd w:val="clear" w:color="auto" w:fill="auto"/>
            <w:noWrap/>
            <w:vAlign w:val="center"/>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Recorded Gender</w:t>
            </w:r>
          </w:p>
        </w:tc>
        <w:tc>
          <w:tcPr>
            <w:tcW w:w="1979" w:type="dxa"/>
            <w:shd w:val="clear" w:color="auto" w:fill="auto"/>
            <w:noWrap/>
            <w:vAlign w:val="center"/>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BSUH Leavers</w:t>
            </w:r>
          </w:p>
        </w:tc>
        <w:tc>
          <w:tcPr>
            <w:tcW w:w="1843" w:type="dxa"/>
            <w:shd w:val="clear" w:color="auto" w:fill="auto"/>
            <w:noWrap/>
            <w:vAlign w:val="center"/>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BSUH Leavers (%)</w:t>
            </w:r>
          </w:p>
        </w:tc>
        <w:tc>
          <w:tcPr>
            <w:tcW w:w="1559"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in Workforce</w:t>
            </w:r>
          </w:p>
        </w:tc>
        <w:tc>
          <w:tcPr>
            <w:tcW w:w="1559"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 in Workforce</w:t>
            </w:r>
          </w:p>
        </w:tc>
      </w:tr>
      <w:tr w:rsidR="00A372B3" w:rsidRPr="00AE49C8" w:rsidTr="00B249BF">
        <w:trPr>
          <w:cantSplit/>
          <w:trHeight w:val="312"/>
          <w:tblHeader/>
          <w:jc w:val="center"/>
        </w:trPr>
        <w:tc>
          <w:tcPr>
            <w:tcW w:w="1580" w:type="dxa"/>
            <w:shd w:val="clear" w:color="auto" w:fill="auto"/>
            <w:noWrap/>
            <w:vAlign w:val="center"/>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Female</w:t>
            </w:r>
          </w:p>
        </w:tc>
        <w:tc>
          <w:tcPr>
            <w:tcW w:w="1979" w:type="dxa"/>
            <w:shd w:val="clear" w:color="auto" w:fill="auto"/>
            <w:noWrap/>
            <w:vAlign w:val="center"/>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1041</w:t>
            </w:r>
          </w:p>
        </w:tc>
        <w:tc>
          <w:tcPr>
            <w:tcW w:w="1843"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68.2%</w:t>
            </w:r>
          </w:p>
        </w:tc>
        <w:tc>
          <w:tcPr>
            <w:tcW w:w="1559"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6312</w:t>
            </w:r>
          </w:p>
        </w:tc>
        <w:tc>
          <w:tcPr>
            <w:tcW w:w="1559"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71.1%</w:t>
            </w:r>
          </w:p>
        </w:tc>
      </w:tr>
      <w:tr w:rsidR="00A372B3" w:rsidRPr="00AE49C8" w:rsidTr="00B249BF">
        <w:trPr>
          <w:cantSplit/>
          <w:trHeight w:val="312"/>
          <w:tblHeader/>
          <w:jc w:val="center"/>
        </w:trPr>
        <w:tc>
          <w:tcPr>
            <w:tcW w:w="1580" w:type="dxa"/>
            <w:shd w:val="clear" w:color="auto" w:fill="auto"/>
            <w:noWrap/>
            <w:vAlign w:val="center"/>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Male</w:t>
            </w:r>
          </w:p>
        </w:tc>
        <w:tc>
          <w:tcPr>
            <w:tcW w:w="1979" w:type="dxa"/>
            <w:shd w:val="clear" w:color="auto" w:fill="auto"/>
            <w:noWrap/>
            <w:vAlign w:val="center"/>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486</w:t>
            </w:r>
          </w:p>
        </w:tc>
        <w:tc>
          <w:tcPr>
            <w:tcW w:w="1843"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31.8%</w:t>
            </w:r>
          </w:p>
        </w:tc>
        <w:tc>
          <w:tcPr>
            <w:tcW w:w="1559"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2561</w:t>
            </w:r>
          </w:p>
        </w:tc>
        <w:tc>
          <w:tcPr>
            <w:tcW w:w="1559"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28.9%</w:t>
            </w:r>
          </w:p>
        </w:tc>
      </w:tr>
      <w:tr w:rsidR="00A372B3" w:rsidRPr="00AE49C8" w:rsidTr="00B249BF">
        <w:trPr>
          <w:cantSplit/>
          <w:trHeight w:val="312"/>
          <w:tblHeader/>
          <w:jc w:val="center"/>
        </w:trPr>
        <w:tc>
          <w:tcPr>
            <w:tcW w:w="1580" w:type="dxa"/>
            <w:shd w:val="clear" w:color="auto" w:fill="auto"/>
            <w:noWrap/>
            <w:vAlign w:val="center"/>
            <w:hideMark/>
          </w:tcPr>
          <w:p w:rsidR="00A372B3" w:rsidRPr="00AE49C8" w:rsidRDefault="00A372B3" w:rsidP="00A372B3">
            <w:pPr>
              <w:spacing w:after="0" w:line="240" w:lineRule="auto"/>
              <w:rPr>
                <w:rFonts w:eastAsia="Times New Roman"/>
                <w:bCs/>
                <w:color w:val="000000"/>
                <w:szCs w:val="24"/>
                <w:lang w:eastAsia="en-GB"/>
              </w:rPr>
            </w:pPr>
            <w:r w:rsidRPr="00AE49C8">
              <w:rPr>
                <w:rFonts w:eastAsia="Times New Roman"/>
                <w:bCs/>
                <w:color w:val="000000"/>
                <w:szCs w:val="24"/>
                <w:lang w:eastAsia="en-GB"/>
              </w:rPr>
              <w:t>Grand Total</w:t>
            </w:r>
          </w:p>
        </w:tc>
        <w:tc>
          <w:tcPr>
            <w:tcW w:w="1979" w:type="dxa"/>
            <w:shd w:val="clear" w:color="auto" w:fill="auto"/>
            <w:noWrap/>
            <w:vAlign w:val="center"/>
            <w:hideMark/>
          </w:tcPr>
          <w:p w:rsidR="00A372B3" w:rsidRPr="00AE49C8" w:rsidRDefault="00A372B3" w:rsidP="00A372B3">
            <w:pPr>
              <w:spacing w:after="0" w:line="240" w:lineRule="auto"/>
              <w:rPr>
                <w:rFonts w:eastAsia="Times New Roman"/>
                <w:bCs/>
                <w:color w:val="000000"/>
                <w:szCs w:val="24"/>
                <w:lang w:eastAsia="en-GB"/>
              </w:rPr>
            </w:pPr>
            <w:r w:rsidRPr="00AE49C8">
              <w:rPr>
                <w:rFonts w:eastAsia="Times New Roman"/>
                <w:bCs/>
                <w:color w:val="000000"/>
                <w:szCs w:val="24"/>
                <w:lang w:eastAsia="en-GB"/>
              </w:rPr>
              <w:t>1527</w:t>
            </w:r>
          </w:p>
        </w:tc>
        <w:tc>
          <w:tcPr>
            <w:tcW w:w="1843" w:type="dxa"/>
            <w:shd w:val="clear" w:color="auto" w:fill="auto"/>
            <w:noWrap/>
            <w:vAlign w:val="bottom"/>
            <w:hideMark/>
          </w:tcPr>
          <w:p w:rsidR="00A372B3" w:rsidRPr="00AE49C8" w:rsidRDefault="00A372B3" w:rsidP="00A372B3">
            <w:pPr>
              <w:spacing w:after="0" w:line="240" w:lineRule="auto"/>
              <w:rPr>
                <w:rFonts w:eastAsia="Times New Roman"/>
                <w:bCs/>
                <w:color w:val="000000"/>
                <w:szCs w:val="24"/>
                <w:lang w:eastAsia="en-GB"/>
              </w:rPr>
            </w:pPr>
            <w:r w:rsidRPr="00AE49C8">
              <w:rPr>
                <w:rFonts w:eastAsia="Times New Roman"/>
                <w:bCs/>
                <w:color w:val="000000"/>
                <w:szCs w:val="24"/>
                <w:lang w:eastAsia="en-GB"/>
              </w:rPr>
              <w:t>100.0%</w:t>
            </w:r>
          </w:p>
        </w:tc>
        <w:tc>
          <w:tcPr>
            <w:tcW w:w="1559" w:type="dxa"/>
            <w:shd w:val="clear" w:color="auto" w:fill="auto"/>
            <w:noWrap/>
            <w:vAlign w:val="bottom"/>
            <w:hideMark/>
          </w:tcPr>
          <w:p w:rsidR="00A372B3" w:rsidRPr="00AE49C8" w:rsidRDefault="00A372B3" w:rsidP="00A372B3">
            <w:pPr>
              <w:spacing w:after="0" w:line="240" w:lineRule="auto"/>
              <w:rPr>
                <w:rFonts w:eastAsia="Times New Roman"/>
                <w:bCs/>
                <w:color w:val="000000"/>
                <w:szCs w:val="24"/>
                <w:lang w:eastAsia="en-GB"/>
              </w:rPr>
            </w:pPr>
            <w:r w:rsidRPr="00AE49C8">
              <w:rPr>
                <w:rFonts w:eastAsia="Times New Roman"/>
                <w:bCs/>
                <w:color w:val="000000"/>
                <w:szCs w:val="24"/>
                <w:lang w:eastAsia="en-GB"/>
              </w:rPr>
              <w:t>8873</w:t>
            </w:r>
          </w:p>
        </w:tc>
        <w:tc>
          <w:tcPr>
            <w:tcW w:w="1559" w:type="dxa"/>
            <w:shd w:val="clear" w:color="auto" w:fill="auto"/>
            <w:noWrap/>
            <w:vAlign w:val="bottom"/>
            <w:hideMark/>
          </w:tcPr>
          <w:p w:rsidR="00A372B3" w:rsidRPr="00AE49C8" w:rsidRDefault="00A372B3" w:rsidP="00A372B3">
            <w:pPr>
              <w:spacing w:after="0" w:line="240" w:lineRule="auto"/>
              <w:rPr>
                <w:rFonts w:eastAsia="Times New Roman"/>
                <w:bCs/>
                <w:color w:val="000000"/>
                <w:szCs w:val="24"/>
                <w:lang w:eastAsia="en-GB"/>
              </w:rPr>
            </w:pPr>
            <w:r w:rsidRPr="00AE49C8">
              <w:rPr>
                <w:rFonts w:eastAsia="Times New Roman"/>
                <w:bCs/>
                <w:color w:val="000000"/>
                <w:szCs w:val="24"/>
                <w:lang w:eastAsia="en-GB"/>
              </w:rPr>
              <w:t>100.0%</w:t>
            </w:r>
          </w:p>
        </w:tc>
      </w:tr>
    </w:tbl>
    <w:p w:rsidR="00A372B3" w:rsidRPr="00AE49C8" w:rsidRDefault="00A372B3" w:rsidP="00A372B3">
      <w:pPr>
        <w:rPr>
          <w:b/>
        </w:rPr>
      </w:pPr>
    </w:p>
    <w:p w:rsidR="00A372B3" w:rsidRPr="00AE49C8" w:rsidRDefault="00A372B3" w:rsidP="00A372B3">
      <w:pPr>
        <w:jc w:val="center"/>
        <w:rPr>
          <w:b/>
        </w:rPr>
      </w:pPr>
      <w:r w:rsidRPr="00AE49C8">
        <w:rPr>
          <w:noProof/>
          <w:lang w:eastAsia="en-GB"/>
        </w:rPr>
        <w:drawing>
          <wp:inline distT="0" distB="0" distL="0" distR="0" wp14:anchorId="791C953E" wp14:editId="58966E46">
            <wp:extent cx="5731510" cy="3125388"/>
            <wp:effectExtent l="0" t="0" r="2540" b="0"/>
            <wp:docPr id="48" name="Chart 48" title="Leavers brokendown by gender and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372B3" w:rsidRPr="000D2F61" w:rsidRDefault="00A372B3" w:rsidP="00A372B3">
      <w:r w:rsidRPr="000D2F61">
        <w:lastRenderedPageBreak/>
        <w:t>Observations</w:t>
      </w:r>
    </w:p>
    <w:p w:rsidR="00A372B3" w:rsidRPr="00AE49C8" w:rsidRDefault="00B249BF" w:rsidP="00B249BF">
      <w:pPr>
        <w:pStyle w:val="ListParagraph"/>
      </w:pPr>
      <w:r w:rsidRPr="00AE49C8">
        <w:t>Male and female staff that have left the organisation is broadly in line with the workforce representation.</w:t>
      </w:r>
    </w:p>
    <w:p w:rsidR="00A372B3" w:rsidRPr="00AE49C8" w:rsidRDefault="00A372B3" w:rsidP="00A372B3">
      <w:pPr>
        <w:rPr>
          <w:b/>
        </w:rPr>
      </w:pPr>
      <w:r w:rsidRPr="00AE49C8">
        <w:rPr>
          <w:b/>
        </w:rPr>
        <w:t>WSHT</w:t>
      </w:r>
    </w:p>
    <w:tbl>
      <w:tblPr>
        <w:tblW w:w="8886" w:type="dxa"/>
        <w:jc w:val="center"/>
        <w:tblBorders>
          <w:insideH w:val="dotted" w:sz="4" w:space="0" w:color="auto"/>
        </w:tblBorders>
        <w:tblLook w:val="04A0" w:firstRow="1" w:lastRow="0" w:firstColumn="1" w:lastColumn="0" w:noHBand="0" w:noVBand="1"/>
        <w:tblCaption w:val="Leavers brokendown by gender"/>
      </w:tblPr>
      <w:tblGrid>
        <w:gridCol w:w="1580"/>
        <w:gridCol w:w="1979"/>
        <w:gridCol w:w="2126"/>
        <w:gridCol w:w="1701"/>
        <w:gridCol w:w="1500"/>
      </w:tblGrid>
      <w:tr w:rsidR="00A372B3" w:rsidRPr="00AE49C8" w:rsidTr="00B249BF">
        <w:trPr>
          <w:cantSplit/>
          <w:trHeight w:val="312"/>
          <w:tblHeader/>
          <w:jc w:val="center"/>
        </w:trPr>
        <w:tc>
          <w:tcPr>
            <w:tcW w:w="1580" w:type="dxa"/>
            <w:shd w:val="clear" w:color="auto" w:fill="auto"/>
            <w:noWrap/>
            <w:vAlign w:val="center"/>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Recorded Gender</w:t>
            </w:r>
          </w:p>
        </w:tc>
        <w:tc>
          <w:tcPr>
            <w:tcW w:w="1979" w:type="dxa"/>
            <w:shd w:val="clear" w:color="auto" w:fill="auto"/>
            <w:noWrap/>
            <w:vAlign w:val="center"/>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WSHT Leavers</w:t>
            </w:r>
          </w:p>
        </w:tc>
        <w:tc>
          <w:tcPr>
            <w:tcW w:w="2126" w:type="dxa"/>
            <w:shd w:val="clear" w:color="auto" w:fill="auto"/>
            <w:noWrap/>
            <w:vAlign w:val="center"/>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WSHT Leavers (%)</w:t>
            </w:r>
          </w:p>
        </w:tc>
        <w:tc>
          <w:tcPr>
            <w:tcW w:w="1701"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in Workforce</w:t>
            </w:r>
          </w:p>
        </w:tc>
        <w:tc>
          <w:tcPr>
            <w:tcW w:w="1500"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 in Workforce</w:t>
            </w:r>
          </w:p>
        </w:tc>
      </w:tr>
      <w:tr w:rsidR="00A372B3" w:rsidRPr="00AE49C8" w:rsidTr="00B249BF">
        <w:trPr>
          <w:cantSplit/>
          <w:trHeight w:val="312"/>
          <w:tblHeader/>
          <w:jc w:val="center"/>
        </w:trPr>
        <w:tc>
          <w:tcPr>
            <w:tcW w:w="1580" w:type="dxa"/>
            <w:shd w:val="clear" w:color="auto" w:fill="auto"/>
            <w:noWrap/>
            <w:vAlign w:val="center"/>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Female</w:t>
            </w:r>
          </w:p>
        </w:tc>
        <w:tc>
          <w:tcPr>
            <w:tcW w:w="1979" w:type="dxa"/>
            <w:shd w:val="clear" w:color="auto" w:fill="auto"/>
            <w:noWrap/>
            <w:vAlign w:val="center"/>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505</w:t>
            </w:r>
          </w:p>
        </w:tc>
        <w:tc>
          <w:tcPr>
            <w:tcW w:w="212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74.0%</w:t>
            </w:r>
          </w:p>
        </w:tc>
        <w:tc>
          <w:tcPr>
            <w:tcW w:w="1701"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5780</w:t>
            </w:r>
          </w:p>
        </w:tc>
        <w:tc>
          <w:tcPr>
            <w:tcW w:w="1500"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76.9%</w:t>
            </w:r>
          </w:p>
        </w:tc>
      </w:tr>
      <w:tr w:rsidR="00A372B3" w:rsidRPr="00AE49C8" w:rsidTr="00B249BF">
        <w:trPr>
          <w:cantSplit/>
          <w:trHeight w:val="312"/>
          <w:tblHeader/>
          <w:jc w:val="center"/>
        </w:trPr>
        <w:tc>
          <w:tcPr>
            <w:tcW w:w="1580" w:type="dxa"/>
            <w:shd w:val="clear" w:color="auto" w:fill="auto"/>
            <w:noWrap/>
            <w:vAlign w:val="center"/>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Male</w:t>
            </w:r>
          </w:p>
        </w:tc>
        <w:tc>
          <w:tcPr>
            <w:tcW w:w="1979" w:type="dxa"/>
            <w:shd w:val="clear" w:color="auto" w:fill="auto"/>
            <w:noWrap/>
            <w:vAlign w:val="center"/>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177</w:t>
            </w:r>
          </w:p>
        </w:tc>
        <w:tc>
          <w:tcPr>
            <w:tcW w:w="2126"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26.0%</w:t>
            </w:r>
          </w:p>
        </w:tc>
        <w:tc>
          <w:tcPr>
            <w:tcW w:w="1701"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1739</w:t>
            </w:r>
          </w:p>
        </w:tc>
        <w:tc>
          <w:tcPr>
            <w:tcW w:w="1500" w:type="dxa"/>
            <w:shd w:val="clear" w:color="auto" w:fill="auto"/>
            <w:noWrap/>
            <w:vAlign w:val="bottom"/>
            <w:hideMark/>
          </w:tcPr>
          <w:p w:rsidR="00A372B3" w:rsidRPr="00AE49C8" w:rsidRDefault="00A372B3" w:rsidP="00A372B3">
            <w:pPr>
              <w:spacing w:after="0" w:line="240" w:lineRule="auto"/>
              <w:rPr>
                <w:rFonts w:eastAsia="Times New Roman"/>
                <w:color w:val="000000"/>
                <w:szCs w:val="24"/>
                <w:lang w:eastAsia="en-GB"/>
              </w:rPr>
            </w:pPr>
            <w:r w:rsidRPr="00AE49C8">
              <w:rPr>
                <w:rFonts w:eastAsia="Times New Roman"/>
                <w:color w:val="000000"/>
                <w:szCs w:val="24"/>
                <w:lang w:eastAsia="en-GB"/>
              </w:rPr>
              <w:t>23.1%</w:t>
            </w:r>
          </w:p>
        </w:tc>
      </w:tr>
      <w:tr w:rsidR="00A372B3" w:rsidRPr="00AE49C8" w:rsidTr="00B249BF">
        <w:trPr>
          <w:cantSplit/>
          <w:trHeight w:val="312"/>
          <w:tblHeader/>
          <w:jc w:val="center"/>
        </w:trPr>
        <w:tc>
          <w:tcPr>
            <w:tcW w:w="1580" w:type="dxa"/>
            <w:shd w:val="clear" w:color="auto" w:fill="auto"/>
            <w:noWrap/>
            <w:vAlign w:val="center"/>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Grand Total</w:t>
            </w:r>
          </w:p>
        </w:tc>
        <w:tc>
          <w:tcPr>
            <w:tcW w:w="1979" w:type="dxa"/>
            <w:shd w:val="clear" w:color="auto" w:fill="auto"/>
            <w:noWrap/>
            <w:vAlign w:val="center"/>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682</w:t>
            </w:r>
          </w:p>
        </w:tc>
        <w:tc>
          <w:tcPr>
            <w:tcW w:w="2126"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701"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7519</w:t>
            </w:r>
          </w:p>
        </w:tc>
        <w:tc>
          <w:tcPr>
            <w:tcW w:w="1500" w:type="dxa"/>
            <w:shd w:val="clear" w:color="auto" w:fill="auto"/>
            <w:noWrap/>
            <w:vAlign w:val="bottom"/>
            <w:hideMark/>
          </w:tcPr>
          <w:p w:rsidR="00A372B3" w:rsidRPr="00AE49C8" w:rsidRDefault="00A372B3" w:rsidP="00A372B3">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r>
    </w:tbl>
    <w:p w:rsidR="00A372B3" w:rsidRPr="00AE49C8" w:rsidRDefault="00A372B3" w:rsidP="00A372B3">
      <w:pPr>
        <w:rPr>
          <w:b/>
        </w:rPr>
      </w:pPr>
    </w:p>
    <w:p w:rsidR="00A372B3" w:rsidRPr="00AE49C8" w:rsidRDefault="00A372B3" w:rsidP="00A372B3">
      <w:pPr>
        <w:rPr>
          <w:b/>
        </w:rPr>
      </w:pPr>
      <w:r w:rsidRPr="00AE49C8">
        <w:rPr>
          <w:noProof/>
          <w:lang w:eastAsia="en-GB"/>
        </w:rPr>
        <w:drawing>
          <wp:inline distT="0" distB="0" distL="0" distR="0" wp14:anchorId="1E114BEC" wp14:editId="189A6412">
            <wp:extent cx="5731510" cy="3125388"/>
            <wp:effectExtent l="0" t="0" r="2540" b="0"/>
            <wp:docPr id="49" name="Chart 49" title="Leavers brokendown by gender and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372B3" w:rsidRPr="000D2F61" w:rsidRDefault="00A372B3" w:rsidP="00A372B3">
      <w:r w:rsidRPr="000D2F61">
        <w:t>Observations</w:t>
      </w:r>
    </w:p>
    <w:p w:rsidR="00B249BF" w:rsidRPr="00AE49C8" w:rsidRDefault="00B249BF" w:rsidP="00B249BF">
      <w:pPr>
        <w:pStyle w:val="ListParagraph"/>
      </w:pPr>
      <w:r w:rsidRPr="00AE49C8">
        <w:t>Male and female staff that have left the organisation is broadly in line with the workforce representation.</w:t>
      </w:r>
    </w:p>
    <w:p w:rsidR="003204AF" w:rsidRPr="00AE49C8" w:rsidRDefault="00DD2448" w:rsidP="003204AF">
      <w:pPr>
        <w:pStyle w:val="Heading2"/>
        <w:rPr>
          <w:rFonts w:cs="Arial"/>
        </w:rPr>
      </w:pPr>
      <w:bookmarkStart w:id="59" w:name="_Toc88634006"/>
      <w:r w:rsidRPr="00AE49C8">
        <w:rPr>
          <w:rFonts w:cs="Arial"/>
        </w:rPr>
        <w:t>Marital Status (Marriage and Civil Partnership)</w:t>
      </w:r>
      <w:bookmarkEnd w:id="59"/>
    </w:p>
    <w:p w:rsidR="003204AF" w:rsidRPr="00AE49C8" w:rsidRDefault="003204AF" w:rsidP="007E749F">
      <w:pPr>
        <w:pStyle w:val="Heading3"/>
      </w:pPr>
      <w:bookmarkStart w:id="60" w:name="_Toc88634007"/>
      <w:r w:rsidRPr="00AE49C8">
        <w:t>Representation of staff within the workforce broken down by marital status</w:t>
      </w:r>
      <w:bookmarkEnd w:id="60"/>
    </w:p>
    <w:tbl>
      <w:tblPr>
        <w:tblW w:w="10155" w:type="dxa"/>
        <w:jc w:val="center"/>
        <w:tblInd w:w="93" w:type="dxa"/>
        <w:tblLook w:val="04A0" w:firstRow="1" w:lastRow="0" w:firstColumn="1" w:lastColumn="0" w:noHBand="0" w:noVBand="1"/>
        <w:tblCaption w:val="Overall workforce representation brokendown by marital status"/>
      </w:tblPr>
      <w:tblGrid>
        <w:gridCol w:w="2142"/>
        <w:gridCol w:w="1550"/>
        <w:gridCol w:w="1244"/>
        <w:gridCol w:w="1377"/>
        <w:gridCol w:w="1083"/>
        <w:gridCol w:w="937"/>
        <w:gridCol w:w="1270"/>
        <w:gridCol w:w="1296"/>
      </w:tblGrid>
      <w:tr w:rsidR="003204AF" w:rsidRPr="00C92A79" w:rsidTr="00C92A79">
        <w:trPr>
          <w:cantSplit/>
          <w:trHeight w:val="312"/>
          <w:tblHeader/>
          <w:jc w:val="center"/>
        </w:trPr>
        <w:tc>
          <w:tcPr>
            <w:tcW w:w="2142" w:type="dxa"/>
            <w:tcBorders>
              <w:top w:val="nil"/>
              <w:left w:val="nil"/>
              <w:bottom w:val="nil"/>
              <w:right w:val="nil"/>
            </w:tcBorders>
            <w:shd w:val="clear" w:color="auto" w:fill="auto"/>
            <w:noWrap/>
            <w:vAlign w:val="bottom"/>
            <w:hideMark/>
          </w:tcPr>
          <w:p w:rsidR="003204AF" w:rsidRPr="00C92A79" w:rsidRDefault="003204AF" w:rsidP="003204AF">
            <w:pPr>
              <w:spacing w:after="0" w:line="240" w:lineRule="auto"/>
              <w:rPr>
                <w:rFonts w:eastAsia="Times New Roman"/>
                <w:color w:val="000000"/>
                <w:szCs w:val="24"/>
                <w:lang w:eastAsia="en-GB"/>
              </w:rPr>
            </w:pPr>
          </w:p>
        </w:tc>
        <w:tc>
          <w:tcPr>
            <w:tcW w:w="1378" w:type="dxa"/>
            <w:tcBorders>
              <w:top w:val="nil"/>
              <w:left w:val="nil"/>
              <w:bottom w:val="nil"/>
              <w:right w:val="nil"/>
            </w:tcBorders>
            <w:shd w:val="clear" w:color="auto" w:fill="auto"/>
            <w:noWrap/>
            <w:vAlign w:val="bottom"/>
            <w:hideMark/>
          </w:tcPr>
          <w:p w:rsidR="003204AF" w:rsidRPr="00C92A79" w:rsidRDefault="003204AF" w:rsidP="003204AF">
            <w:pPr>
              <w:spacing w:after="0" w:line="240" w:lineRule="auto"/>
              <w:rPr>
                <w:rFonts w:eastAsia="Times New Roman"/>
                <w:b/>
                <w:bCs/>
                <w:color w:val="000000"/>
                <w:szCs w:val="24"/>
                <w:lang w:eastAsia="en-GB"/>
              </w:rPr>
            </w:pPr>
            <w:r w:rsidRPr="00C92A79">
              <w:rPr>
                <w:rFonts w:eastAsia="Times New Roman"/>
                <w:b/>
                <w:bCs/>
                <w:color w:val="000000"/>
                <w:szCs w:val="24"/>
                <w:lang w:eastAsia="en-GB"/>
              </w:rPr>
              <w:t>Civil Partnership</w:t>
            </w:r>
          </w:p>
        </w:tc>
        <w:tc>
          <w:tcPr>
            <w:tcW w:w="1105" w:type="dxa"/>
            <w:tcBorders>
              <w:top w:val="nil"/>
              <w:left w:val="nil"/>
              <w:bottom w:val="nil"/>
              <w:right w:val="nil"/>
            </w:tcBorders>
            <w:shd w:val="clear" w:color="auto" w:fill="auto"/>
            <w:noWrap/>
            <w:vAlign w:val="bottom"/>
            <w:hideMark/>
          </w:tcPr>
          <w:p w:rsidR="003204AF" w:rsidRPr="00C92A79" w:rsidRDefault="003204AF" w:rsidP="003204AF">
            <w:pPr>
              <w:spacing w:after="0" w:line="240" w:lineRule="auto"/>
              <w:rPr>
                <w:rFonts w:eastAsia="Times New Roman"/>
                <w:b/>
                <w:bCs/>
                <w:color w:val="000000"/>
                <w:szCs w:val="24"/>
                <w:lang w:eastAsia="en-GB"/>
              </w:rPr>
            </w:pPr>
            <w:r w:rsidRPr="00C92A79">
              <w:rPr>
                <w:rFonts w:eastAsia="Times New Roman"/>
                <w:b/>
                <w:bCs/>
                <w:color w:val="000000"/>
                <w:szCs w:val="24"/>
                <w:lang w:eastAsia="en-GB"/>
              </w:rPr>
              <w:t>Divorced</w:t>
            </w:r>
          </w:p>
        </w:tc>
        <w:tc>
          <w:tcPr>
            <w:tcW w:w="1235" w:type="dxa"/>
            <w:tcBorders>
              <w:top w:val="nil"/>
              <w:left w:val="nil"/>
              <w:bottom w:val="nil"/>
              <w:right w:val="nil"/>
            </w:tcBorders>
            <w:shd w:val="clear" w:color="auto" w:fill="auto"/>
            <w:noWrap/>
            <w:vAlign w:val="bottom"/>
            <w:hideMark/>
          </w:tcPr>
          <w:p w:rsidR="003204AF" w:rsidRPr="00C92A79" w:rsidRDefault="003204AF" w:rsidP="003204AF">
            <w:pPr>
              <w:spacing w:after="0" w:line="240" w:lineRule="auto"/>
              <w:rPr>
                <w:rFonts w:eastAsia="Times New Roman"/>
                <w:b/>
                <w:bCs/>
                <w:color w:val="000000"/>
                <w:szCs w:val="24"/>
                <w:lang w:eastAsia="en-GB"/>
              </w:rPr>
            </w:pPr>
            <w:r w:rsidRPr="00C92A79">
              <w:rPr>
                <w:rFonts w:eastAsia="Times New Roman"/>
                <w:b/>
                <w:bCs/>
                <w:color w:val="000000"/>
                <w:szCs w:val="24"/>
                <w:lang w:eastAsia="en-GB"/>
              </w:rPr>
              <w:t>Legally Separated</w:t>
            </w:r>
          </w:p>
        </w:tc>
        <w:tc>
          <w:tcPr>
            <w:tcW w:w="1024" w:type="dxa"/>
            <w:tcBorders>
              <w:top w:val="nil"/>
              <w:left w:val="nil"/>
              <w:bottom w:val="nil"/>
              <w:right w:val="nil"/>
            </w:tcBorders>
            <w:shd w:val="clear" w:color="auto" w:fill="auto"/>
            <w:noWrap/>
            <w:vAlign w:val="bottom"/>
            <w:hideMark/>
          </w:tcPr>
          <w:p w:rsidR="003204AF" w:rsidRPr="00C92A79" w:rsidRDefault="003204AF" w:rsidP="003204AF">
            <w:pPr>
              <w:spacing w:after="0" w:line="240" w:lineRule="auto"/>
              <w:rPr>
                <w:rFonts w:eastAsia="Times New Roman"/>
                <w:b/>
                <w:bCs/>
                <w:color w:val="000000"/>
                <w:szCs w:val="24"/>
                <w:lang w:eastAsia="en-GB"/>
              </w:rPr>
            </w:pPr>
            <w:r w:rsidRPr="00C92A79">
              <w:rPr>
                <w:rFonts w:eastAsia="Times New Roman"/>
                <w:b/>
                <w:bCs/>
                <w:color w:val="000000"/>
                <w:szCs w:val="24"/>
                <w:lang w:eastAsia="en-GB"/>
              </w:rPr>
              <w:t>Married</w:t>
            </w:r>
          </w:p>
        </w:tc>
        <w:tc>
          <w:tcPr>
            <w:tcW w:w="909" w:type="dxa"/>
            <w:tcBorders>
              <w:top w:val="nil"/>
              <w:left w:val="nil"/>
              <w:bottom w:val="nil"/>
              <w:right w:val="nil"/>
            </w:tcBorders>
            <w:shd w:val="clear" w:color="auto" w:fill="auto"/>
            <w:noWrap/>
            <w:vAlign w:val="bottom"/>
            <w:hideMark/>
          </w:tcPr>
          <w:p w:rsidR="003204AF" w:rsidRPr="00C92A79" w:rsidRDefault="003204AF" w:rsidP="003204AF">
            <w:pPr>
              <w:spacing w:after="0" w:line="240" w:lineRule="auto"/>
              <w:rPr>
                <w:rFonts w:eastAsia="Times New Roman"/>
                <w:b/>
                <w:bCs/>
                <w:color w:val="000000"/>
                <w:szCs w:val="24"/>
                <w:lang w:eastAsia="en-GB"/>
              </w:rPr>
            </w:pPr>
            <w:r w:rsidRPr="00C92A79">
              <w:rPr>
                <w:rFonts w:eastAsia="Times New Roman"/>
                <w:b/>
                <w:bCs/>
                <w:color w:val="000000"/>
                <w:szCs w:val="24"/>
                <w:lang w:eastAsia="en-GB"/>
              </w:rPr>
              <w:t>Single</w:t>
            </w:r>
          </w:p>
        </w:tc>
        <w:tc>
          <w:tcPr>
            <w:tcW w:w="1179" w:type="dxa"/>
            <w:tcBorders>
              <w:top w:val="nil"/>
              <w:left w:val="nil"/>
              <w:bottom w:val="nil"/>
              <w:right w:val="nil"/>
            </w:tcBorders>
            <w:shd w:val="clear" w:color="auto" w:fill="auto"/>
            <w:noWrap/>
            <w:vAlign w:val="bottom"/>
            <w:hideMark/>
          </w:tcPr>
          <w:p w:rsidR="003204AF" w:rsidRPr="00C92A79" w:rsidRDefault="003204AF" w:rsidP="003204AF">
            <w:pPr>
              <w:spacing w:after="0" w:line="240" w:lineRule="auto"/>
              <w:rPr>
                <w:rFonts w:eastAsia="Times New Roman"/>
                <w:b/>
                <w:bCs/>
                <w:color w:val="000000"/>
                <w:szCs w:val="24"/>
                <w:lang w:eastAsia="en-GB"/>
              </w:rPr>
            </w:pPr>
            <w:r w:rsidRPr="00C92A79">
              <w:rPr>
                <w:rFonts w:eastAsia="Times New Roman"/>
                <w:b/>
                <w:bCs/>
                <w:color w:val="000000"/>
                <w:szCs w:val="24"/>
                <w:lang w:eastAsia="en-GB"/>
              </w:rPr>
              <w:t>Widowed</w:t>
            </w:r>
          </w:p>
        </w:tc>
        <w:tc>
          <w:tcPr>
            <w:tcW w:w="1183" w:type="dxa"/>
            <w:tcBorders>
              <w:top w:val="nil"/>
              <w:left w:val="nil"/>
              <w:bottom w:val="nil"/>
              <w:right w:val="nil"/>
            </w:tcBorders>
            <w:shd w:val="clear" w:color="auto" w:fill="auto"/>
            <w:noWrap/>
            <w:vAlign w:val="bottom"/>
            <w:hideMark/>
          </w:tcPr>
          <w:p w:rsidR="003204AF" w:rsidRPr="00C92A79" w:rsidRDefault="003204AF" w:rsidP="003204AF">
            <w:pPr>
              <w:spacing w:after="0" w:line="240" w:lineRule="auto"/>
              <w:rPr>
                <w:rFonts w:eastAsia="Times New Roman"/>
                <w:b/>
                <w:bCs/>
                <w:color w:val="000000"/>
                <w:szCs w:val="24"/>
                <w:lang w:eastAsia="en-GB"/>
              </w:rPr>
            </w:pPr>
            <w:r w:rsidRPr="00C92A79">
              <w:rPr>
                <w:rFonts w:eastAsia="Times New Roman"/>
                <w:b/>
                <w:bCs/>
                <w:color w:val="000000"/>
                <w:szCs w:val="24"/>
                <w:lang w:eastAsia="en-GB"/>
              </w:rPr>
              <w:t>Unknown</w:t>
            </w:r>
          </w:p>
        </w:tc>
      </w:tr>
      <w:tr w:rsidR="003204AF" w:rsidRPr="00AE49C8" w:rsidTr="00C92A79">
        <w:trPr>
          <w:cantSplit/>
          <w:trHeight w:val="312"/>
          <w:tblHeader/>
          <w:jc w:val="center"/>
        </w:trPr>
        <w:tc>
          <w:tcPr>
            <w:tcW w:w="2142" w:type="dxa"/>
            <w:tcBorders>
              <w:top w:val="nil"/>
              <w:left w:val="nil"/>
              <w:bottom w:val="nil"/>
              <w:right w:val="nil"/>
            </w:tcBorders>
            <w:shd w:val="clear" w:color="000000" w:fill="C5D9F1"/>
            <w:noWrap/>
            <w:vAlign w:val="bottom"/>
            <w:hideMark/>
          </w:tcPr>
          <w:p w:rsidR="003204AF" w:rsidRPr="00AE49C8" w:rsidRDefault="003204AF" w:rsidP="003204AF">
            <w:pPr>
              <w:spacing w:after="0" w:line="240" w:lineRule="auto"/>
              <w:rPr>
                <w:rFonts w:eastAsia="Times New Roman"/>
                <w:b/>
                <w:bCs/>
                <w:szCs w:val="24"/>
                <w:lang w:eastAsia="en-GB"/>
              </w:rPr>
            </w:pPr>
            <w:r w:rsidRPr="00AE49C8">
              <w:rPr>
                <w:rFonts w:eastAsia="Times New Roman"/>
                <w:b/>
                <w:bCs/>
                <w:szCs w:val="24"/>
                <w:lang w:eastAsia="en-GB"/>
              </w:rPr>
              <w:t>2019/20 (BSUH)</w:t>
            </w:r>
          </w:p>
        </w:tc>
        <w:tc>
          <w:tcPr>
            <w:tcW w:w="1378" w:type="dxa"/>
            <w:tcBorders>
              <w:top w:val="nil"/>
              <w:left w:val="nil"/>
              <w:bottom w:val="nil"/>
              <w:right w:val="nil"/>
            </w:tcBorders>
            <w:shd w:val="clear" w:color="000000" w:fill="C5D9F1"/>
            <w:noWrap/>
            <w:vAlign w:val="bottom"/>
            <w:hideMark/>
          </w:tcPr>
          <w:p w:rsidR="003204AF" w:rsidRPr="00AE49C8" w:rsidRDefault="003204AF" w:rsidP="003204AF">
            <w:pPr>
              <w:spacing w:after="0" w:line="240" w:lineRule="auto"/>
              <w:rPr>
                <w:rFonts w:eastAsia="Times New Roman"/>
                <w:szCs w:val="24"/>
                <w:lang w:eastAsia="en-GB"/>
              </w:rPr>
            </w:pPr>
            <w:r w:rsidRPr="00AE49C8">
              <w:rPr>
                <w:rFonts w:eastAsia="Times New Roman"/>
                <w:szCs w:val="24"/>
                <w:lang w:eastAsia="en-GB"/>
              </w:rPr>
              <w:t>1.5%</w:t>
            </w:r>
          </w:p>
        </w:tc>
        <w:tc>
          <w:tcPr>
            <w:tcW w:w="1105" w:type="dxa"/>
            <w:tcBorders>
              <w:top w:val="nil"/>
              <w:left w:val="nil"/>
              <w:bottom w:val="nil"/>
              <w:right w:val="nil"/>
            </w:tcBorders>
            <w:shd w:val="clear" w:color="000000" w:fill="C5D9F1"/>
            <w:noWrap/>
            <w:vAlign w:val="bottom"/>
            <w:hideMark/>
          </w:tcPr>
          <w:p w:rsidR="003204AF" w:rsidRPr="00AE49C8" w:rsidRDefault="003204AF" w:rsidP="003204AF">
            <w:pPr>
              <w:spacing w:after="0" w:line="240" w:lineRule="auto"/>
              <w:rPr>
                <w:rFonts w:eastAsia="Times New Roman"/>
                <w:szCs w:val="24"/>
                <w:lang w:eastAsia="en-GB"/>
              </w:rPr>
            </w:pPr>
            <w:r w:rsidRPr="00AE49C8">
              <w:rPr>
                <w:rFonts w:eastAsia="Times New Roman"/>
                <w:szCs w:val="24"/>
                <w:lang w:eastAsia="en-GB"/>
              </w:rPr>
              <w:t>4.7%</w:t>
            </w:r>
          </w:p>
        </w:tc>
        <w:tc>
          <w:tcPr>
            <w:tcW w:w="1235" w:type="dxa"/>
            <w:tcBorders>
              <w:top w:val="nil"/>
              <w:left w:val="nil"/>
              <w:bottom w:val="nil"/>
              <w:right w:val="nil"/>
            </w:tcBorders>
            <w:shd w:val="clear" w:color="000000" w:fill="C5D9F1"/>
            <w:noWrap/>
            <w:vAlign w:val="bottom"/>
            <w:hideMark/>
          </w:tcPr>
          <w:p w:rsidR="003204AF" w:rsidRPr="00AE49C8" w:rsidRDefault="003204AF" w:rsidP="003204AF">
            <w:pPr>
              <w:spacing w:after="0" w:line="240" w:lineRule="auto"/>
              <w:rPr>
                <w:rFonts w:eastAsia="Times New Roman"/>
                <w:szCs w:val="24"/>
                <w:lang w:eastAsia="en-GB"/>
              </w:rPr>
            </w:pPr>
            <w:r w:rsidRPr="00AE49C8">
              <w:rPr>
                <w:rFonts w:eastAsia="Times New Roman"/>
                <w:szCs w:val="24"/>
                <w:lang w:eastAsia="en-GB"/>
              </w:rPr>
              <w:t>1.2%</w:t>
            </w:r>
          </w:p>
        </w:tc>
        <w:tc>
          <w:tcPr>
            <w:tcW w:w="1024" w:type="dxa"/>
            <w:tcBorders>
              <w:top w:val="nil"/>
              <w:left w:val="nil"/>
              <w:bottom w:val="nil"/>
              <w:right w:val="nil"/>
            </w:tcBorders>
            <w:shd w:val="clear" w:color="000000" w:fill="C5D9F1"/>
            <w:noWrap/>
            <w:vAlign w:val="bottom"/>
            <w:hideMark/>
          </w:tcPr>
          <w:p w:rsidR="003204AF" w:rsidRPr="00AE49C8" w:rsidRDefault="003204AF" w:rsidP="003204AF">
            <w:pPr>
              <w:spacing w:after="0" w:line="240" w:lineRule="auto"/>
              <w:rPr>
                <w:rFonts w:eastAsia="Times New Roman"/>
                <w:szCs w:val="24"/>
                <w:lang w:eastAsia="en-GB"/>
              </w:rPr>
            </w:pPr>
            <w:r w:rsidRPr="00AE49C8">
              <w:rPr>
                <w:rFonts w:eastAsia="Times New Roman"/>
                <w:szCs w:val="24"/>
                <w:lang w:eastAsia="en-GB"/>
              </w:rPr>
              <w:t>42.9%</w:t>
            </w:r>
          </w:p>
        </w:tc>
        <w:tc>
          <w:tcPr>
            <w:tcW w:w="909" w:type="dxa"/>
            <w:tcBorders>
              <w:top w:val="nil"/>
              <w:left w:val="nil"/>
              <w:bottom w:val="nil"/>
              <w:right w:val="nil"/>
            </w:tcBorders>
            <w:shd w:val="clear" w:color="000000" w:fill="C5D9F1"/>
            <w:noWrap/>
            <w:vAlign w:val="bottom"/>
            <w:hideMark/>
          </w:tcPr>
          <w:p w:rsidR="003204AF" w:rsidRPr="00AE49C8" w:rsidRDefault="003204AF" w:rsidP="003204AF">
            <w:pPr>
              <w:spacing w:after="0" w:line="240" w:lineRule="auto"/>
              <w:rPr>
                <w:rFonts w:eastAsia="Times New Roman"/>
                <w:szCs w:val="24"/>
                <w:lang w:eastAsia="en-GB"/>
              </w:rPr>
            </w:pPr>
            <w:r w:rsidRPr="00AE49C8">
              <w:rPr>
                <w:rFonts w:eastAsia="Times New Roman"/>
                <w:szCs w:val="24"/>
                <w:lang w:eastAsia="en-GB"/>
              </w:rPr>
              <w:t>45.1%</w:t>
            </w:r>
          </w:p>
        </w:tc>
        <w:tc>
          <w:tcPr>
            <w:tcW w:w="1179" w:type="dxa"/>
            <w:tcBorders>
              <w:top w:val="nil"/>
              <w:left w:val="nil"/>
              <w:bottom w:val="nil"/>
              <w:right w:val="nil"/>
            </w:tcBorders>
            <w:shd w:val="clear" w:color="000000" w:fill="C5D9F1"/>
            <w:noWrap/>
            <w:vAlign w:val="bottom"/>
            <w:hideMark/>
          </w:tcPr>
          <w:p w:rsidR="003204AF" w:rsidRPr="00AE49C8" w:rsidRDefault="003204AF" w:rsidP="003204AF">
            <w:pPr>
              <w:spacing w:after="0" w:line="240" w:lineRule="auto"/>
              <w:rPr>
                <w:rFonts w:eastAsia="Times New Roman"/>
                <w:szCs w:val="24"/>
                <w:lang w:eastAsia="en-GB"/>
              </w:rPr>
            </w:pPr>
            <w:r w:rsidRPr="00AE49C8">
              <w:rPr>
                <w:rFonts w:eastAsia="Times New Roman"/>
                <w:szCs w:val="24"/>
                <w:lang w:eastAsia="en-GB"/>
              </w:rPr>
              <w:t>0.7%</w:t>
            </w:r>
          </w:p>
        </w:tc>
        <w:tc>
          <w:tcPr>
            <w:tcW w:w="1183" w:type="dxa"/>
            <w:tcBorders>
              <w:top w:val="nil"/>
              <w:left w:val="nil"/>
              <w:bottom w:val="nil"/>
              <w:right w:val="nil"/>
            </w:tcBorders>
            <w:shd w:val="clear" w:color="000000" w:fill="C5D9F1"/>
            <w:noWrap/>
            <w:vAlign w:val="bottom"/>
            <w:hideMark/>
          </w:tcPr>
          <w:p w:rsidR="003204AF" w:rsidRPr="00AE49C8" w:rsidRDefault="003204AF" w:rsidP="003204AF">
            <w:pPr>
              <w:spacing w:after="0" w:line="240" w:lineRule="auto"/>
              <w:rPr>
                <w:rFonts w:eastAsia="Times New Roman"/>
                <w:szCs w:val="24"/>
                <w:lang w:eastAsia="en-GB"/>
              </w:rPr>
            </w:pPr>
            <w:r w:rsidRPr="00AE49C8">
              <w:rPr>
                <w:rFonts w:eastAsia="Times New Roman"/>
                <w:szCs w:val="24"/>
                <w:lang w:eastAsia="en-GB"/>
              </w:rPr>
              <w:t>4.0%</w:t>
            </w:r>
          </w:p>
        </w:tc>
      </w:tr>
      <w:tr w:rsidR="003204AF" w:rsidRPr="00AE49C8" w:rsidTr="00C92A79">
        <w:trPr>
          <w:cantSplit/>
          <w:trHeight w:val="312"/>
          <w:tblHeader/>
          <w:jc w:val="center"/>
        </w:trPr>
        <w:tc>
          <w:tcPr>
            <w:tcW w:w="2142" w:type="dxa"/>
            <w:tcBorders>
              <w:top w:val="nil"/>
              <w:left w:val="nil"/>
              <w:bottom w:val="nil"/>
              <w:right w:val="nil"/>
            </w:tcBorders>
            <w:shd w:val="clear" w:color="000000" w:fill="41B6E6"/>
            <w:noWrap/>
            <w:vAlign w:val="bottom"/>
            <w:hideMark/>
          </w:tcPr>
          <w:p w:rsidR="003204AF" w:rsidRPr="00AE49C8" w:rsidRDefault="003204AF" w:rsidP="003204AF">
            <w:pPr>
              <w:spacing w:after="0" w:line="240" w:lineRule="auto"/>
              <w:rPr>
                <w:rFonts w:eastAsia="Times New Roman"/>
                <w:b/>
                <w:bCs/>
                <w:szCs w:val="24"/>
                <w:lang w:eastAsia="en-GB"/>
              </w:rPr>
            </w:pPr>
            <w:r w:rsidRPr="00AE49C8">
              <w:rPr>
                <w:rFonts w:eastAsia="Times New Roman"/>
                <w:b/>
                <w:bCs/>
                <w:szCs w:val="24"/>
                <w:lang w:eastAsia="en-GB"/>
              </w:rPr>
              <w:t>2020/21 (BSUH)</w:t>
            </w:r>
          </w:p>
        </w:tc>
        <w:tc>
          <w:tcPr>
            <w:tcW w:w="1378" w:type="dxa"/>
            <w:tcBorders>
              <w:top w:val="nil"/>
              <w:left w:val="nil"/>
              <w:bottom w:val="nil"/>
              <w:right w:val="nil"/>
            </w:tcBorders>
            <w:shd w:val="clear" w:color="000000" w:fill="41B6E6"/>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1.9%</w:t>
            </w:r>
          </w:p>
        </w:tc>
        <w:tc>
          <w:tcPr>
            <w:tcW w:w="1105" w:type="dxa"/>
            <w:tcBorders>
              <w:top w:val="nil"/>
              <w:left w:val="nil"/>
              <w:bottom w:val="nil"/>
              <w:right w:val="nil"/>
            </w:tcBorders>
            <w:shd w:val="clear" w:color="000000" w:fill="41B6E6"/>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4.9%</w:t>
            </w:r>
          </w:p>
        </w:tc>
        <w:tc>
          <w:tcPr>
            <w:tcW w:w="1235" w:type="dxa"/>
            <w:tcBorders>
              <w:top w:val="nil"/>
              <w:left w:val="nil"/>
              <w:bottom w:val="nil"/>
              <w:right w:val="nil"/>
            </w:tcBorders>
            <w:shd w:val="clear" w:color="000000" w:fill="41B6E6"/>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1.1%</w:t>
            </w:r>
          </w:p>
        </w:tc>
        <w:tc>
          <w:tcPr>
            <w:tcW w:w="1024" w:type="dxa"/>
            <w:tcBorders>
              <w:top w:val="nil"/>
              <w:left w:val="nil"/>
              <w:bottom w:val="nil"/>
              <w:right w:val="nil"/>
            </w:tcBorders>
            <w:shd w:val="clear" w:color="000000" w:fill="41B6E6"/>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41.8%</w:t>
            </w:r>
          </w:p>
        </w:tc>
        <w:tc>
          <w:tcPr>
            <w:tcW w:w="909" w:type="dxa"/>
            <w:tcBorders>
              <w:top w:val="nil"/>
              <w:left w:val="nil"/>
              <w:bottom w:val="nil"/>
              <w:right w:val="nil"/>
            </w:tcBorders>
            <w:shd w:val="clear" w:color="000000" w:fill="41B6E6"/>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44.8%</w:t>
            </w:r>
          </w:p>
        </w:tc>
        <w:tc>
          <w:tcPr>
            <w:tcW w:w="1179" w:type="dxa"/>
            <w:tcBorders>
              <w:top w:val="nil"/>
              <w:left w:val="nil"/>
              <w:bottom w:val="nil"/>
              <w:right w:val="nil"/>
            </w:tcBorders>
            <w:shd w:val="clear" w:color="000000" w:fill="41B6E6"/>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183" w:type="dxa"/>
            <w:tcBorders>
              <w:top w:val="nil"/>
              <w:left w:val="nil"/>
              <w:bottom w:val="nil"/>
              <w:right w:val="nil"/>
            </w:tcBorders>
            <w:shd w:val="clear" w:color="000000" w:fill="41B6E6"/>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4.9%</w:t>
            </w:r>
          </w:p>
        </w:tc>
      </w:tr>
      <w:tr w:rsidR="003204AF" w:rsidRPr="00AE49C8" w:rsidTr="00C92A79">
        <w:trPr>
          <w:cantSplit/>
          <w:trHeight w:val="312"/>
          <w:tblHeader/>
          <w:jc w:val="center"/>
        </w:trPr>
        <w:tc>
          <w:tcPr>
            <w:tcW w:w="2142" w:type="dxa"/>
            <w:tcBorders>
              <w:top w:val="nil"/>
              <w:left w:val="nil"/>
              <w:bottom w:val="nil"/>
              <w:right w:val="nil"/>
            </w:tcBorders>
            <w:shd w:val="clear" w:color="000000" w:fill="D8E4BC"/>
            <w:noWrap/>
            <w:vAlign w:val="bottom"/>
            <w:hideMark/>
          </w:tcPr>
          <w:p w:rsidR="003204AF" w:rsidRPr="00AE49C8" w:rsidRDefault="003204AF" w:rsidP="003204AF">
            <w:pPr>
              <w:spacing w:after="0" w:line="240" w:lineRule="auto"/>
              <w:rPr>
                <w:rFonts w:eastAsia="Times New Roman"/>
                <w:b/>
                <w:bCs/>
                <w:szCs w:val="24"/>
                <w:lang w:eastAsia="en-GB"/>
              </w:rPr>
            </w:pPr>
            <w:r w:rsidRPr="00AE49C8">
              <w:rPr>
                <w:rFonts w:eastAsia="Times New Roman"/>
                <w:b/>
                <w:bCs/>
                <w:szCs w:val="24"/>
                <w:lang w:eastAsia="en-GB"/>
              </w:rPr>
              <w:t>2019/20 (WSHT)</w:t>
            </w:r>
          </w:p>
        </w:tc>
        <w:tc>
          <w:tcPr>
            <w:tcW w:w="1378" w:type="dxa"/>
            <w:tcBorders>
              <w:top w:val="nil"/>
              <w:left w:val="nil"/>
              <w:bottom w:val="nil"/>
              <w:right w:val="nil"/>
            </w:tcBorders>
            <w:shd w:val="clear" w:color="000000" w:fill="D8E4BC"/>
            <w:noWrap/>
            <w:vAlign w:val="bottom"/>
            <w:hideMark/>
          </w:tcPr>
          <w:p w:rsidR="003204AF" w:rsidRPr="00AE49C8" w:rsidRDefault="003204AF" w:rsidP="003204AF">
            <w:pPr>
              <w:spacing w:after="0" w:line="240" w:lineRule="auto"/>
              <w:rPr>
                <w:rFonts w:eastAsia="Times New Roman"/>
                <w:szCs w:val="24"/>
                <w:lang w:eastAsia="en-GB"/>
              </w:rPr>
            </w:pPr>
            <w:r w:rsidRPr="00AE49C8">
              <w:rPr>
                <w:rFonts w:eastAsia="Times New Roman"/>
                <w:szCs w:val="24"/>
                <w:lang w:eastAsia="en-GB"/>
              </w:rPr>
              <w:t>1.0%</w:t>
            </w:r>
          </w:p>
        </w:tc>
        <w:tc>
          <w:tcPr>
            <w:tcW w:w="1105" w:type="dxa"/>
            <w:tcBorders>
              <w:top w:val="nil"/>
              <w:left w:val="nil"/>
              <w:bottom w:val="nil"/>
              <w:right w:val="nil"/>
            </w:tcBorders>
            <w:shd w:val="clear" w:color="000000" w:fill="D8E4BC"/>
            <w:noWrap/>
            <w:vAlign w:val="bottom"/>
            <w:hideMark/>
          </w:tcPr>
          <w:p w:rsidR="003204AF" w:rsidRPr="00AE49C8" w:rsidRDefault="003204AF" w:rsidP="003204AF">
            <w:pPr>
              <w:spacing w:after="0" w:line="240" w:lineRule="auto"/>
              <w:rPr>
                <w:rFonts w:eastAsia="Times New Roman"/>
                <w:szCs w:val="24"/>
                <w:lang w:eastAsia="en-GB"/>
              </w:rPr>
            </w:pPr>
            <w:r w:rsidRPr="00AE49C8">
              <w:rPr>
                <w:rFonts w:eastAsia="Times New Roman"/>
                <w:szCs w:val="24"/>
                <w:lang w:eastAsia="en-GB"/>
              </w:rPr>
              <w:t>6.4%</w:t>
            </w:r>
          </w:p>
        </w:tc>
        <w:tc>
          <w:tcPr>
            <w:tcW w:w="1235" w:type="dxa"/>
            <w:tcBorders>
              <w:top w:val="nil"/>
              <w:left w:val="nil"/>
              <w:bottom w:val="nil"/>
              <w:right w:val="nil"/>
            </w:tcBorders>
            <w:shd w:val="clear" w:color="000000" w:fill="D8E4BC"/>
            <w:noWrap/>
            <w:vAlign w:val="bottom"/>
            <w:hideMark/>
          </w:tcPr>
          <w:p w:rsidR="003204AF" w:rsidRPr="00AE49C8" w:rsidRDefault="003204AF" w:rsidP="003204AF">
            <w:pPr>
              <w:spacing w:after="0" w:line="240" w:lineRule="auto"/>
              <w:rPr>
                <w:rFonts w:eastAsia="Times New Roman"/>
                <w:szCs w:val="24"/>
                <w:lang w:eastAsia="en-GB"/>
              </w:rPr>
            </w:pPr>
            <w:r w:rsidRPr="00AE49C8">
              <w:rPr>
                <w:rFonts w:eastAsia="Times New Roman"/>
                <w:szCs w:val="24"/>
                <w:lang w:eastAsia="en-GB"/>
              </w:rPr>
              <w:t>1.3%</w:t>
            </w:r>
          </w:p>
        </w:tc>
        <w:tc>
          <w:tcPr>
            <w:tcW w:w="1024" w:type="dxa"/>
            <w:tcBorders>
              <w:top w:val="nil"/>
              <w:left w:val="nil"/>
              <w:bottom w:val="nil"/>
              <w:right w:val="nil"/>
            </w:tcBorders>
            <w:shd w:val="clear" w:color="000000" w:fill="D8E4BC"/>
            <w:noWrap/>
            <w:vAlign w:val="bottom"/>
            <w:hideMark/>
          </w:tcPr>
          <w:p w:rsidR="003204AF" w:rsidRPr="00AE49C8" w:rsidRDefault="003204AF" w:rsidP="003204AF">
            <w:pPr>
              <w:spacing w:after="0" w:line="240" w:lineRule="auto"/>
              <w:rPr>
                <w:rFonts w:eastAsia="Times New Roman"/>
                <w:szCs w:val="24"/>
                <w:lang w:eastAsia="en-GB"/>
              </w:rPr>
            </w:pPr>
            <w:r w:rsidRPr="00AE49C8">
              <w:rPr>
                <w:rFonts w:eastAsia="Times New Roman"/>
                <w:szCs w:val="24"/>
                <w:lang w:eastAsia="en-GB"/>
              </w:rPr>
              <w:t>52.5%</w:t>
            </w:r>
          </w:p>
        </w:tc>
        <w:tc>
          <w:tcPr>
            <w:tcW w:w="909" w:type="dxa"/>
            <w:tcBorders>
              <w:top w:val="nil"/>
              <w:left w:val="nil"/>
              <w:bottom w:val="nil"/>
              <w:right w:val="nil"/>
            </w:tcBorders>
            <w:shd w:val="clear" w:color="000000" w:fill="D8E4BC"/>
            <w:noWrap/>
            <w:vAlign w:val="bottom"/>
            <w:hideMark/>
          </w:tcPr>
          <w:p w:rsidR="003204AF" w:rsidRPr="00AE49C8" w:rsidRDefault="003204AF" w:rsidP="003204AF">
            <w:pPr>
              <w:spacing w:after="0" w:line="240" w:lineRule="auto"/>
              <w:rPr>
                <w:rFonts w:eastAsia="Times New Roman"/>
                <w:szCs w:val="24"/>
                <w:lang w:eastAsia="en-GB"/>
              </w:rPr>
            </w:pPr>
            <w:r w:rsidRPr="00AE49C8">
              <w:rPr>
                <w:rFonts w:eastAsia="Times New Roman"/>
                <w:szCs w:val="24"/>
                <w:lang w:eastAsia="en-GB"/>
              </w:rPr>
              <w:t>35.0%</w:t>
            </w:r>
          </w:p>
        </w:tc>
        <w:tc>
          <w:tcPr>
            <w:tcW w:w="1179" w:type="dxa"/>
            <w:tcBorders>
              <w:top w:val="nil"/>
              <w:left w:val="nil"/>
              <w:bottom w:val="nil"/>
              <w:right w:val="nil"/>
            </w:tcBorders>
            <w:shd w:val="clear" w:color="000000" w:fill="D8E4BC"/>
            <w:noWrap/>
            <w:vAlign w:val="bottom"/>
            <w:hideMark/>
          </w:tcPr>
          <w:p w:rsidR="003204AF" w:rsidRPr="00AE49C8" w:rsidRDefault="003204AF" w:rsidP="003204AF">
            <w:pPr>
              <w:spacing w:after="0" w:line="240" w:lineRule="auto"/>
              <w:rPr>
                <w:rFonts w:eastAsia="Times New Roman"/>
                <w:szCs w:val="24"/>
                <w:lang w:eastAsia="en-GB"/>
              </w:rPr>
            </w:pPr>
            <w:r w:rsidRPr="00AE49C8">
              <w:rPr>
                <w:rFonts w:eastAsia="Times New Roman"/>
                <w:szCs w:val="24"/>
                <w:lang w:eastAsia="en-GB"/>
              </w:rPr>
              <w:t>1.1%</w:t>
            </w:r>
          </w:p>
        </w:tc>
        <w:tc>
          <w:tcPr>
            <w:tcW w:w="1183" w:type="dxa"/>
            <w:tcBorders>
              <w:top w:val="nil"/>
              <w:left w:val="nil"/>
              <w:bottom w:val="nil"/>
              <w:right w:val="nil"/>
            </w:tcBorders>
            <w:shd w:val="clear" w:color="000000" w:fill="D8E4BC"/>
            <w:noWrap/>
            <w:vAlign w:val="bottom"/>
            <w:hideMark/>
          </w:tcPr>
          <w:p w:rsidR="003204AF" w:rsidRPr="00AE49C8" w:rsidRDefault="003204AF" w:rsidP="003204AF">
            <w:pPr>
              <w:spacing w:after="0" w:line="240" w:lineRule="auto"/>
              <w:rPr>
                <w:rFonts w:eastAsia="Times New Roman"/>
                <w:szCs w:val="24"/>
                <w:lang w:eastAsia="en-GB"/>
              </w:rPr>
            </w:pPr>
            <w:r w:rsidRPr="00AE49C8">
              <w:rPr>
                <w:rFonts w:eastAsia="Times New Roman"/>
                <w:szCs w:val="24"/>
                <w:lang w:eastAsia="en-GB"/>
              </w:rPr>
              <w:t>2.7%</w:t>
            </w:r>
          </w:p>
        </w:tc>
      </w:tr>
      <w:tr w:rsidR="003204AF" w:rsidRPr="00AE49C8" w:rsidTr="00C92A79">
        <w:trPr>
          <w:cantSplit/>
          <w:trHeight w:val="312"/>
          <w:tblHeader/>
          <w:jc w:val="center"/>
        </w:trPr>
        <w:tc>
          <w:tcPr>
            <w:tcW w:w="2142" w:type="dxa"/>
            <w:tcBorders>
              <w:top w:val="nil"/>
              <w:left w:val="nil"/>
              <w:bottom w:val="nil"/>
              <w:right w:val="nil"/>
            </w:tcBorders>
            <w:shd w:val="clear" w:color="000000" w:fill="009639"/>
            <w:noWrap/>
            <w:vAlign w:val="bottom"/>
            <w:hideMark/>
          </w:tcPr>
          <w:p w:rsidR="003204AF" w:rsidRPr="00AE49C8" w:rsidRDefault="003204AF" w:rsidP="003204AF">
            <w:pPr>
              <w:spacing w:after="0" w:line="240" w:lineRule="auto"/>
              <w:rPr>
                <w:rFonts w:eastAsia="Times New Roman"/>
                <w:b/>
                <w:bCs/>
                <w:color w:val="FFFFFF"/>
                <w:szCs w:val="24"/>
                <w:lang w:eastAsia="en-GB"/>
              </w:rPr>
            </w:pPr>
            <w:r w:rsidRPr="00AE49C8">
              <w:rPr>
                <w:rFonts w:eastAsia="Times New Roman"/>
                <w:b/>
                <w:bCs/>
                <w:color w:val="FFFFFF"/>
                <w:szCs w:val="24"/>
                <w:lang w:eastAsia="en-GB"/>
              </w:rPr>
              <w:t>2020/21 (WSHT)</w:t>
            </w:r>
          </w:p>
        </w:tc>
        <w:tc>
          <w:tcPr>
            <w:tcW w:w="1378" w:type="dxa"/>
            <w:tcBorders>
              <w:top w:val="nil"/>
              <w:left w:val="nil"/>
              <w:bottom w:val="nil"/>
              <w:right w:val="nil"/>
            </w:tcBorders>
            <w:shd w:val="clear" w:color="000000" w:fill="009639"/>
            <w:noWrap/>
            <w:vAlign w:val="bottom"/>
            <w:hideMark/>
          </w:tcPr>
          <w:p w:rsidR="003204AF" w:rsidRPr="00AE49C8" w:rsidRDefault="003204AF" w:rsidP="003204AF">
            <w:pPr>
              <w:spacing w:after="0" w:line="240" w:lineRule="auto"/>
              <w:rPr>
                <w:rFonts w:eastAsia="Times New Roman"/>
                <w:color w:val="FFFFFF"/>
                <w:szCs w:val="24"/>
                <w:lang w:eastAsia="en-GB"/>
              </w:rPr>
            </w:pPr>
            <w:r w:rsidRPr="00AE49C8">
              <w:rPr>
                <w:rFonts w:eastAsia="Times New Roman"/>
                <w:color w:val="FFFFFF"/>
                <w:szCs w:val="24"/>
                <w:lang w:eastAsia="en-GB"/>
              </w:rPr>
              <w:t>1.1%</w:t>
            </w:r>
          </w:p>
        </w:tc>
        <w:tc>
          <w:tcPr>
            <w:tcW w:w="1105" w:type="dxa"/>
            <w:tcBorders>
              <w:top w:val="nil"/>
              <w:left w:val="nil"/>
              <w:bottom w:val="nil"/>
              <w:right w:val="nil"/>
            </w:tcBorders>
            <w:shd w:val="clear" w:color="000000" w:fill="009639"/>
            <w:noWrap/>
            <w:vAlign w:val="bottom"/>
            <w:hideMark/>
          </w:tcPr>
          <w:p w:rsidR="003204AF" w:rsidRPr="00AE49C8" w:rsidRDefault="003204AF" w:rsidP="003204AF">
            <w:pPr>
              <w:spacing w:after="0" w:line="240" w:lineRule="auto"/>
              <w:rPr>
                <w:rFonts w:eastAsia="Times New Roman"/>
                <w:color w:val="FFFFFF"/>
                <w:szCs w:val="24"/>
                <w:lang w:eastAsia="en-GB"/>
              </w:rPr>
            </w:pPr>
            <w:r w:rsidRPr="00AE49C8">
              <w:rPr>
                <w:rFonts w:eastAsia="Times New Roman"/>
                <w:color w:val="FFFFFF"/>
                <w:szCs w:val="24"/>
                <w:lang w:eastAsia="en-GB"/>
              </w:rPr>
              <w:t>6.2%</w:t>
            </w:r>
          </w:p>
        </w:tc>
        <w:tc>
          <w:tcPr>
            <w:tcW w:w="1235" w:type="dxa"/>
            <w:tcBorders>
              <w:top w:val="nil"/>
              <w:left w:val="nil"/>
              <w:bottom w:val="nil"/>
              <w:right w:val="nil"/>
            </w:tcBorders>
            <w:shd w:val="clear" w:color="000000" w:fill="009639"/>
            <w:noWrap/>
            <w:vAlign w:val="bottom"/>
            <w:hideMark/>
          </w:tcPr>
          <w:p w:rsidR="003204AF" w:rsidRPr="00AE49C8" w:rsidRDefault="003204AF" w:rsidP="003204AF">
            <w:pPr>
              <w:spacing w:after="0" w:line="240" w:lineRule="auto"/>
              <w:rPr>
                <w:rFonts w:eastAsia="Times New Roman"/>
                <w:color w:val="FFFFFF"/>
                <w:szCs w:val="24"/>
                <w:lang w:eastAsia="en-GB"/>
              </w:rPr>
            </w:pPr>
            <w:r w:rsidRPr="00AE49C8">
              <w:rPr>
                <w:rFonts w:eastAsia="Times New Roman"/>
                <w:color w:val="FFFFFF"/>
                <w:szCs w:val="24"/>
                <w:lang w:eastAsia="en-GB"/>
              </w:rPr>
              <w:t>1.2%</w:t>
            </w:r>
          </w:p>
        </w:tc>
        <w:tc>
          <w:tcPr>
            <w:tcW w:w="1024" w:type="dxa"/>
            <w:tcBorders>
              <w:top w:val="nil"/>
              <w:left w:val="nil"/>
              <w:bottom w:val="nil"/>
              <w:right w:val="nil"/>
            </w:tcBorders>
            <w:shd w:val="clear" w:color="000000" w:fill="009639"/>
            <w:noWrap/>
            <w:vAlign w:val="bottom"/>
            <w:hideMark/>
          </w:tcPr>
          <w:p w:rsidR="003204AF" w:rsidRPr="00AE49C8" w:rsidRDefault="003204AF" w:rsidP="003204AF">
            <w:pPr>
              <w:spacing w:after="0" w:line="240" w:lineRule="auto"/>
              <w:rPr>
                <w:rFonts w:eastAsia="Times New Roman"/>
                <w:color w:val="FFFFFF"/>
                <w:szCs w:val="24"/>
                <w:lang w:eastAsia="en-GB"/>
              </w:rPr>
            </w:pPr>
            <w:r w:rsidRPr="00AE49C8">
              <w:rPr>
                <w:rFonts w:eastAsia="Times New Roman"/>
                <w:color w:val="FFFFFF"/>
                <w:szCs w:val="24"/>
                <w:lang w:eastAsia="en-GB"/>
              </w:rPr>
              <w:t>51.2%</w:t>
            </w:r>
          </w:p>
        </w:tc>
        <w:tc>
          <w:tcPr>
            <w:tcW w:w="909" w:type="dxa"/>
            <w:tcBorders>
              <w:top w:val="nil"/>
              <w:left w:val="nil"/>
              <w:bottom w:val="nil"/>
              <w:right w:val="nil"/>
            </w:tcBorders>
            <w:shd w:val="clear" w:color="000000" w:fill="009639"/>
            <w:noWrap/>
            <w:vAlign w:val="bottom"/>
            <w:hideMark/>
          </w:tcPr>
          <w:p w:rsidR="003204AF" w:rsidRPr="00AE49C8" w:rsidRDefault="003204AF" w:rsidP="003204AF">
            <w:pPr>
              <w:spacing w:after="0" w:line="240" w:lineRule="auto"/>
              <w:rPr>
                <w:rFonts w:eastAsia="Times New Roman"/>
                <w:color w:val="FFFFFF"/>
                <w:szCs w:val="24"/>
                <w:lang w:eastAsia="en-GB"/>
              </w:rPr>
            </w:pPr>
            <w:r w:rsidRPr="00AE49C8">
              <w:rPr>
                <w:rFonts w:eastAsia="Times New Roman"/>
                <w:color w:val="FFFFFF"/>
                <w:szCs w:val="24"/>
                <w:lang w:eastAsia="en-GB"/>
              </w:rPr>
              <w:t>36.5%</w:t>
            </w:r>
          </w:p>
        </w:tc>
        <w:tc>
          <w:tcPr>
            <w:tcW w:w="1179" w:type="dxa"/>
            <w:tcBorders>
              <w:top w:val="nil"/>
              <w:left w:val="nil"/>
              <w:bottom w:val="nil"/>
              <w:right w:val="nil"/>
            </w:tcBorders>
            <w:shd w:val="clear" w:color="000000" w:fill="009639"/>
            <w:noWrap/>
            <w:vAlign w:val="bottom"/>
            <w:hideMark/>
          </w:tcPr>
          <w:p w:rsidR="003204AF" w:rsidRPr="00AE49C8" w:rsidRDefault="003204AF" w:rsidP="003204AF">
            <w:pPr>
              <w:spacing w:after="0" w:line="240" w:lineRule="auto"/>
              <w:rPr>
                <w:rFonts w:eastAsia="Times New Roman"/>
                <w:color w:val="FFFFFF"/>
                <w:szCs w:val="24"/>
                <w:lang w:eastAsia="en-GB"/>
              </w:rPr>
            </w:pPr>
            <w:r w:rsidRPr="00AE49C8">
              <w:rPr>
                <w:rFonts w:eastAsia="Times New Roman"/>
                <w:color w:val="FFFFFF"/>
                <w:szCs w:val="24"/>
                <w:lang w:eastAsia="en-GB"/>
              </w:rPr>
              <w:t>1.1%</w:t>
            </w:r>
          </w:p>
        </w:tc>
        <w:tc>
          <w:tcPr>
            <w:tcW w:w="1183" w:type="dxa"/>
            <w:tcBorders>
              <w:top w:val="nil"/>
              <w:left w:val="nil"/>
              <w:bottom w:val="nil"/>
              <w:right w:val="nil"/>
            </w:tcBorders>
            <w:shd w:val="clear" w:color="000000" w:fill="009639"/>
            <w:noWrap/>
            <w:vAlign w:val="bottom"/>
            <w:hideMark/>
          </w:tcPr>
          <w:p w:rsidR="003204AF" w:rsidRPr="00AE49C8" w:rsidRDefault="003204AF" w:rsidP="003204AF">
            <w:pPr>
              <w:spacing w:after="0" w:line="240" w:lineRule="auto"/>
              <w:rPr>
                <w:rFonts w:eastAsia="Times New Roman"/>
                <w:color w:val="FFFFFF"/>
                <w:szCs w:val="24"/>
                <w:lang w:eastAsia="en-GB"/>
              </w:rPr>
            </w:pPr>
            <w:r w:rsidRPr="00AE49C8">
              <w:rPr>
                <w:rFonts w:eastAsia="Times New Roman"/>
                <w:color w:val="FFFFFF"/>
                <w:szCs w:val="24"/>
                <w:lang w:eastAsia="en-GB"/>
              </w:rPr>
              <w:t>2.7%</w:t>
            </w:r>
          </w:p>
        </w:tc>
      </w:tr>
      <w:tr w:rsidR="003204AF" w:rsidRPr="00AE49C8" w:rsidTr="00C92A79">
        <w:trPr>
          <w:cantSplit/>
          <w:trHeight w:val="312"/>
          <w:tblHeader/>
          <w:jc w:val="center"/>
        </w:trPr>
        <w:tc>
          <w:tcPr>
            <w:tcW w:w="2142" w:type="dxa"/>
            <w:tcBorders>
              <w:top w:val="nil"/>
              <w:left w:val="nil"/>
              <w:bottom w:val="nil"/>
              <w:right w:val="nil"/>
            </w:tcBorders>
            <w:shd w:val="clear" w:color="000000" w:fill="FFB81C"/>
            <w:noWrap/>
            <w:vAlign w:val="bottom"/>
            <w:hideMark/>
          </w:tcPr>
          <w:p w:rsidR="003204AF" w:rsidRPr="00AE49C8" w:rsidRDefault="003204AF" w:rsidP="003204AF">
            <w:pPr>
              <w:spacing w:after="0" w:line="240" w:lineRule="auto"/>
              <w:rPr>
                <w:rFonts w:eastAsia="Times New Roman"/>
                <w:b/>
                <w:bCs/>
                <w:color w:val="000000"/>
                <w:szCs w:val="24"/>
                <w:lang w:eastAsia="en-GB"/>
              </w:rPr>
            </w:pPr>
            <w:r w:rsidRPr="00AE49C8">
              <w:rPr>
                <w:rFonts w:eastAsia="Times New Roman"/>
                <w:b/>
                <w:bCs/>
                <w:color w:val="000000"/>
                <w:szCs w:val="24"/>
                <w:lang w:eastAsia="en-GB"/>
              </w:rPr>
              <w:t>Census 2011 (SE England)</w:t>
            </w:r>
          </w:p>
        </w:tc>
        <w:tc>
          <w:tcPr>
            <w:tcW w:w="1378" w:type="dxa"/>
            <w:tcBorders>
              <w:top w:val="nil"/>
              <w:left w:val="nil"/>
              <w:bottom w:val="nil"/>
              <w:right w:val="nil"/>
            </w:tcBorders>
            <w:shd w:val="clear" w:color="000000" w:fill="FFB81C"/>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0.9%</w:t>
            </w:r>
          </w:p>
        </w:tc>
        <w:tc>
          <w:tcPr>
            <w:tcW w:w="1105" w:type="dxa"/>
            <w:tcBorders>
              <w:top w:val="nil"/>
              <w:left w:val="nil"/>
              <w:bottom w:val="nil"/>
              <w:right w:val="nil"/>
            </w:tcBorders>
            <w:shd w:val="clear" w:color="000000" w:fill="FFB81C"/>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6.5%</w:t>
            </w:r>
          </w:p>
        </w:tc>
        <w:tc>
          <w:tcPr>
            <w:tcW w:w="1235" w:type="dxa"/>
            <w:tcBorders>
              <w:top w:val="nil"/>
              <w:left w:val="nil"/>
              <w:bottom w:val="nil"/>
              <w:right w:val="nil"/>
            </w:tcBorders>
            <w:shd w:val="clear" w:color="000000" w:fill="FFB81C"/>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2.0%</w:t>
            </w:r>
          </w:p>
        </w:tc>
        <w:tc>
          <w:tcPr>
            <w:tcW w:w="1024" w:type="dxa"/>
            <w:tcBorders>
              <w:top w:val="nil"/>
              <w:left w:val="nil"/>
              <w:bottom w:val="nil"/>
              <w:right w:val="nil"/>
            </w:tcBorders>
            <w:shd w:val="clear" w:color="000000" w:fill="FFB81C"/>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48.9%</w:t>
            </w:r>
          </w:p>
        </w:tc>
        <w:tc>
          <w:tcPr>
            <w:tcW w:w="909" w:type="dxa"/>
            <w:tcBorders>
              <w:top w:val="nil"/>
              <w:left w:val="nil"/>
              <w:bottom w:val="nil"/>
              <w:right w:val="nil"/>
            </w:tcBorders>
            <w:shd w:val="clear" w:color="000000" w:fill="FFB81C"/>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34.4%</w:t>
            </w:r>
          </w:p>
        </w:tc>
        <w:tc>
          <w:tcPr>
            <w:tcW w:w="1179" w:type="dxa"/>
            <w:tcBorders>
              <w:top w:val="nil"/>
              <w:left w:val="nil"/>
              <w:bottom w:val="nil"/>
              <w:right w:val="nil"/>
            </w:tcBorders>
            <w:shd w:val="clear" w:color="000000" w:fill="FFB81C"/>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6.2%</w:t>
            </w:r>
          </w:p>
        </w:tc>
        <w:tc>
          <w:tcPr>
            <w:tcW w:w="1183" w:type="dxa"/>
            <w:tcBorders>
              <w:top w:val="nil"/>
              <w:left w:val="nil"/>
              <w:bottom w:val="nil"/>
              <w:right w:val="nil"/>
            </w:tcBorders>
            <w:shd w:val="clear" w:color="000000" w:fill="FFB81C"/>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1.1%</w:t>
            </w:r>
          </w:p>
        </w:tc>
      </w:tr>
    </w:tbl>
    <w:p w:rsidR="003204AF" w:rsidRPr="00AE49C8" w:rsidRDefault="003204AF" w:rsidP="003204AF">
      <w:pPr>
        <w:rPr>
          <w:b/>
        </w:rPr>
      </w:pPr>
    </w:p>
    <w:p w:rsidR="003204AF" w:rsidRPr="00AE49C8" w:rsidRDefault="003204AF" w:rsidP="003204AF">
      <w:pPr>
        <w:jc w:val="center"/>
        <w:rPr>
          <w:b/>
        </w:rPr>
      </w:pPr>
      <w:r w:rsidRPr="00AE49C8">
        <w:rPr>
          <w:noProof/>
          <w:lang w:eastAsia="en-GB"/>
        </w:rPr>
        <w:drawing>
          <wp:inline distT="0" distB="0" distL="0" distR="0" wp14:anchorId="75FDB704" wp14:editId="2163024D">
            <wp:extent cx="5731510" cy="3192745"/>
            <wp:effectExtent l="0" t="0" r="2540" b="8255"/>
            <wp:docPr id="30" name="Chart 30" title="Overall workforce representation brokendown by marital status and the 2011 Census"/>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204AF" w:rsidRPr="000D2F61" w:rsidRDefault="003204AF" w:rsidP="003204AF">
      <w:r w:rsidRPr="000D2F61">
        <w:t>Observations:</w:t>
      </w:r>
    </w:p>
    <w:p w:rsidR="008A38FE" w:rsidRPr="00AE49C8" w:rsidRDefault="008A38FE" w:rsidP="008A38FE">
      <w:pPr>
        <w:pStyle w:val="ListParagraph"/>
      </w:pPr>
      <w:r w:rsidRPr="00AE49C8">
        <w:t>There is a greater representation of staff in a civil partnership compared to the 2011 Census data.</w:t>
      </w:r>
    </w:p>
    <w:p w:rsidR="008A38FE" w:rsidRPr="00AE49C8" w:rsidRDefault="008A38FE" w:rsidP="008A38FE">
      <w:pPr>
        <w:pStyle w:val="ListParagraph"/>
      </w:pPr>
      <w:r w:rsidRPr="00AE49C8">
        <w:t xml:space="preserve">There is a lower representation of </w:t>
      </w:r>
      <w:r w:rsidR="00E7596C" w:rsidRPr="00AE49C8">
        <w:t>married staff</w:t>
      </w:r>
      <w:r w:rsidRPr="00AE49C8">
        <w:t xml:space="preserve"> </w:t>
      </w:r>
      <w:r w:rsidR="00C92A79">
        <w:t>than</w:t>
      </w:r>
      <w:r w:rsidR="00E7596C" w:rsidRPr="00AE49C8">
        <w:t xml:space="preserve"> the 2011 Census data in the BSUH workforce but higher in WSHT.</w:t>
      </w:r>
    </w:p>
    <w:p w:rsidR="008A38FE" w:rsidRPr="00AE49C8" w:rsidRDefault="008A38FE" w:rsidP="008A38FE">
      <w:pPr>
        <w:pStyle w:val="ListParagraph"/>
      </w:pPr>
      <w:r w:rsidRPr="00AE49C8">
        <w:t>There has been an increase in staff representation in a civil partnership and a decrease in married staff from the previous year.</w:t>
      </w:r>
    </w:p>
    <w:p w:rsidR="008A38FE" w:rsidRPr="00AE49C8" w:rsidRDefault="003204AF" w:rsidP="008A38FE">
      <w:pPr>
        <w:pStyle w:val="Heading3"/>
      </w:pPr>
      <w:bookmarkStart w:id="61" w:name="_Toc88634008"/>
      <w:r w:rsidRPr="00AE49C8">
        <w:t>Breakdown of marital status by pay banding</w:t>
      </w:r>
      <w:bookmarkEnd w:id="61"/>
    </w:p>
    <w:p w:rsidR="003204AF" w:rsidRPr="00AE49C8" w:rsidRDefault="008A38FE" w:rsidP="003204AF">
      <w:r w:rsidRPr="00AE49C8">
        <w:t>T</w:t>
      </w:r>
      <w:r w:rsidR="003204AF" w:rsidRPr="00AE49C8">
        <w:t xml:space="preserve">he items in bold </w:t>
      </w:r>
      <w:r w:rsidRPr="00AE49C8">
        <w:t>show</w:t>
      </w:r>
      <w:r w:rsidR="003204AF" w:rsidRPr="00AE49C8">
        <w:t xml:space="preserve"> a great</w:t>
      </w:r>
      <w:r w:rsidRPr="00AE49C8">
        <w:t>er</w:t>
      </w:r>
      <w:r w:rsidR="003204AF" w:rsidRPr="00AE49C8">
        <w:t xml:space="preserve"> representation of that particular group compared to the representation in the overall workforce</w:t>
      </w:r>
    </w:p>
    <w:p w:rsidR="003204AF" w:rsidRPr="00AE49C8" w:rsidRDefault="003204AF" w:rsidP="003204AF">
      <w:pPr>
        <w:rPr>
          <w:b/>
        </w:rPr>
      </w:pPr>
      <w:r w:rsidRPr="00AE49C8">
        <w:rPr>
          <w:b/>
        </w:rPr>
        <w:t>BSUH</w:t>
      </w:r>
    </w:p>
    <w:tbl>
      <w:tblPr>
        <w:tblW w:w="10046" w:type="dxa"/>
        <w:jc w:val="center"/>
        <w:tblBorders>
          <w:insideH w:val="dotted" w:sz="4" w:space="0" w:color="auto"/>
        </w:tblBorders>
        <w:tblLook w:val="04A0" w:firstRow="1" w:lastRow="0" w:firstColumn="1" w:lastColumn="0" w:noHBand="0" w:noVBand="1"/>
        <w:tblCaption w:val="Paybanding/grades by marital status"/>
      </w:tblPr>
      <w:tblGrid>
        <w:gridCol w:w="2000"/>
        <w:gridCol w:w="1550"/>
        <w:gridCol w:w="1244"/>
        <w:gridCol w:w="1377"/>
        <w:gridCol w:w="1083"/>
        <w:gridCol w:w="1030"/>
        <w:gridCol w:w="1270"/>
        <w:gridCol w:w="1296"/>
      </w:tblGrid>
      <w:tr w:rsidR="003204AF" w:rsidRPr="00AE49C8" w:rsidTr="008A38FE">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AFC Banding</w:t>
            </w:r>
          </w:p>
        </w:tc>
        <w:tc>
          <w:tcPr>
            <w:tcW w:w="1378"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Civil Partnership</w:t>
            </w:r>
          </w:p>
        </w:tc>
        <w:tc>
          <w:tcPr>
            <w:tcW w:w="1105"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Divorced</w:t>
            </w:r>
          </w:p>
        </w:tc>
        <w:tc>
          <w:tcPr>
            <w:tcW w:w="1235"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Legally Separated</w:t>
            </w:r>
          </w:p>
        </w:tc>
        <w:tc>
          <w:tcPr>
            <w:tcW w:w="1024"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Married</w:t>
            </w:r>
          </w:p>
        </w:tc>
        <w:tc>
          <w:tcPr>
            <w:tcW w:w="942"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Single</w:t>
            </w:r>
          </w:p>
        </w:tc>
        <w:tc>
          <w:tcPr>
            <w:tcW w:w="1179"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Widowed</w:t>
            </w:r>
          </w:p>
        </w:tc>
        <w:tc>
          <w:tcPr>
            <w:tcW w:w="1183"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Unknown</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1</w:t>
            </w:r>
          </w:p>
        </w:tc>
        <w:tc>
          <w:tcPr>
            <w:tcW w:w="1378"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2.2%</w:t>
            </w:r>
          </w:p>
        </w:tc>
        <w:tc>
          <w:tcPr>
            <w:tcW w:w="110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5.6%</w:t>
            </w:r>
          </w:p>
        </w:tc>
        <w:tc>
          <w:tcPr>
            <w:tcW w:w="123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1.1%</w:t>
            </w:r>
          </w:p>
        </w:tc>
        <w:tc>
          <w:tcPr>
            <w:tcW w:w="1024"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28.1%</w:t>
            </w:r>
          </w:p>
        </w:tc>
        <w:tc>
          <w:tcPr>
            <w:tcW w:w="942"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51.7%</w:t>
            </w:r>
          </w:p>
        </w:tc>
        <w:tc>
          <w:tcPr>
            <w:tcW w:w="1179"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1.1%</w:t>
            </w:r>
          </w:p>
        </w:tc>
        <w:tc>
          <w:tcPr>
            <w:tcW w:w="1183"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10.1%</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2</w:t>
            </w:r>
          </w:p>
        </w:tc>
        <w:tc>
          <w:tcPr>
            <w:tcW w:w="1378"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2.8%</w:t>
            </w:r>
          </w:p>
        </w:tc>
        <w:tc>
          <w:tcPr>
            <w:tcW w:w="110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5.8%</w:t>
            </w:r>
          </w:p>
        </w:tc>
        <w:tc>
          <w:tcPr>
            <w:tcW w:w="123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1.5%</w:t>
            </w:r>
          </w:p>
        </w:tc>
        <w:tc>
          <w:tcPr>
            <w:tcW w:w="1024"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37.3%</w:t>
            </w:r>
          </w:p>
        </w:tc>
        <w:tc>
          <w:tcPr>
            <w:tcW w:w="9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44.2%</w:t>
            </w:r>
          </w:p>
        </w:tc>
        <w:tc>
          <w:tcPr>
            <w:tcW w:w="1179"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w:t>
            </w:r>
          </w:p>
        </w:tc>
        <w:tc>
          <w:tcPr>
            <w:tcW w:w="1183"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7.2%</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3</w:t>
            </w:r>
          </w:p>
        </w:tc>
        <w:tc>
          <w:tcPr>
            <w:tcW w:w="1378"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2.3%</w:t>
            </w:r>
          </w:p>
        </w:tc>
        <w:tc>
          <w:tcPr>
            <w:tcW w:w="110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7.8%</w:t>
            </w:r>
          </w:p>
        </w:tc>
        <w:tc>
          <w:tcPr>
            <w:tcW w:w="123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1.3%</w:t>
            </w:r>
          </w:p>
        </w:tc>
        <w:tc>
          <w:tcPr>
            <w:tcW w:w="1024"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41.3%</w:t>
            </w:r>
          </w:p>
        </w:tc>
        <w:tc>
          <w:tcPr>
            <w:tcW w:w="9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42.0%</w:t>
            </w:r>
          </w:p>
        </w:tc>
        <w:tc>
          <w:tcPr>
            <w:tcW w:w="1179"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0.9%</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4.4%</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4</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1.6%</w:t>
            </w:r>
          </w:p>
        </w:tc>
        <w:tc>
          <w:tcPr>
            <w:tcW w:w="110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8.4%</w:t>
            </w:r>
          </w:p>
        </w:tc>
        <w:tc>
          <w:tcPr>
            <w:tcW w:w="123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1.5%</w:t>
            </w:r>
          </w:p>
        </w:tc>
        <w:tc>
          <w:tcPr>
            <w:tcW w:w="1024"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39.8%</w:t>
            </w:r>
          </w:p>
        </w:tc>
        <w:tc>
          <w:tcPr>
            <w:tcW w:w="9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43.6%</w:t>
            </w:r>
          </w:p>
        </w:tc>
        <w:tc>
          <w:tcPr>
            <w:tcW w:w="1179"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0.9%</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4.2%</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5</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4.3%</w:t>
            </w:r>
          </w:p>
        </w:tc>
        <w:tc>
          <w:tcPr>
            <w:tcW w:w="123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1.3%</w:t>
            </w:r>
          </w:p>
        </w:tc>
        <w:tc>
          <w:tcPr>
            <w:tcW w:w="1024"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34.9%</w:t>
            </w:r>
          </w:p>
        </w:tc>
        <w:tc>
          <w:tcPr>
            <w:tcW w:w="942"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54.1%</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0.2%</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3.8%</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6</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1.7%</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4.1%</w:t>
            </w:r>
          </w:p>
        </w:tc>
        <w:tc>
          <w:tcPr>
            <w:tcW w:w="123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1.4%</w:t>
            </w:r>
          </w:p>
        </w:tc>
        <w:tc>
          <w:tcPr>
            <w:tcW w:w="1024"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44.2%</w:t>
            </w:r>
          </w:p>
        </w:tc>
        <w:tc>
          <w:tcPr>
            <w:tcW w:w="9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44.4%</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0.5%</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3.7%</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7</w:t>
            </w:r>
          </w:p>
        </w:tc>
        <w:tc>
          <w:tcPr>
            <w:tcW w:w="1378"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2.0%</w:t>
            </w:r>
          </w:p>
        </w:tc>
        <w:tc>
          <w:tcPr>
            <w:tcW w:w="110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5.6%</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1024"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49.2%</w:t>
            </w:r>
          </w:p>
        </w:tc>
        <w:tc>
          <w:tcPr>
            <w:tcW w:w="9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38.4%</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4.1%</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8a</w:t>
            </w:r>
          </w:p>
        </w:tc>
        <w:tc>
          <w:tcPr>
            <w:tcW w:w="1378"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1.9%</w:t>
            </w:r>
          </w:p>
        </w:tc>
        <w:tc>
          <w:tcPr>
            <w:tcW w:w="110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6.6%</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0.8%</w:t>
            </w:r>
          </w:p>
        </w:tc>
        <w:tc>
          <w:tcPr>
            <w:tcW w:w="1024"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53.9%</w:t>
            </w:r>
          </w:p>
        </w:tc>
        <w:tc>
          <w:tcPr>
            <w:tcW w:w="9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29.5%</w:t>
            </w:r>
          </w:p>
        </w:tc>
        <w:tc>
          <w:tcPr>
            <w:tcW w:w="1179"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w:t>
            </w:r>
          </w:p>
        </w:tc>
        <w:tc>
          <w:tcPr>
            <w:tcW w:w="1183"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6.2%</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8b</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0.9%</w:t>
            </w:r>
          </w:p>
        </w:tc>
        <w:tc>
          <w:tcPr>
            <w:tcW w:w="123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2.7%</w:t>
            </w:r>
          </w:p>
        </w:tc>
        <w:tc>
          <w:tcPr>
            <w:tcW w:w="1024"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48.2%</w:t>
            </w:r>
          </w:p>
        </w:tc>
        <w:tc>
          <w:tcPr>
            <w:tcW w:w="9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38.4%</w:t>
            </w:r>
          </w:p>
        </w:tc>
        <w:tc>
          <w:tcPr>
            <w:tcW w:w="1179"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2.7%</w:t>
            </w:r>
          </w:p>
        </w:tc>
        <w:tc>
          <w:tcPr>
            <w:tcW w:w="1183"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7.1%</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8c</w:t>
            </w:r>
          </w:p>
        </w:tc>
        <w:tc>
          <w:tcPr>
            <w:tcW w:w="1378"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2.5%</w:t>
            </w:r>
          </w:p>
        </w:tc>
        <w:tc>
          <w:tcPr>
            <w:tcW w:w="1105"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lang w:eastAsia="en-GB"/>
              </w:rPr>
            </w:pPr>
            <w:r w:rsidRPr="00AE49C8">
              <w:rPr>
                <w:rFonts w:eastAsia="Times New Roman"/>
                <w:b/>
                <w:bCs/>
                <w:color w:val="000000"/>
                <w:szCs w:val="24"/>
                <w:lang w:eastAsia="en-GB"/>
              </w:rPr>
              <w:t>7.5%</w:t>
            </w:r>
          </w:p>
        </w:tc>
        <w:tc>
          <w:tcPr>
            <w:tcW w:w="123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2.5%</w:t>
            </w:r>
          </w:p>
        </w:tc>
        <w:tc>
          <w:tcPr>
            <w:tcW w:w="1024"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42.5%</w:t>
            </w:r>
          </w:p>
        </w:tc>
        <w:tc>
          <w:tcPr>
            <w:tcW w:w="9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35.0%</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10.0%</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lastRenderedPageBreak/>
              <w:t>Band 8d</w:t>
            </w:r>
          </w:p>
        </w:tc>
        <w:tc>
          <w:tcPr>
            <w:tcW w:w="1378"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4.8%</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3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9.5%</w:t>
            </w:r>
          </w:p>
        </w:tc>
        <w:tc>
          <w:tcPr>
            <w:tcW w:w="1024"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66.7%</w:t>
            </w:r>
          </w:p>
        </w:tc>
        <w:tc>
          <w:tcPr>
            <w:tcW w:w="9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9.5%</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9.5%</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9</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0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18.8%</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024"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56.3%</w:t>
            </w:r>
          </w:p>
        </w:tc>
        <w:tc>
          <w:tcPr>
            <w:tcW w:w="9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18.8%</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6.3%</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Directors</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024"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63.6%</w:t>
            </w:r>
          </w:p>
        </w:tc>
        <w:tc>
          <w:tcPr>
            <w:tcW w:w="9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36.4%</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Consultant</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1.4%</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024"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70.6%</w:t>
            </w:r>
          </w:p>
        </w:tc>
        <w:tc>
          <w:tcPr>
            <w:tcW w:w="9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22.9%</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3.7%</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Middle Grade</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05"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7.3%</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024"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63.6%</w:t>
            </w:r>
          </w:p>
        </w:tc>
        <w:tc>
          <w:tcPr>
            <w:tcW w:w="9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23.6%</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5.5%</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Training</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1.3%</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0.5%</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0.3%</w:t>
            </w:r>
          </w:p>
        </w:tc>
        <w:tc>
          <w:tcPr>
            <w:tcW w:w="1024"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28.4%</w:t>
            </w:r>
          </w:p>
        </w:tc>
        <w:tc>
          <w:tcPr>
            <w:tcW w:w="942"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64.2%</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5.2%</w:t>
            </w:r>
          </w:p>
        </w:tc>
      </w:tr>
      <w:tr w:rsidR="003204AF" w:rsidRPr="00AE49C8" w:rsidTr="00C92A79">
        <w:trPr>
          <w:cantSplit/>
          <w:trHeight w:val="312"/>
          <w:tblHeader/>
          <w:jc w:val="center"/>
        </w:trPr>
        <w:tc>
          <w:tcPr>
            <w:tcW w:w="2000"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Local Scale</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024"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42" w:type="dxa"/>
            <w:shd w:val="clear" w:color="auto" w:fill="41B6E6"/>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100.0%</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bl>
    <w:p w:rsidR="003204AF" w:rsidRPr="00AE49C8" w:rsidRDefault="003204AF" w:rsidP="003204AF">
      <w:pPr>
        <w:rPr>
          <w:b/>
        </w:rPr>
      </w:pPr>
    </w:p>
    <w:p w:rsidR="003204AF" w:rsidRPr="000D2F61" w:rsidRDefault="003204AF" w:rsidP="003204AF">
      <w:r w:rsidRPr="000D2F61">
        <w:t>Observations</w:t>
      </w:r>
    </w:p>
    <w:p w:rsidR="003204AF" w:rsidRPr="00AE49C8" w:rsidRDefault="008A38FE" w:rsidP="008A38FE">
      <w:pPr>
        <w:pStyle w:val="ListParagraph"/>
      </w:pPr>
      <w:r w:rsidRPr="00AE49C8">
        <w:t>There is a greater representation compared to the overall staff workforce representation in a civil partnership in bands 1-3,7-8a and 8c-d; there is a fair representation in bands 4-6, medical consultants and trainees.  In all other bands/grades, there is no representation.</w:t>
      </w:r>
    </w:p>
    <w:p w:rsidR="008A38FE" w:rsidRPr="00AE49C8" w:rsidRDefault="008A38FE" w:rsidP="008A38FE">
      <w:pPr>
        <w:pStyle w:val="ListParagraph"/>
      </w:pPr>
      <w:r w:rsidRPr="00AE49C8">
        <w:t>There is a greater representation than the overall workforce of married staff in bands 7-9, directors and medical consultants and middle-grade doctors.  All other bands/grades have a low to fair representation.</w:t>
      </w:r>
    </w:p>
    <w:p w:rsidR="003204AF" w:rsidRPr="00AE49C8" w:rsidRDefault="003204AF" w:rsidP="003204AF">
      <w:pPr>
        <w:rPr>
          <w:b/>
        </w:rPr>
      </w:pPr>
      <w:r w:rsidRPr="00AE49C8">
        <w:rPr>
          <w:b/>
        </w:rPr>
        <w:t>WSHT</w:t>
      </w:r>
    </w:p>
    <w:tbl>
      <w:tblPr>
        <w:tblW w:w="10117" w:type="dxa"/>
        <w:jc w:val="center"/>
        <w:tblBorders>
          <w:insideH w:val="dotted" w:sz="4" w:space="0" w:color="auto"/>
        </w:tblBorders>
        <w:tblLook w:val="04A0" w:firstRow="1" w:lastRow="0" w:firstColumn="1" w:lastColumn="0" w:noHBand="0" w:noVBand="1"/>
        <w:tblCaption w:val="Paybanding/grades by marital status"/>
      </w:tblPr>
      <w:tblGrid>
        <w:gridCol w:w="2142"/>
        <w:gridCol w:w="1550"/>
        <w:gridCol w:w="1244"/>
        <w:gridCol w:w="1377"/>
        <w:gridCol w:w="1083"/>
        <w:gridCol w:w="937"/>
        <w:gridCol w:w="1270"/>
        <w:gridCol w:w="1296"/>
      </w:tblGrid>
      <w:tr w:rsidR="003204AF" w:rsidRPr="00AE49C8" w:rsidTr="008A38FE">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AFC Banding</w:t>
            </w:r>
          </w:p>
        </w:tc>
        <w:tc>
          <w:tcPr>
            <w:tcW w:w="1378"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Civil Partnership</w:t>
            </w:r>
          </w:p>
        </w:tc>
        <w:tc>
          <w:tcPr>
            <w:tcW w:w="1105"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Divorced</w:t>
            </w:r>
          </w:p>
        </w:tc>
        <w:tc>
          <w:tcPr>
            <w:tcW w:w="1235"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Legally Separated</w:t>
            </w:r>
          </w:p>
        </w:tc>
        <w:tc>
          <w:tcPr>
            <w:tcW w:w="1024"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Married</w:t>
            </w:r>
          </w:p>
        </w:tc>
        <w:tc>
          <w:tcPr>
            <w:tcW w:w="871"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Single</w:t>
            </w:r>
          </w:p>
        </w:tc>
        <w:tc>
          <w:tcPr>
            <w:tcW w:w="1179"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Widowed</w:t>
            </w:r>
          </w:p>
        </w:tc>
        <w:tc>
          <w:tcPr>
            <w:tcW w:w="1183" w:type="dxa"/>
            <w:shd w:val="clear" w:color="auto" w:fill="auto"/>
            <w:noWrap/>
            <w:vAlign w:val="bottom"/>
            <w:hideMark/>
          </w:tcPr>
          <w:p w:rsidR="003204AF" w:rsidRPr="00AE49C8" w:rsidRDefault="003204AF" w:rsidP="003204AF">
            <w:pPr>
              <w:spacing w:after="0" w:line="240" w:lineRule="auto"/>
              <w:rPr>
                <w:rFonts w:eastAsia="Times New Roman"/>
                <w:b/>
                <w:bCs/>
                <w:color w:val="000000"/>
                <w:szCs w:val="24"/>
                <w:u w:val="single"/>
                <w:lang w:eastAsia="en-GB"/>
              </w:rPr>
            </w:pPr>
            <w:r w:rsidRPr="00AE49C8">
              <w:rPr>
                <w:rFonts w:eastAsia="Times New Roman"/>
                <w:b/>
                <w:bCs/>
                <w:color w:val="000000"/>
                <w:szCs w:val="24"/>
                <w:u w:val="single"/>
                <w:lang w:eastAsia="en-GB"/>
              </w:rPr>
              <w:t>Unknown</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1</w:t>
            </w:r>
          </w:p>
        </w:tc>
        <w:tc>
          <w:tcPr>
            <w:tcW w:w="1378"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2.4%</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024"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41.5%</w:t>
            </w:r>
          </w:p>
        </w:tc>
        <w:tc>
          <w:tcPr>
            <w:tcW w:w="871"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51.2%</w:t>
            </w:r>
          </w:p>
        </w:tc>
        <w:tc>
          <w:tcPr>
            <w:tcW w:w="1179"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2.4%</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2.4%</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2</w:t>
            </w:r>
          </w:p>
        </w:tc>
        <w:tc>
          <w:tcPr>
            <w:tcW w:w="1378"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1.4%</w:t>
            </w:r>
          </w:p>
        </w:tc>
        <w:tc>
          <w:tcPr>
            <w:tcW w:w="110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7.5%</w:t>
            </w:r>
          </w:p>
        </w:tc>
        <w:tc>
          <w:tcPr>
            <w:tcW w:w="123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1.4%</w:t>
            </w:r>
          </w:p>
        </w:tc>
        <w:tc>
          <w:tcPr>
            <w:tcW w:w="1024"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49.5%</w:t>
            </w:r>
          </w:p>
        </w:tc>
        <w:tc>
          <w:tcPr>
            <w:tcW w:w="871"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35.6%</w:t>
            </w:r>
          </w:p>
        </w:tc>
        <w:tc>
          <w:tcPr>
            <w:tcW w:w="1179"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1.8%</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2.8%</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3</w:t>
            </w:r>
          </w:p>
        </w:tc>
        <w:tc>
          <w:tcPr>
            <w:tcW w:w="1378"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1.4%</w:t>
            </w:r>
          </w:p>
        </w:tc>
        <w:tc>
          <w:tcPr>
            <w:tcW w:w="110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9.8%</w:t>
            </w:r>
          </w:p>
        </w:tc>
        <w:tc>
          <w:tcPr>
            <w:tcW w:w="123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1.3%</w:t>
            </w:r>
          </w:p>
        </w:tc>
        <w:tc>
          <w:tcPr>
            <w:tcW w:w="1024"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45.7%</w:t>
            </w:r>
          </w:p>
        </w:tc>
        <w:tc>
          <w:tcPr>
            <w:tcW w:w="871"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37.8%</w:t>
            </w:r>
          </w:p>
        </w:tc>
        <w:tc>
          <w:tcPr>
            <w:tcW w:w="1179"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1.5%</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2.5%</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4</w:t>
            </w:r>
          </w:p>
        </w:tc>
        <w:tc>
          <w:tcPr>
            <w:tcW w:w="1378"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1.6%</w:t>
            </w:r>
          </w:p>
        </w:tc>
        <w:tc>
          <w:tcPr>
            <w:tcW w:w="110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9.6%</w:t>
            </w:r>
          </w:p>
        </w:tc>
        <w:tc>
          <w:tcPr>
            <w:tcW w:w="123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2.4%</w:t>
            </w:r>
          </w:p>
        </w:tc>
        <w:tc>
          <w:tcPr>
            <w:tcW w:w="1024"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49.2%</w:t>
            </w:r>
          </w:p>
        </w:tc>
        <w:tc>
          <w:tcPr>
            <w:tcW w:w="871"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32.9%</w:t>
            </w:r>
          </w:p>
        </w:tc>
        <w:tc>
          <w:tcPr>
            <w:tcW w:w="1179"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3.1%</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5</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5.0%</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1024"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45.0%</w:t>
            </w:r>
          </w:p>
        </w:tc>
        <w:tc>
          <w:tcPr>
            <w:tcW w:w="871"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45.7%</w:t>
            </w:r>
          </w:p>
        </w:tc>
        <w:tc>
          <w:tcPr>
            <w:tcW w:w="1179"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1.5%</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6</w:t>
            </w:r>
          </w:p>
        </w:tc>
        <w:tc>
          <w:tcPr>
            <w:tcW w:w="1378"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1.1%</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4.5%</w:t>
            </w:r>
          </w:p>
        </w:tc>
        <w:tc>
          <w:tcPr>
            <w:tcW w:w="123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w:t>
            </w:r>
          </w:p>
        </w:tc>
        <w:tc>
          <w:tcPr>
            <w:tcW w:w="1024"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55.2%</w:t>
            </w:r>
          </w:p>
        </w:tc>
        <w:tc>
          <w:tcPr>
            <w:tcW w:w="871"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35.1%</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2.3%</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7</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0.9%</w:t>
            </w:r>
          </w:p>
        </w:tc>
        <w:tc>
          <w:tcPr>
            <w:tcW w:w="110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8.4%</w:t>
            </w:r>
          </w:p>
        </w:tc>
        <w:tc>
          <w:tcPr>
            <w:tcW w:w="123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1.3%</w:t>
            </w:r>
          </w:p>
        </w:tc>
        <w:tc>
          <w:tcPr>
            <w:tcW w:w="1024"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60.1%</w:t>
            </w:r>
          </w:p>
        </w:tc>
        <w:tc>
          <w:tcPr>
            <w:tcW w:w="871"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24.9%</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0.9%</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3.4%</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8a</w:t>
            </w:r>
          </w:p>
        </w:tc>
        <w:tc>
          <w:tcPr>
            <w:tcW w:w="1378"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1.8%</w:t>
            </w:r>
          </w:p>
        </w:tc>
        <w:tc>
          <w:tcPr>
            <w:tcW w:w="110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7.7%</w:t>
            </w:r>
          </w:p>
        </w:tc>
        <w:tc>
          <w:tcPr>
            <w:tcW w:w="123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2.4%</w:t>
            </w:r>
          </w:p>
        </w:tc>
        <w:tc>
          <w:tcPr>
            <w:tcW w:w="1024"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60.1%</w:t>
            </w:r>
          </w:p>
        </w:tc>
        <w:tc>
          <w:tcPr>
            <w:tcW w:w="871"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25.6%</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2.4%</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8b</w:t>
            </w:r>
          </w:p>
        </w:tc>
        <w:tc>
          <w:tcPr>
            <w:tcW w:w="1378"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1.4%</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5.6%</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024"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76.1%</w:t>
            </w:r>
          </w:p>
        </w:tc>
        <w:tc>
          <w:tcPr>
            <w:tcW w:w="871"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12.7%</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4.2%</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8c</w:t>
            </w:r>
          </w:p>
        </w:tc>
        <w:tc>
          <w:tcPr>
            <w:tcW w:w="1378"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3.3%</w:t>
            </w:r>
          </w:p>
        </w:tc>
        <w:tc>
          <w:tcPr>
            <w:tcW w:w="110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10.0%</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024"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70.0%</w:t>
            </w:r>
          </w:p>
        </w:tc>
        <w:tc>
          <w:tcPr>
            <w:tcW w:w="871"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16.7%</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8d</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0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12.5%</w:t>
            </w:r>
          </w:p>
        </w:tc>
        <w:tc>
          <w:tcPr>
            <w:tcW w:w="123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12.5%</w:t>
            </w:r>
          </w:p>
        </w:tc>
        <w:tc>
          <w:tcPr>
            <w:tcW w:w="1024"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75.0%</w:t>
            </w:r>
          </w:p>
        </w:tc>
        <w:tc>
          <w:tcPr>
            <w:tcW w:w="871"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Band 9</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0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14.3%</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024"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57.1%</w:t>
            </w:r>
          </w:p>
        </w:tc>
        <w:tc>
          <w:tcPr>
            <w:tcW w:w="871"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28.6%</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Directors</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4.8%</w:t>
            </w:r>
          </w:p>
        </w:tc>
        <w:tc>
          <w:tcPr>
            <w:tcW w:w="1235"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4.8%</w:t>
            </w:r>
          </w:p>
        </w:tc>
        <w:tc>
          <w:tcPr>
            <w:tcW w:w="1024"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76.2%</w:t>
            </w:r>
          </w:p>
        </w:tc>
        <w:tc>
          <w:tcPr>
            <w:tcW w:w="871"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9.5%</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4.8%</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Consultant</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1.4%</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0.3%</w:t>
            </w:r>
          </w:p>
        </w:tc>
        <w:tc>
          <w:tcPr>
            <w:tcW w:w="1024"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81.1%</w:t>
            </w:r>
          </w:p>
        </w:tc>
        <w:tc>
          <w:tcPr>
            <w:tcW w:w="871"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13.2%</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3.9%</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Middle Grade</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0.2%</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0.2%</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024"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44.1%</w:t>
            </w:r>
          </w:p>
        </w:tc>
        <w:tc>
          <w:tcPr>
            <w:tcW w:w="871"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51.3%</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4.2%</w:t>
            </w:r>
          </w:p>
        </w:tc>
      </w:tr>
      <w:tr w:rsidR="003204AF" w:rsidRPr="00AE49C8" w:rsidTr="00C92A79">
        <w:trPr>
          <w:cantSplit/>
          <w:trHeight w:val="312"/>
          <w:tblHeader/>
          <w:jc w:val="center"/>
        </w:trPr>
        <w:tc>
          <w:tcPr>
            <w:tcW w:w="2142"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Training</w:t>
            </w:r>
          </w:p>
        </w:tc>
        <w:tc>
          <w:tcPr>
            <w:tcW w:w="1378"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0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0.8%</w:t>
            </w:r>
          </w:p>
        </w:tc>
        <w:tc>
          <w:tcPr>
            <w:tcW w:w="1235"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024"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2.5%</w:t>
            </w:r>
          </w:p>
        </w:tc>
        <w:tc>
          <w:tcPr>
            <w:tcW w:w="871"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89.8%</w:t>
            </w:r>
          </w:p>
        </w:tc>
        <w:tc>
          <w:tcPr>
            <w:tcW w:w="1179" w:type="dxa"/>
            <w:shd w:val="clear" w:color="auto" w:fill="auto"/>
            <w:noWrap/>
            <w:vAlign w:val="bottom"/>
            <w:hideMark/>
          </w:tcPr>
          <w:p w:rsidR="003204AF" w:rsidRPr="00AE49C8" w:rsidRDefault="003204AF" w:rsidP="003204AF">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009639"/>
            <w:noWrap/>
            <w:vAlign w:val="bottom"/>
            <w:hideMark/>
          </w:tcPr>
          <w:p w:rsidR="003204AF" w:rsidRPr="00C92A79" w:rsidRDefault="003204AF" w:rsidP="003204AF">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6.8%</w:t>
            </w:r>
          </w:p>
        </w:tc>
      </w:tr>
    </w:tbl>
    <w:p w:rsidR="003204AF" w:rsidRPr="00AE49C8" w:rsidRDefault="003204AF" w:rsidP="003204AF">
      <w:pPr>
        <w:jc w:val="center"/>
        <w:rPr>
          <w:b/>
        </w:rPr>
      </w:pPr>
    </w:p>
    <w:p w:rsidR="003204AF" w:rsidRPr="000D2F61" w:rsidRDefault="003204AF" w:rsidP="003204AF">
      <w:r w:rsidRPr="000D2F61">
        <w:t>Observations</w:t>
      </w:r>
    </w:p>
    <w:p w:rsidR="003204AF" w:rsidRPr="00AE49C8" w:rsidRDefault="00A91D9B" w:rsidP="00A91D9B">
      <w:pPr>
        <w:pStyle w:val="ListParagraph"/>
      </w:pPr>
      <w:r w:rsidRPr="00AE49C8">
        <w:t xml:space="preserve">There is a greater representation than the overall workforce of staff in a civil partnership in bands 1-4, 6 and 8a-c; there is a fair representation in bands 5, 7 and middle-grade doctors.  All other bands/grades have no </w:t>
      </w:r>
      <w:r w:rsidR="008E6F14">
        <w:t>staff representation</w:t>
      </w:r>
      <w:r w:rsidRPr="00AE49C8">
        <w:t xml:space="preserve"> in a civil partnership.</w:t>
      </w:r>
    </w:p>
    <w:p w:rsidR="00A91D9B" w:rsidRPr="00AE49C8" w:rsidRDefault="00A91D9B" w:rsidP="00A91D9B">
      <w:pPr>
        <w:pStyle w:val="ListParagraph"/>
      </w:pPr>
      <w:r w:rsidRPr="00AE49C8">
        <w:t>There is a good representation of married staff across all bands/grades, except with medical trainees.</w:t>
      </w:r>
    </w:p>
    <w:p w:rsidR="00A91D9B" w:rsidRPr="00AE49C8" w:rsidRDefault="00A91D9B" w:rsidP="00A91D9B">
      <w:pPr>
        <w:pStyle w:val="ListParagraph"/>
      </w:pPr>
      <w:r w:rsidRPr="00AE49C8">
        <w:t>The majority of (very) senior managers are married.</w:t>
      </w:r>
    </w:p>
    <w:p w:rsidR="00477B56" w:rsidRPr="00AE49C8" w:rsidRDefault="003204AF" w:rsidP="00477B56">
      <w:pPr>
        <w:pStyle w:val="Heading3"/>
      </w:pPr>
      <w:bookmarkStart w:id="62" w:name="_Toc88634009"/>
      <w:r w:rsidRPr="00AE49C8">
        <w:t xml:space="preserve">Breakdown of </w:t>
      </w:r>
      <w:r w:rsidR="009768C5" w:rsidRPr="00AE49C8">
        <w:t>ma</w:t>
      </w:r>
      <w:r w:rsidRPr="00AE49C8">
        <w:t>r</w:t>
      </w:r>
      <w:r w:rsidR="009768C5" w:rsidRPr="00AE49C8">
        <w:t>ital status</w:t>
      </w:r>
      <w:r w:rsidRPr="00AE49C8">
        <w:t xml:space="preserve"> in recruitment processes</w:t>
      </w:r>
      <w:bookmarkEnd w:id="62"/>
    </w:p>
    <w:p w:rsidR="003204AF" w:rsidRPr="00AE49C8" w:rsidRDefault="00477B56" w:rsidP="003204AF">
      <w:r w:rsidRPr="00AE49C8">
        <w:rPr>
          <w:b/>
        </w:rPr>
        <w:t>T</w:t>
      </w:r>
      <w:r w:rsidR="003204AF" w:rsidRPr="00AE49C8">
        <w:t>he data compares the three stages of recruitment compared to the workforce representation within the organisation.</w:t>
      </w:r>
    </w:p>
    <w:p w:rsidR="003204AF" w:rsidRPr="00AE49C8" w:rsidRDefault="003204AF" w:rsidP="003204AF">
      <w:pPr>
        <w:spacing w:line="240" w:lineRule="auto"/>
        <w:rPr>
          <w:b/>
        </w:rPr>
      </w:pPr>
      <w:r w:rsidRPr="00AE49C8">
        <w:rPr>
          <w:b/>
        </w:rPr>
        <w:t>BSUH</w:t>
      </w:r>
    </w:p>
    <w:tbl>
      <w:tblPr>
        <w:tblW w:w="7223" w:type="dxa"/>
        <w:jc w:val="center"/>
        <w:tblBorders>
          <w:insideH w:val="dotted" w:sz="4" w:space="0" w:color="auto"/>
        </w:tblBorders>
        <w:tblLook w:val="04A0" w:firstRow="1" w:lastRow="0" w:firstColumn="1" w:lastColumn="0" w:noHBand="0" w:noVBand="1"/>
        <w:tblCaption w:val="Recruitment brokendown by marital status"/>
      </w:tblPr>
      <w:tblGrid>
        <w:gridCol w:w="2783"/>
        <w:gridCol w:w="1511"/>
        <w:gridCol w:w="1350"/>
        <w:gridCol w:w="1297"/>
        <w:gridCol w:w="1310"/>
      </w:tblGrid>
      <w:tr w:rsidR="009768C5" w:rsidRPr="00AE49C8" w:rsidTr="00477B56">
        <w:trPr>
          <w:cantSplit/>
          <w:trHeight w:val="936"/>
          <w:tblHeader/>
          <w:jc w:val="center"/>
        </w:trPr>
        <w:tc>
          <w:tcPr>
            <w:tcW w:w="2783" w:type="dxa"/>
            <w:shd w:val="clear" w:color="auto" w:fill="auto"/>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Marital Status</w:t>
            </w:r>
          </w:p>
        </w:tc>
        <w:tc>
          <w:tcPr>
            <w:tcW w:w="1230" w:type="dxa"/>
            <w:shd w:val="clear" w:color="auto" w:fill="auto"/>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Applications</w:t>
            </w:r>
          </w:p>
        </w:tc>
        <w:tc>
          <w:tcPr>
            <w:tcW w:w="1087" w:type="dxa"/>
            <w:shd w:val="clear" w:color="auto" w:fill="auto"/>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Shortlisted</w:t>
            </w:r>
          </w:p>
        </w:tc>
        <w:tc>
          <w:tcPr>
            <w:tcW w:w="1055" w:type="dxa"/>
            <w:shd w:val="clear" w:color="auto" w:fill="auto"/>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Appointed</w:t>
            </w:r>
          </w:p>
        </w:tc>
        <w:tc>
          <w:tcPr>
            <w:tcW w:w="1068" w:type="dxa"/>
            <w:shd w:val="clear" w:color="auto" w:fill="auto"/>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Workforce</w:t>
            </w:r>
          </w:p>
        </w:tc>
      </w:tr>
      <w:tr w:rsidR="009768C5" w:rsidRPr="00AE49C8" w:rsidTr="00477B56">
        <w:trPr>
          <w:cantSplit/>
          <w:trHeight w:val="312"/>
          <w:tblHeader/>
          <w:jc w:val="center"/>
        </w:trPr>
        <w:tc>
          <w:tcPr>
            <w:tcW w:w="2783"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Single</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56.4%</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52.9%</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44.6%</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44.8%</w:t>
            </w:r>
          </w:p>
        </w:tc>
      </w:tr>
      <w:tr w:rsidR="009768C5" w:rsidRPr="00AE49C8" w:rsidTr="00477B56">
        <w:trPr>
          <w:cantSplit/>
          <w:trHeight w:val="312"/>
          <w:tblHeader/>
          <w:jc w:val="center"/>
        </w:trPr>
        <w:tc>
          <w:tcPr>
            <w:tcW w:w="2783"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Married</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30.9%</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27.8%</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22.7%</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41.8%</w:t>
            </w:r>
          </w:p>
        </w:tc>
      </w:tr>
      <w:tr w:rsidR="009768C5" w:rsidRPr="00AE49C8" w:rsidTr="00477B56">
        <w:trPr>
          <w:cantSplit/>
          <w:trHeight w:val="312"/>
          <w:tblHeader/>
          <w:jc w:val="center"/>
        </w:trPr>
        <w:tc>
          <w:tcPr>
            <w:tcW w:w="2783"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Civil partnership</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2.3%</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2.3%</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2.5%</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1.9%</w:t>
            </w:r>
          </w:p>
        </w:tc>
      </w:tr>
      <w:tr w:rsidR="009768C5" w:rsidRPr="00AE49C8" w:rsidTr="00477B56">
        <w:trPr>
          <w:cantSplit/>
          <w:trHeight w:val="312"/>
          <w:tblHeader/>
          <w:jc w:val="center"/>
        </w:trPr>
        <w:tc>
          <w:tcPr>
            <w:tcW w:w="2783"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Legally separated</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1.1%</w:t>
            </w:r>
          </w:p>
        </w:tc>
      </w:tr>
      <w:tr w:rsidR="009768C5" w:rsidRPr="00AE49C8" w:rsidTr="00477B56">
        <w:trPr>
          <w:cantSplit/>
          <w:trHeight w:val="312"/>
          <w:tblHeader/>
          <w:jc w:val="center"/>
        </w:trPr>
        <w:tc>
          <w:tcPr>
            <w:tcW w:w="2783"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Divorced</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3.2%</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4.0%</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3.5%</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4.9%</w:t>
            </w:r>
          </w:p>
        </w:tc>
      </w:tr>
      <w:tr w:rsidR="009768C5" w:rsidRPr="00AE49C8" w:rsidTr="00477B56">
        <w:trPr>
          <w:cantSplit/>
          <w:trHeight w:val="312"/>
          <w:tblHeader/>
          <w:jc w:val="center"/>
        </w:trPr>
        <w:tc>
          <w:tcPr>
            <w:tcW w:w="2783"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Widowed</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0.5%</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0.6%</w:t>
            </w:r>
          </w:p>
        </w:tc>
      </w:tr>
      <w:tr w:rsidR="009768C5" w:rsidRPr="00AE49C8" w:rsidTr="00477B56">
        <w:trPr>
          <w:cantSplit/>
          <w:trHeight w:val="312"/>
          <w:tblHeader/>
          <w:jc w:val="center"/>
        </w:trPr>
        <w:tc>
          <w:tcPr>
            <w:tcW w:w="2783"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2.2%</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3.1%</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r>
      <w:tr w:rsidR="009768C5" w:rsidRPr="00AE49C8" w:rsidTr="00477B56">
        <w:trPr>
          <w:cantSplit/>
          <w:trHeight w:val="312"/>
          <w:tblHeader/>
          <w:jc w:val="center"/>
        </w:trPr>
        <w:tc>
          <w:tcPr>
            <w:tcW w:w="2783"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2.4%</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2.6%</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1.8%</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r>
      <w:tr w:rsidR="009768C5" w:rsidRPr="00AE49C8" w:rsidTr="00477B56">
        <w:trPr>
          <w:cantSplit/>
          <w:trHeight w:val="312"/>
          <w:tblHeader/>
          <w:jc w:val="center"/>
        </w:trPr>
        <w:tc>
          <w:tcPr>
            <w:tcW w:w="2783"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Not stated</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2.1%</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6.9%</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21.0%</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4.9%</w:t>
            </w:r>
          </w:p>
        </w:tc>
      </w:tr>
      <w:tr w:rsidR="009768C5" w:rsidRPr="00AE49C8" w:rsidTr="00477B56">
        <w:trPr>
          <w:cantSplit/>
          <w:trHeight w:val="312"/>
          <w:tblHeader/>
          <w:jc w:val="center"/>
        </w:trPr>
        <w:tc>
          <w:tcPr>
            <w:tcW w:w="2783"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Total</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3204AF" w:rsidRPr="00AE49C8" w:rsidRDefault="009768C5" w:rsidP="003204AF">
      <w:pPr>
        <w:jc w:val="center"/>
        <w:rPr>
          <w:b/>
        </w:rPr>
      </w:pPr>
      <w:r w:rsidRPr="00AE49C8">
        <w:rPr>
          <w:noProof/>
          <w:lang w:eastAsia="en-GB"/>
        </w:rPr>
        <w:drawing>
          <wp:inline distT="0" distB="0" distL="0" distR="0" wp14:anchorId="6E5C0263" wp14:editId="5AD47591">
            <wp:extent cx="5731510" cy="2914327"/>
            <wp:effectExtent l="0" t="0" r="2540" b="635"/>
            <wp:docPr id="50" name="Chart 50" title="Recruitment brokendown by marital status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204AF" w:rsidRPr="000D2F61" w:rsidRDefault="003204AF" w:rsidP="003204AF">
      <w:r w:rsidRPr="000D2F61">
        <w:lastRenderedPageBreak/>
        <w:t>Observations</w:t>
      </w:r>
    </w:p>
    <w:p w:rsidR="003204AF" w:rsidRPr="00AE49C8" w:rsidRDefault="00477B56" w:rsidP="00477B56">
      <w:pPr>
        <w:pStyle w:val="ListParagraph"/>
      </w:pPr>
      <w:r w:rsidRPr="00AE49C8">
        <w:t>There is a great proportion of candidates throughout all stages of recruitment in a civil partnership, particularly at the appointment stage.</w:t>
      </w:r>
    </w:p>
    <w:p w:rsidR="00477B56" w:rsidRPr="00AE49C8" w:rsidRDefault="00477B56" w:rsidP="00477B56">
      <w:pPr>
        <w:pStyle w:val="ListParagraph"/>
      </w:pPr>
      <w:r w:rsidRPr="00AE49C8">
        <w:t>The representation of candidates in a civil partnership is consistent through the three stages of recruitment.</w:t>
      </w:r>
    </w:p>
    <w:p w:rsidR="00477B56" w:rsidRPr="00AE49C8" w:rsidRDefault="00477B56" w:rsidP="00477B56">
      <w:pPr>
        <w:pStyle w:val="ListParagraph"/>
      </w:pPr>
      <w:r w:rsidRPr="00AE49C8">
        <w:t>Married candidates have a lower than expected representation (compared to the overall representation) in all stages of recruitment.</w:t>
      </w:r>
    </w:p>
    <w:p w:rsidR="00477B56" w:rsidRPr="00AE49C8" w:rsidRDefault="00477B56" w:rsidP="00477B56">
      <w:pPr>
        <w:pStyle w:val="ListParagraph"/>
      </w:pPr>
      <w:r w:rsidRPr="00AE49C8">
        <w:t>Throughout the three stages of recruitment, there is a gradual decrease in representation.  The representation of married candidates at appointments is about half of that of the workforce representation.</w:t>
      </w:r>
    </w:p>
    <w:p w:rsidR="00477B56" w:rsidRPr="00AE49C8" w:rsidRDefault="003204AF" w:rsidP="00205B19">
      <w:pPr>
        <w:spacing w:line="240" w:lineRule="auto"/>
        <w:rPr>
          <w:b/>
        </w:rPr>
      </w:pPr>
      <w:r w:rsidRPr="00AE49C8">
        <w:rPr>
          <w:b/>
        </w:rPr>
        <w:t>WSHT</w:t>
      </w:r>
    </w:p>
    <w:tbl>
      <w:tblPr>
        <w:tblW w:w="6460" w:type="dxa"/>
        <w:jc w:val="center"/>
        <w:tblBorders>
          <w:insideH w:val="dotted" w:sz="4" w:space="0" w:color="auto"/>
        </w:tblBorders>
        <w:tblLook w:val="04A0" w:firstRow="1" w:lastRow="0" w:firstColumn="1" w:lastColumn="0" w:noHBand="0" w:noVBand="1"/>
        <w:tblCaption w:val="Recruitment brokendown by marital status"/>
      </w:tblPr>
      <w:tblGrid>
        <w:gridCol w:w="2020"/>
        <w:gridCol w:w="1511"/>
        <w:gridCol w:w="1350"/>
        <w:gridCol w:w="1297"/>
        <w:gridCol w:w="1310"/>
      </w:tblGrid>
      <w:tr w:rsidR="009768C5" w:rsidRPr="00AE49C8" w:rsidTr="00477B56">
        <w:trPr>
          <w:cantSplit/>
          <w:trHeight w:val="936"/>
          <w:tblHeader/>
          <w:jc w:val="center"/>
        </w:trPr>
        <w:tc>
          <w:tcPr>
            <w:tcW w:w="2020" w:type="dxa"/>
            <w:shd w:val="clear" w:color="auto" w:fill="auto"/>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Marital Status</w:t>
            </w:r>
          </w:p>
        </w:tc>
        <w:tc>
          <w:tcPr>
            <w:tcW w:w="1230" w:type="dxa"/>
            <w:shd w:val="clear" w:color="auto" w:fill="auto"/>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Applications</w:t>
            </w:r>
          </w:p>
        </w:tc>
        <w:tc>
          <w:tcPr>
            <w:tcW w:w="1087" w:type="dxa"/>
            <w:shd w:val="clear" w:color="auto" w:fill="auto"/>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Shortlisted</w:t>
            </w:r>
          </w:p>
        </w:tc>
        <w:tc>
          <w:tcPr>
            <w:tcW w:w="1055" w:type="dxa"/>
            <w:shd w:val="clear" w:color="auto" w:fill="auto"/>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Appointed</w:t>
            </w:r>
          </w:p>
        </w:tc>
        <w:tc>
          <w:tcPr>
            <w:tcW w:w="1068" w:type="dxa"/>
            <w:shd w:val="clear" w:color="auto" w:fill="auto"/>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Workforce</w:t>
            </w:r>
          </w:p>
        </w:tc>
      </w:tr>
      <w:tr w:rsidR="009768C5" w:rsidRPr="00AE49C8" w:rsidTr="00477B56">
        <w:trPr>
          <w:cantSplit/>
          <w:trHeight w:val="312"/>
          <w:tblHeader/>
          <w:jc w:val="center"/>
        </w:trPr>
        <w:tc>
          <w:tcPr>
            <w:tcW w:w="20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Single</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50.6%</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45.9%</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45.4%</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36.5%</w:t>
            </w:r>
          </w:p>
        </w:tc>
      </w:tr>
      <w:tr w:rsidR="009768C5" w:rsidRPr="00AE49C8" w:rsidTr="00477B56">
        <w:trPr>
          <w:cantSplit/>
          <w:trHeight w:val="312"/>
          <w:tblHeader/>
          <w:jc w:val="center"/>
        </w:trPr>
        <w:tc>
          <w:tcPr>
            <w:tcW w:w="20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Married</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38.1%</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37.9%</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38.3%</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51.2%</w:t>
            </w:r>
          </w:p>
        </w:tc>
      </w:tr>
      <w:tr w:rsidR="009768C5" w:rsidRPr="00AE49C8" w:rsidTr="00477B56">
        <w:trPr>
          <w:cantSplit/>
          <w:trHeight w:val="312"/>
          <w:tblHeader/>
          <w:jc w:val="center"/>
        </w:trPr>
        <w:tc>
          <w:tcPr>
            <w:tcW w:w="20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Civil partnership</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2.1%</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2.4%</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2.3%</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1.1%</w:t>
            </w:r>
          </w:p>
        </w:tc>
      </w:tr>
      <w:tr w:rsidR="009768C5" w:rsidRPr="00AE49C8" w:rsidTr="00477B56">
        <w:trPr>
          <w:cantSplit/>
          <w:trHeight w:val="312"/>
          <w:tblHeader/>
          <w:jc w:val="center"/>
        </w:trPr>
        <w:tc>
          <w:tcPr>
            <w:tcW w:w="20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Legally separated</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0.7%</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1.1%</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1.2%</w:t>
            </w:r>
          </w:p>
        </w:tc>
      </w:tr>
      <w:tr w:rsidR="009768C5" w:rsidRPr="00AE49C8" w:rsidTr="00477B56">
        <w:trPr>
          <w:cantSplit/>
          <w:trHeight w:val="312"/>
          <w:tblHeader/>
          <w:jc w:val="center"/>
        </w:trPr>
        <w:tc>
          <w:tcPr>
            <w:tcW w:w="20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Divorced</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4.4%</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5.9%</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4.7%</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6.2%</w:t>
            </w:r>
          </w:p>
        </w:tc>
      </w:tr>
      <w:tr w:rsidR="009768C5" w:rsidRPr="00AE49C8" w:rsidTr="00477B56">
        <w:trPr>
          <w:cantSplit/>
          <w:trHeight w:val="312"/>
          <w:tblHeader/>
          <w:jc w:val="center"/>
        </w:trPr>
        <w:tc>
          <w:tcPr>
            <w:tcW w:w="20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Widowed</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0.8%</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1.1%</w:t>
            </w:r>
          </w:p>
        </w:tc>
      </w:tr>
      <w:tr w:rsidR="009768C5" w:rsidRPr="00AE49C8" w:rsidTr="00477B56">
        <w:trPr>
          <w:cantSplit/>
          <w:trHeight w:val="312"/>
          <w:tblHeader/>
          <w:jc w:val="center"/>
        </w:trPr>
        <w:tc>
          <w:tcPr>
            <w:tcW w:w="20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1.7%</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2.1%</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r>
      <w:tr w:rsidR="009768C5" w:rsidRPr="00AE49C8" w:rsidTr="00477B56">
        <w:trPr>
          <w:cantSplit/>
          <w:trHeight w:val="312"/>
          <w:tblHeader/>
          <w:jc w:val="center"/>
        </w:trPr>
        <w:tc>
          <w:tcPr>
            <w:tcW w:w="20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2.0%</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2.3%</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2.7%</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r>
      <w:tr w:rsidR="009768C5" w:rsidRPr="00AE49C8" w:rsidTr="00477B56">
        <w:trPr>
          <w:cantSplit/>
          <w:trHeight w:val="312"/>
          <w:tblHeader/>
          <w:jc w:val="center"/>
        </w:trPr>
        <w:tc>
          <w:tcPr>
            <w:tcW w:w="20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Not stated</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0.5%</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1.9%</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4.1%</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2.7%</w:t>
            </w:r>
          </w:p>
        </w:tc>
      </w:tr>
      <w:tr w:rsidR="009768C5" w:rsidRPr="00AE49C8" w:rsidTr="00477B56">
        <w:trPr>
          <w:cantSplit/>
          <w:trHeight w:val="312"/>
          <w:tblHeader/>
          <w:jc w:val="center"/>
        </w:trPr>
        <w:tc>
          <w:tcPr>
            <w:tcW w:w="20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Total</w:t>
            </w:r>
          </w:p>
        </w:tc>
        <w:tc>
          <w:tcPr>
            <w:tcW w:w="123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08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05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06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3204AF" w:rsidRPr="00AE49C8" w:rsidRDefault="003204AF" w:rsidP="003204AF">
      <w:pPr>
        <w:spacing w:line="240" w:lineRule="auto"/>
        <w:jc w:val="center"/>
        <w:rPr>
          <w:b/>
        </w:rPr>
      </w:pPr>
    </w:p>
    <w:p w:rsidR="003204AF" w:rsidRPr="00AE49C8" w:rsidRDefault="009768C5" w:rsidP="003204AF">
      <w:pPr>
        <w:jc w:val="center"/>
        <w:rPr>
          <w:b/>
        </w:rPr>
      </w:pPr>
      <w:r w:rsidRPr="00AE49C8">
        <w:rPr>
          <w:noProof/>
          <w:lang w:eastAsia="en-GB"/>
        </w:rPr>
        <w:drawing>
          <wp:inline distT="0" distB="0" distL="0" distR="0" wp14:anchorId="23AF2135" wp14:editId="1099A674">
            <wp:extent cx="5731510" cy="2914327"/>
            <wp:effectExtent l="0" t="0" r="2540" b="635"/>
            <wp:docPr id="51" name="Chart 51" title="Recruitment brokendown by marital status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204AF" w:rsidRPr="000D2F61" w:rsidRDefault="003204AF" w:rsidP="003204AF">
      <w:r w:rsidRPr="000D2F61">
        <w:lastRenderedPageBreak/>
        <w:t>Observations</w:t>
      </w:r>
    </w:p>
    <w:p w:rsidR="003204AF" w:rsidRPr="00AE49C8" w:rsidRDefault="00205B19" w:rsidP="00205B19">
      <w:pPr>
        <w:pStyle w:val="ListParagraph"/>
        <w:rPr>
          <w:b/>
        </w:rPr>
      </w:pPr>
      <w:r w:rsidRPr="00AE49C8">
        <w:t>Compared to the workforce representation, candidates in a civil partnership are represented about twice as much throughout the recruitment stages. The representation for this group is consistent throughout all stages.</w:t>
      </w:r>
    </w:p>
    <w:p w:rsidR="00205B19" w:rsidRPr="00AE49C8" w:rsidRDefault="00205B19" w:rsidP="00205B19">
      <w:pPr>
        <w:pStyle w:val="ListParagraph"/>
        <w:rPr>
          <w:b/>
        </w:rPr>
      </w:pPr>
      <w:r w:rsidRPr="00AE49C8">
        <w:t>Married candidates (compared to the overall workforce representation) have a lower than expected representation.  Across the three stages of recruitment, representation is broadly consistent.</w:t>
      </w:r>
    </w:p>
    <w:p w:rsidR="003204AF" w:rsidRPr="00AE49C8" w:rsidRDefault="003204AF" w:rsidP="00205B19">
      <w:pPr>
        <w:pStyle w:val="Heading3"/>
      </w:pPr>
      <w:bookmarkStart w:id="63" w:name="_Toc88634010"/>
      <w:r w:rsidRPr="00AE49C8">
        <w:t>Uptake of non-mandatory training or continuing professional development</w:t>
      </w:r>
      <w:bookmarkEnd w:id="63"/>
    </w:p>
    <w:p w:rsidR="003204AF" w:rsidRPr="00AE49C8" w:rsidRDefault="003204AF" w:rsidP="003204AF">
      <w:pPr>
        <w:rPr>
          <w:b/>
        </w:rPr>
      </w:pPr>
      <w:r w:rsidRPr="00AE49C8">
        <w:rPr>
          <w:b/>
        </w:rPr>
        <w:t>BSUH</w:t>
      </w:r>
    </w:p>
    <w:tbl>
      <w:tblPr>
        <w:tblW w:w="7384" w:type="dxa"/>
        <w:jc w:val="center"/>
        <w:tblBorders>
          <w:insideH w:val="dotted" w:sz="4" w:space="0" w:color="auto"/>
        </w:tblBorders>
        <w:tblLook w:val="04A0" w:firstRow="1" w:lastRow="0" w:firstColumn="1" w:lastColumn="0" w:noHBand="0" w:noVBand="1"/>
        <w:tblCaption w:val="Uptake of non-mandatory/CPD training by marital status"/>
      </w:tblPr>
      <w:tblGrid>
        <w:gridCol w:w="2240"/>
        <w:gridCol w:w="2170"/>
        <w:gridCol w:w="1720"/>
        <w:gridCol w:w="1844"/>
      </w:tblGrid>
      <w:tr w:rsidR="009768C5" w:rsidRPr="00AE49C8" w:rsidTr="00205B19">
        <w:trPr>
          <w:cantSplit/>
          <w:trHeight w:val="312"/>
          <w:tblHeader/>
          <w:jc w:val="center"/>
        </w:trPr>
        <w:tc>
          <w:tcPr>
            <w:tcW w:w="2240" w:type="dxa"/>
            <w:shd w:val="clear" w:color="auto" w:fill="auto"/>
            <w:noWrap/>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Marital Status</w:t>
            </w:r>
          </w:p>
        </w:tc>
        <w:tc>
          <w:tcPr>
            <w:tcW w:w="2170" w:type="dxa"/>
            <w:shd w:val="clear" w:color="auto" w:fill="auto"/>
            <w:noWrap/>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No. of staff attending training</w:t>
            </w:r>
          </w:p>
        </w:tc>
        <w:tc>
          <w:tcPr>
            <w:tcW w:w="1720" w:type="dxa"/>
            <w:shd w:val="clear" w:color="auto" w:fill="auto"/>
            <w:noWrap/>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 of workforce attending</w:t>
            </w:r>
          </w:p>
        </w:tc>
        <w:tc>
          <w:tcPr>
            <w:tcW w:w="1254" w:type="dxa"/>
            <w:shd w:val="clear" w:color="auto" w:fill="auto"/>
            <w:noWrap/>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Workforce Representation</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Civil Partnership</w:t>
            </w:r>
          </w:p>
        </w:tc>
        <w:tc>
          <w:tcPr>
            <w:tcW w:w="217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17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1.2%</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1.9%</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Divorced</w:t>
            </w:r>
          </w:p>
        </w:tc>
        <w:tc>
          <w:tcPr>
            <w:tcW w:w="217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17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4.9%</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Legally Separated</w:t>
            </w:r>
          </w:p>
        </w:tc>
        <w:tc>
          <w:tcPr>
            <w:tcW w:w="217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17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1.1%</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Married</w:t>
            </w:r>
          </w:p>
        </w:tc>
        <w:tc>
          <w:tcPr>
            <w:tcW w:w="217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130</w:t>
            </w:r>
          </w:p>
        </w:tc>
        <w:tc>
          <w:tcPr>
            <w:tcW w:w="17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38.9%</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41.8%</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Single</w:t>
            </w:r>
          </w:p>
        </w:tc>
        <w:tc>
          <w:tcPr>
            <w:tcW w:w="217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174</w:t>
            </w:r>
          </w:p>
        </w:tc>
        <w:tc>
          <w:tcPr>
            <w:tcW w:w="17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52.1%</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44.8%</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Widowed</w:t>
            </w:r>
          </w:p>
        </w:tc>
        <w:tc>
          <w:tcPr>
            <w:tcW w:w="217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7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0.6%</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217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14</w:t>
            </w:r>
          </w:p>
        </w:tc>
        <w:tc>
          <w:tcPr>
            <w:tcW w:w="17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4.2%</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217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c>
          <w:tcPr>
            <w:tcW w:w="17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4.9%</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Grand Total</w:t>
            </w:r>
          </w:p>
        </w:tc>
        <w:tc>
          <w:tcPr>
            <w:tcW w:w="217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334</w:t>
            </w:r>
          </w:p>
        </w:tc>
        <w:tc>
          <w:tcPr>
            <w:tcW w:w="172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3204AF" w:rsidRPr="00AE49C8" w:rsidRDefault="009768C5" w:rsidP="003204AF">
      <w:pPr>
        <w:jc w:val="center"/>
        <w:rPr>
          <w:b/>
        </w:rPr>
      </w:pPr>
      <w:r w:rsidRPr="00AE49C8">
        <w:rPr>
          <w:noProof/>
          <w:lang w:eastAsia="en-GB"/>
        </w:rPr>
        <w:drawing>
          <wp:inline distT="0" distB="0" distL="0" distR="0" wp14:anchorId="71936C75" wp14:editId="3FB4A6CF">
            <wp:extent cx="5044440" cy="3470910"/>
            <wp:effectExtent l="0" t="0" r="3810" b="0"/>
            <wp:docPr id="52" name="Chart 52" title="Uptake of non-mandatory/CPD training by marital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204AF" w:rsidRPr="000D2F61" w:rsidRDefault="003204AF" w:rsidP="003204AF">
      <w:r w:rsidRPr="000D2F61">
        <w:t>Observations</w:t>
      </w:r>
    </w:p>
    <w:p w:rsidR="003204AF" w:rsidRPr="00AE49C8" w:rsidRDefault="00B462E6" w:rsidP="00205B19">
      <w:pPr>
        <w:pStyle w:val="ListParagraph"/>
      </w:pPr>
      <w:r w:rsidRPr="00AE49C8">
        <w:lastRenderedPageBreak/>
        <w:t>Staff that are married or in a civil partnership have lower than expected representation in the uptake of training (compared to the overall workforce).</w:t>
      </w:r>
    </w:p>
    <w:p w:rsidR="003204AF" w:rsidRPr="00AE49C8" w:rsidRDefault="003204AF" w:rsidP="003204AF">
      <w:pPr>
        <w:rPr>
          <w:b/>
        </w:rPr>
      </w:pPr>
      <w:r w:rsidRPr="00AE49C8">
        <w:rPr>
          <w:b/>
        </w:rPr>
        <w:t>WSHT</w:t>
      </w:r>
    </w:p>
    <w:tbl>
      <w:tblPr>
        <w:tblW w:w="7627" w:type="dxa"/>
        <w:jc w:val="center"/>
        <w:tblBorders>
          <w:insideH w:val="dotted" w:sz="4" w:space="0" w:color="auto"/>
        </w:tblBorders>
        <w:tblLook w:val="04A0" w:firstRow="1" w:lastRow="0" w:firstColumn="1" w:lastColumn="0" w:noHBand="0" w:noVBand="1"/>
        <w:tblCaption w:val="Uptake of non-mandatory/CPD training by marital status"/>
      </w:tblPr>
      <w:tblGrid>
        <w:gridCol w:w="2240"/>
        <w:gridCol w:w="2232"/>
        <w:gridCol w:w="1901"/>
        <w:gridCol w:w="1844"/>
      </w:tblGrid>
      <w:tr w:rsidR="009768C5" w:rsidRPr="00AE49C8" w:rsidTr="00205B19">
        <w:trPr>
          <w:cantSplit/>
          <w:trHeight w:val="312"/>
          <w:tblHeader/>
          <w:jc w:val="center"/>
        </w:trPr>
        <w:tc>
          <w:tcPr>
            <w:tcW w:w="2240" w:type="dxa"/>
            <w:shd w:val="clear" w:color="auto" w:fill="auto"/>
            <w:noWrap/>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Marital Status</w:t>
            </w:r>
          </w:p>
        </w:tc>
        <w:tc>
          <w:tcPr>
            <w:tcW w:w="2232" w:type="dxa"/>
            <w:shd w:val="clear" w:color="auto" w:fill="auto"/>
            <w:noWrap/>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Number of staff attending training</w:t>
            </w:r>
          </w:p>
        </w:tc>
        <w:tc>
          <w:tcPr>
            <w:tcW w:w="1901" w:type="dxa"/>
            <w:shd w:val="clear" w:color="auto" w:fill="auto"/>
            <w:noWrap/>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 of workforce attending</w:t>
            </w:r>
          </w:p>
        </w:tc>
        <w:tc>
          <w:tcPr>
            <w:tcW w:w="1254" w:type="dxa"/>
            <w:shd w:val="clear" w:color="auto" w:fill="auto"/>
            <w:noWrap/>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Workforce Representation</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Civil Partnership</w:t>
            </w:r>
          </w:p>
        </w:tc>
        <w:tc>
          <w:tcPr>
            <w:tcW w:w="2232"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26</w:t>
            </w:r>
          </w:p>
        </w:tc>
        <w:tc>
          <w:tcPr>
            <w:tcW w:w="1901"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0.9%</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1.1%</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Divorced</w:t>
            </w:r>
          </w:p>
        </w:tc>
        <w:tc>
          <w:tcPr>
            <w:tcW w:w="2232"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160</w:t>
            </w:r>
          </w:p>
        </w:tc>
        <w:tc>
          <w:tcPr>
            <w:tcW w:w="1901"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5.8%</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6.2%</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Legally Separated</w:t>
            </w:r>
          </w:p>
        </w:tc>
        <w:tc>
          <w:tcPr>
            <w:tcW w:w="2232"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24</w:t>
            </w:r>
          </w:p>
        </w:tc>
        <w:tc>
          <w:tcPr>
            <w:tcW w:w="1901"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0.9%</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1.2%</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Married</w:t>
            </w:r>
          </w:p>
        </w:tc>
        <w:tc>
          <w:tcPr>
            <w:tcW w:w="2232"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1309</w:t>
            </w:r>
          </w:p>
        </w:tc>
        <w:tc>
          <w:tcPr>
            <w:tcW w:w="1901"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47.8%</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51.2%</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Single</w:t>
            </w:r>
          </w:p>
        </w:tc>
        <w:tc>
          <w:tcPr>
            <w:tcW w:w="2232"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1129</w:t>
            </w:r>
          </w:p>
        </w:tc>
        <w:tc>
          <w:tcPr>
            <w:tcW w:w="1901"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41.2%</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36.5%</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Widowed</w:t>
            </w:r>
          </w:p>
        </w:tc>
        <w:tc>
          <w:tcPr>
            <w:tcW w:w="2232"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19</w:t>
            </w:r>
          </w:p>
        </w:tc>
        <w:tc>
          <w:tcPr>
            <w:tcW w:w="1901"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0.7%</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1.1%</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2232"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74</w:t>
            </w:r>
          </w:p>
        </w:tc>
        <w:tc>
          <w:tcPr>
            <w:tcW w:w="1901"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2.7%</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2.7%</w:t>
            </w:r>
          </w:p>
        </w:tc>
      </w:tr>
      <w:tr w:rsidR="009768C5" w:rsidRPr="00AE49C8" w:rsidTr="00205B19">
        <w:trPr>
          <w:cantSplit/>
          <w:trHeight w:val="312"/>
          <w:tblHeader/>
          <w:jc w:val="center"/>
        </w:trPr>
        <w:tc>
          <w:tcPr>
            <w:tcW w:w="22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Grand Total</w:t>
            </w:r>
          </w:p>
        </w:tc>
        <w:tc>
          <w:tcPr>
            <w:tcW w:w="2232"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2741</w:t>
            </w:r>
          </w:p>
        </w:tc>
        <w:tc>
          <w:tcPr>
            <w:tcW w:w="1901"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25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9768C5" w:rsidRPr="00AE49C8" w:rsidRDefault="009768C5" w:rsidP="009768C5">
      <w:pPr>
        <w:jc w:val="center"/>
        <w:rPr>
          <w:b/>
        </w:rPr>
      </w:pPr>
    </w:p>
    <w:p w:rsidR="003204AF" w:rsidRPr="00AE49C8" w:rsidRDefault="009768C5" w:rsidP="003204AF">
      <w:pPr>
        <w:jc w:val="center"/>
        <w:rPr>
          <w:b/>
        </w:rPr>
      </w:pPr>
      <w:r w:rsidRPr="00AE49C8">
        <w:rPr>
          <w:noProof/>
          <w:lang w:eastAsia="en-GB"/>
        </w:rPr>
        <w:drawing>
          <wp:inline distT="0" distB="0" distL="0" distR="0" wp14:anchorId="10703908" wp14:editId="3C48959D">
            <wp:extent cx="5044440" cy="3470910"/>
            <wp:effectExtent l="0" t="0" r="3810" b="0"/>
            <wp:docPr id="53" name="Chart 53" title="Uptake of non-mandatory/CPD training by marital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204AF" w:rsidRPr="00AE49C8" w:rsidRDefault="003204AF" w:rsidP="003204AF">
      <w:pPr>
        <w:jc w:val="center"/>
        <w:rPr>
          <w:b/>
        </w:rPr>
      </w:pPr>
    </w:p>
    <w:p w:rsidR="003204AF" w:rsidRPr="000D2F61" w:rsidRDefault="003204AF" w:rsidP="003204AF">
      <w:r w:rsidRPr="000D2F61">
        <w:t>Observations</w:t>
      </w:r>
    </w:p>
    <w:p w:rsidR="00B462E6" w:rsidRPr="00AE49C8" w:rsidRDefault="00B462E6" w:rsidP="00B462E6">
      <w:pPr>
        <w:pStyle w:val="ListParagraph"/>
      </w:pPr>
      <w:r w:rsidRPr="00AE49C8">
        <w:t>Staff that are married or in a civil partnership have a slightly lower than expected representation in the uptake of training (compared to the overall workforce).</w:t>
      </w:r>
    </w:p>
    <w:p w:rsidR="00C92A79" w:rsidRDefault="00C92A79">
      <w:pPr>
        <w:widowControl w:val="0"/>
        <w:rPr>
          <w:rFonts w:eastAsiaTheme="majorEastAsia"/>
          <w:b/>
          <w:bCs/>
          <w:color w:val="0070C0"/>
        </w:rPr>
      </w:pPr>
      <w:r>
        <w:br w:type="page"/>
      </w:r>
    </w:p>
    <w:p w:rsidR="003204AF" w:rsidRPr="00AE49C8" w:rsidRDefault="003204AF" w:rsidP="00B462E6">
      <w:pPr>
        <w:pStyle w:val="Heading3"/>
      </w:pPr>
      <w:bookmarkStart w:id="64" w:name="_Toc88634011"/>
      <w:r w:rsidRPr="00AE49C8">
        <w:lastRenderedPageBreak/>
        <w:t xml:space="preserve">Employee relations processes broken down by </w:t>
      </w:r>
      <w:r w:rsidR="009768C5" w:rsidRPr="00AE49C8">
        <w:t>marital status</w:t>
      </w:r>
      <w:bookmarkEnd w:id="64"/>
    </w:p>
    <w:p w:rsidR="003204AF" w:rsidRPr="00AE49C8" w:rsidRDefault="003204AF" w:rsidP="003204AF">
      <w:pPr>
        <w:rPr>
          <w:b/>
        </w:rPr>
      </w:pPr>
      <w:r w:rsidRPr="00AE49C8">
        <w:rPr>
          <w:b/>
        </w:rPr>
        <w:t>BSUH</w:t>
      </w:r>
    </w:p>
    <w:tbl>
      <w:tblPr>
        <w:tblW w:w="9625" w:type="dxa"/>
        <w:jc w:val="center"/>
        <w:tblLook w:val="04A0" w:firstRow="1" w:lastRow="0" w:firstColumn="1" w:lastColumn="0" w:noHBand="0" w:noVBand="1"/>
        <w:tblCaption w:val="Capability cases broken down by marital status"/>
      </w:tblPr>
      <w:tblGrid>
        <w:gridCol w:w="1874"/>
        <w:gridCol w:w="1514"/>
        <w:gridCol w:w="1559"/>
        <w:gridCol w:w="1363"/>
        <w:gridCol w:w="1363"/>
        <w:gridCol w:w="2254"/>
      </w:tblGrid>
      <w:tr w:rsidR="009768C5" w:rsidRPr="00AE49C8" w:rsidTr="007E749F">
        <w:trPr>
          <w:cantSplit/>
          <w:trHeight w:val="312"/>
          <w:tblHeader/>
          <w:jc w:val="center"/>
        </w:trPr>
        <w:tc>
          <w:tcPr>
            <w:tcW w:w="1874" w:type="dxa"/>
            <w:tcBorders>
              <w:top w:val="nil"/>
              <w:left w:val="nil"/>
              <w:bottom w:val="nil"/>
              <w:right w:val="nil"/>
            </w:tcBorders>
            <w:shd w:val="clear" w:color="auto" w:fill="auto"/>
            <w:noWrap/>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Marital Status</w:t>
            </w:r>
          </w:p>
        </w:tc>
        <w:tc>
          <w:tcPr>
            <w:tcW w:w="1514" w:type="dxa"/>
            <w:tcBorders>
              <w:top w:val="nil"/>
              <w:left w:val="nil"/>
              <w:bottom w:val="nil"/>
              <w:right w:val="nil"/>
            </w:tcBorders>
            <w:shd w:val="clear" w:color="auto" w:fill="auto"/>
            <w:noWrap/>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(Non-UHR)</w:t>
            </w:r>
          </w:p>
        </w:tc>
        <w:tc>
          <w:tcPr>
            <w:tcW w:w="1559" w:type="dxa"/>
            <w:tcBorders>
              <w:top w:val="nil"/>
              <w:left w:val="nil"/>
              <w:bottom w:val="nil"/>
              <w:right w:val="nil"/>
            </w:tcBorders>
            <w:shd w:val="clear" w:color="auto" w:fill="auto"/>
            <w:noWrap/>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(Non-UHR) %</w:t>
            </w:r>
          </w:p>
        </w:tc>
        <w:tc>
          <w:tcPr>
            <w:tcW w:w="1212" w:type="dxa"/>
            <w:tcBorders>
              <w:top w:val="nil"/>
              <w:left w:val="nil"/>
              <w:bottom w:val="nil"/>
              <w:right w:val="nil"/>
            </w:tcBorders>
            <w:shd w:val="clear" w:color="auto" w:fill="auto"/>
            <w:noWrap/>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(UHR)</w:t>
            </w:r>
          </w:p>
        </w:tc>
        <w:tc>
          <w:tcPr>
            <w:tcW w:w="1212" w:type="dxa"/>
            <w:tcBorders>
              <w:top w:val="nil"/>
              <w:left w:val="nil"/>
              <w:bottom w:val="nil"/>
              <w:right w:val="nil"/>
            </w:tcBorders>
            <w:shd w:val="clear" w:color="auto" w:fill="auto"/>
            <w:noWrap/>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(UHR) %</w:t>
            </w:r>
          </w:p>
        </w:tc>
        <w:tc>
          <w:tcPr>
            <w:tcW w:w="2254" w:type="dxa"/>
            <w:tcBorders>
              <w:top w:val="nil"/>
              <w:left w:val="nil"/>
              <w:bottom w:val="nil"/>
              <w:right w:val="nil"/>
            </w:tcBorders>
            <w:shd w:val="clear" w:color="auto" w:fill="auto"/>
            <w:noWrap/>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 xml:space="preserve">Workforce </w:t>
            </w:r>
            <w:r w:rsidR="008E6F14" w:rsidRPr="00AE49C8">
              <w:rPr>
                <w:rFonts w:eastAsia="Times New Roman"/>
                <w:b/>
                <w:bCs/>
                <w:color w:val="000000"/>
                <w:szCs w:val="24"/>
                <w:lang w:eastAsia="en-GB"/>
              </w:rPr>
              <w:t>Representation</w:t>
            </w:r>
            <w:r w:rsidRPr="00AE49C8">
              <w:rPr>
                <w:rFonts w:eastAsia="Times New Roman"/>
                <w:b/>
                <w:bCs/>
                <w:color w:val="000000"/>
                <w:szCs w:val="24"/>
                <w:lang w:eastAsia="en-GB"/>
              </w:rPr>
              <w:t xml:space="preserve"> %</w:t>
            </w:r>
          </w:p>
        </w:tc>
      </w:tr>
      <w:tr w:rsidR="009768C5" w:rsidRPr="00AE49C8" w:rsidTr="007E749F">
        <w:trPr>
          <w:cantSplit/>
          <w:trHeight w:val="312"/>
          <w:tblHeader/>
          <w:jc w:val="center"/>
        </w:trPr>
        <w:tc>
          <w:tcPr>
            <w:tcW w:w="187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Civil Partnership</w:t>
            </w:r>
          </w:p>
        </w:tc>
        <w:tc>
          <w:tcPr>
            <w:tcW w:w="151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559"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212"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212"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225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1.9%</w:t>
            </w:r>
          </w:p>
        </w:tc>
      </w:tr>
      <w:tr w:rsidR="009768C5" w:rsidRPr="00AE49C8" w:rsidTr="007E749F">
        <w:trPr>
          <w:cantSplit/>
          <w:trHeight w:val="312"/>
          <w:tblHeader/>
          <w:jc w:val="center"/>
        </w:trPr>
        <w:tc>
          <w:tcPr>
            <w:tcW w:w="187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Divorced</w:t>
            </w:r>
          </w:p>
        </w:tc>
        <w:tc>
          <w:tcPr>
            <w:tcW w:w="151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559"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1212"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212"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13%</w:t>
            </w:r>
          </w:p>
        </w:tc>
        <w:tc>
          <w:tcPr>
            <w:tcW w:w="225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4.9%</w:t>
            </w:r>
          </w:p>
        </w:tc>
      </w:tr>
      <w:tr w:rsidR="009768C5" w:rsidRPr="00AE49C8" w:rsidTr="007E749F">
        <w:trPr>
          <w:cantSplit/>
          <w:trHeight w:val="312"/>
          <w:tblHeader/>
          <w:jc w:val="center"/>
        </w:trPr>
        <w:tc>
          <w:tcPr>
            <w:tcW w:w="187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Married</w:t>
            </w:r>
          </w:p>
        </w:tc>
        <w:tc>
          <w:tcPr>
            <w:tcW w:w="151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12</w:t>
            </w:r>
          </w:p>
        </w:tc>
        <w:tc>
          <w:tcPr>
            <w:tcW w:w="1559"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40%</w:t>
            </w:r>
          </w:p>
        </w:tc>
        <w:tc>
          <w:tcPr>
            <w:tcW w:w="1212"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212"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25%</w:t>
            </w:r>
          </w:p>
        </w:tc>
        <w:tc>
          <w:tcPr>
            <w:tcW w:w="225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41.8%</w:t>
            </w:r>
          </w:p>
        </w:tc>
      </w:tr>
      <w:tr w:rsidR="009768C5" w:rsidRPr="00AE49C8" w:rsidTr="007E749F">
        <w:trPr>
          <w:cantSplit/>
          <w:trHeight w:val="312"/>
          <w:tblHeader/>
          <w:jc w:val="center"/>
        </w:trPr>
        <w:tc>
          <w:tcPr>
            <w:tcW w:w="187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Single</w:t>
            </w:r>
          </w:p>
        </w:tc>
        <w:tc>
          <w:tcPr>
            <w:tcW w:w="151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13</w:t>
            </w:r>
          </w:p>
        </w:tc>
        <w:tc>
          <w:tcPr>
            <w:tcW w:w="1559"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43%</w:t>
            </w:r>
          </w:p>
        </w:tc>
        <w:tc>
          <w:tcPr>
            <w:tcW w:w="1212"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1212"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63%</w:t>
            </w:r>
          </w:p>
        </w:tc>
        <w:tc>
          <w:tcPr>
            <w:tcW w:w="225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44.8%</w:t>
            </w:r>
          </w:p>
        </w:tc>
      </w:tr>
      <w:tr w:rsidR="009768C5" w:rsidRPr="00AE49C8" w:rsidTr="007E749F">
        <w:trPr>
          <w:cantSplit/>
          <w:trHeight w:val="312"/>
          <w:tblHeader/>
          <w:jc w:val="center"/>
        </w:trPr>
        <w:tc>
          <w:tcPr>
            <w:tcW w:w="187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Widowed</w:t>
            </w:r>
          </w:p>
        </w:tc>
        <w:tc>
          <w:tcPr>
            <w:tcW w:w="151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559"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212"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212"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225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0.6%</w:t>
            </w:r>
          </w:p>
        </w:tc>
      </w:tr>
      <w:tr w:rsidR="009768C5" w:rsidRPr="00AE49C8" w:rsidTr="007E749F">
        <w:trPr>
          <w:cantSplit/>
          <w:trHeight w:val="312"/>
          <w:tblHeader/>
          <w:jc w:val="center"/>
        </w:trPr>
        <w:tc>
          <w:tcPr>
            <w:tcW w:w="187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51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559"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7%</w:t>
            </w:r>
          </w:p>
        </w:tc>
        <w:tc>
          <w:tcPr>
            <w:tcW w:w="1212"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212"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225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4.9%</w:t>
            </w:r>
          </w:p>
        </w:tc>
      </w:tr>
      <w:tr w:rsidR="009768C5" w:rsidRPr="00AE49C8" w:rsidTr="007E749F">
        <w:trPr>
          <w:cantSplit/>
          <w:trHeight w:val="312"/>
          <w:tblHeader/>
          <w:jc w:val="center"/>
        </w:trPr>
        <w:tc>
          <w:tcPr>
            <w:tcW w:w="187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51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30</w:t>
            </w:r>
          </w:p>
        </w:tc>
        <w:tc>
          <w:tcPr>
            <w:tcW w:w="1559"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212"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8</w:t>
            </w:r>
          </w:p>
        </w:tc>
        <w:tc>
          <w:tcPr>
            <w:tcW w:w="1212"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2254" w:type="dxa"/>
            <w:tcBorders>
              <w:top w:val="nil"/>
              <w:left w:val="nil"/>
              <w:bottom w:val="nil"/>
              <w:right w:val="nil"/>
            </w:tcBorders>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r>
    </w:tbl>
    <w:p w:rsidR="003204AF" w:rsidRPr="00AE49C8" w:rsidRDefault="003204AF" w:rsidP="003204AF">
      <w:pPr>
        <w:rPr>
          <w:b/>
        </w:rPr>
      </w:pPr>
    </w:p>
    <w:p w:rsidR="003204AF" w:rsidRPr="00AE49C8" w:rsidRDefault="009768C5" w:rsidP="003204AF">
      <w:pPr>
        <w:jc w:val="center"/>
        <w:rPr>
          <w:b/>
        </w:rPr>
      </w:pPr>
      <w:r w:rsidRPr="00AE49C8">
        <w:rPr>
          <w:noProof/>
          <w:lang w:eastAsia="en-GB"/>
        </w:rPr>
        <w:drawing>
          <wp:inline distT="0" distB="0" distL="0" distR="0" wp14:anchorId="47A07A3B" wp14:editId="727E0D3C">
            <wp:extent cx="5731510" cy="2904945"/>
            <wp:effectExtent l="0" t="0" r="2540" b="0"/>
            <wp:docPr id="54" name="Chart 54" title="Capability cases broken down by marital status compared to the overall workforce represen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W w:w="11637" w:type="dxa"/>
        <w:jc w:val="center"/>
        <w:tblInd w:w="-1287" w:type="dxa"/>
        <w:tblBorders>
          <w:insideH w:val="dotted" w:sz="4" w:space="0" w:color="auto"/>
        </w:tblBorders>
        <w:tblLook w:val="04A0" w:firstRow="1" w:lastRow="0" w:firstColumn="1" w:lastColumn="0" w:noHBand="0" w:noVBand="1"/>
        <w:tblCaption w:val="Harassment, grievance and disciplinary cases broken down by marital status"/>
      </w:tblPr>
      <w:tblGrid>
        <w:gridCol w:w="1156"/>
        <w:gridCol w:w="1562"/>
        <w:gridCol w:w="1476"/>
        <w:gridCol w:w="1281"/>
        <w:gridCol w:w="1281"/>
        <w:gridCol w:w="1464"/>
        <w:gridCol w:w="1464"/>
        <w:gridCol w:w="1953"/>
      </w:tblGrid>
      <w:tr w:rsidR="009768C5" w:rsidRPr="000C64DA" w:rsidTr="000C64DA">
        <w:trPr>
          <w:cantSplit/>
          <w:trHeight w:val="312"/>
          <w:tblHeader/>
          <w:jc w:val="center"/>
        </w:trPr>
        <w:tc>
          <w:tcPr>
            <w:tcW w:w="1156" w:type="dxa"/>
            <w:shd w:val="clear" w:color="auto" w:fill="auto"/>
            <w:noWrap/>
            <w:vAlign w:val="bottom"/>
            <w:hideMark/>
          </w:tcPr>
          <w:p w:rsidR="009768C5" w:rsidRPr="000C64DA" w:rsidRDefault="009768C5" w:rsidP="009768C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Marital Status</w:t>
            </w:r>
          </w:p>
        </w:tc>
        <w:tc>
          <w:tcPr>
            <w:tcW w:w="1562" w:type="dxa"/>
            <w:shd w:val="clear" w:color="auto" w:fill="auto"/>
            <w:noWrap/>
            <w:vAlign w:val="bottom"/>
            <w:hideMark/>
          </w:tcPr>
          <w:p w:rsidR="009768C5" w:rsidRPr="000C64DA" w:rsidRDefault="008E6F14" w:rsidP="009768C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Harassment</w:t>
            </w:r>
            <w:r w:rsidR="009768C5" w:rsidRPr="000C64DA">
              <w:rPr>
                <w:rFonts w:eastAsia="Times New Roman"/>
                <w:b/>
                <w:bCs/>
                <w:color w:val="000000"/>
                <w:sz w:val="22"/>
                <w:szCs w:val="24"/>
                <w:lang w:eastAsia="en-GB"/>
              </w:rPr>
              <w:t xml:space="preserve"> Cases</w:t>
            </w:r>
          </w:p>
        </w:tc>
        <w:tc>
          <w:tcPr>
            <w:tcW w:w="1476" w:type="dxa"/>
            <w:shd w:val="clear" w:color="auto" w:fill="auto"/>
            <w:noWrap/>
            <w:vAlign w:val="bottom"/>
            <w:hideMark/>
          </w:tcPr>
          <w:p w:rsidR="009768C5" w:rsidRPr="000C64DA" w:rsidRDefault="009768C5" w:rsidP="009768C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Harassment Cases %</w:t>
            </w:r>
          </w:p>
        </w:tc>
        <w:tc>
          <w:tcPr>
            <w:tcW w:w="1281" w:type="dxa"/>
            <w:shd w:val="clear" w:color="auto" w:fill="auto"/>
            <w:noWrap/>
            <w:vAlign w:val="bottom"/>
            <w:hideMark/>
          </w:tcPr>
          <w:p w:rsidR="009768C5" w:rsidRPr="000C64DA" w:rsidRDefault="009768C5" w:rsidP="009768C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Grievance Cases</w:t>
            </w:r>
          </w:p>
        </w:tc>
        <w:tc>
          <w:tcPr>
            <w:tcW w:w="1281" w:type="dxa"/>
            <w:shd w:val="clear" w:color="auto" w:fill="auto"/>
            <w:noWrap/>
            <w:vAlign w:val="bottom"/>
            <w:hideMark/>
          </w:tcPr>
          <w:p w:rsidR="009768C5" w:rsidRPr="000C64DA" w:rsidRDefault="009768C5" w:rsidP="009768C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Grievance Cases %</w:t>
            </w:r>
          </w:p>
        </w:tc>
        <w:tc>
          <w:tcPr>
            <w:tcW w:w="1464" w:type="dxa"/>
            <w:shd w:val="clear" w:color="auto" w:fill="auto"/>
            <w:noWrap/>
            <w:vAlign w:val="bottom"/>
            <w:hideMark/>
          </w:tcPr>
          <w:p w:rsidR="009768C5" w:rsidRPr="000C64DA" w:rsidRDefault="009768C5" w:rsidP="009768C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Disciplinary Cases</w:t>
            </w:r>
          </w:p>
        </w:tc>
        <w:tc>
          <w:tcPr>
            <w:tcW w:w="1464" w:type="dxa"/>
            <w:shd w:val="clear" w:color="auto" w:fill="auto"/>
            <w:noWrap/>
            <w:vAlign w:val="bottom"/>
            <w:hideMark/>
          </w:tcPr>
          <w:p w:rsidR="009768C5" w:rsidRPr="000C64DA" w:rsidRDefault="009768C5" w:rsidP="009768C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Disciplinary Cases %</w:t>
            </w:r>
          </w:p>
        </w:tc>
        <w:tc>
          <w:tcPr>
            <w:tcW w:w="1953" w:type="dxa"/>
            <w:shd w:val="clear" w:color="auto" w:fill="auto"/>
            <w:noWrap/>
            <w:vAlign w:val="bottom"/>
            <w:hideMark/>
          </w:tcPr>
          <w:p w:rsidR="009768C5" w:rsidRPr="000C64DA" w:rsidRDefault="009768C5" w:rsidP="009768C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 xml:space="preserve">Workforce </w:t>
            </w:r>
            <w:r w:rsidR="008E6F14" w:rsidRPr="000C64DA">
              <w:rPr>
                <w:rFonts w:eastAsia="Times New Roman"/>
                <w:b/>
                <w:bCs/>
                <w:color w:val="000000"/>
                <w:sz w:val="22"/>
                <w:szCs w:val="24"/>
                <w:lang w:eastAsia="en-GB"/>
              </w:rPr>
              <w:t>Representation</w:t>
            </w:r>
            <w:r w:rsidRPr="000C64DA">
              <w:rPr>
                <w:rFonts w:eastAsia="Times New Roman"/>
                <w:b/>
                <w:bCs/>
                <w:color w:val="000000"/>
                <w:sz w:val="22"/>
                <w:szCs w:val="24"/>
                <w:lang w:eastAsia="en-GB"/>
              </w:rPr>
              <w:t xml:space="preserve"> %</w:t>
            </w:r>
          </w:p>
        </w:tc>
      </w:tr>
      <w:tr w:rsidR="009768C5" w:rsidRPr="000C64DA" w:rsidTr="000C64DA">
        <w:trPr>
          <w:cantSplit/>
          <w:trHeight w:val="312"/>
          <w:tblHeader/>
          <w:jc w:val="center"/>
        </w:trPr>
        <w:tc>
          <w:tcPr>
            <w:tcW w:w="1156"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Divorced</w:t>
            </w:r>
          </w:p>
        </w:tc>
        <w:tc>
          <w:tcPr>
            <w:tcW w:w="1562"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476"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25.0%</w:t>
            </w:r>
          </w:p>
        </w:tc>
        <w:tc>
          <w:tcPr>
            <w:tcW w:w="1281"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281"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11.1%</w:t>
            </w:r>
          </w:p>
        </w:tc>
        <w:tc>
          <w:tcPr>
            <w:tcW w:w="1464"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464"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4.3%</w:t>
            </w:r>
          </w:p>
        </w:tc>
        <w:tc>
          <w:tcPr>
            <w:tcW w:w="1953"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4.9%</w:t>
            </w:r>
          </w:p>
        </w:tc>
      </w:tr>
      <w:tr w:rsidR="009768C5" w:rsidRPr="000C64DA" w:rsidTr="000C64DA">
        <w:trPr>
          <w:cantSplit/>
          <w:trHeight w:val="312"/>
          <w:tblHeader/>
          <w:jc w:val="center"/>
        </w:trPr>
        <w:tc>
          <w:tcPr>
            <w:tcW w:w="1156"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Married</w:t>
            </w:r>
          </w:p>
        </w:tc>
        <w:tc>
          <w:tcPr>
            <w:tcW w:w="1562"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3</w:t>
            </w:r>
          </w:p>
        </w:tc>
        <w:tc>
          <w:tcPr>
            <w:tcW w:w="1476"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75.0%</w:t>
            </w:r>
          </w:p>
        </w:tc>
        <w:tc>
          <w:tcPr>
            <w:tcW w:w="1281"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w:t>
            </w:r>
          </w:p>
        </w:tc>
        <w:tc>
          <w:tcPr>
            <w:tcW w:w="1281"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44.4%</w:t>
            </w:r>
          </w:p>
        </w:tc>
        <w:tc>
          <w:tcPr>
            <w:tcW w:w="1464"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10</w:t>
            </w:r>
          </w:p>
        </w:tc>
        <w:tc>
          <w:tcPr>
            <w:tcW w:w="1464"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43.5%</w:t>
            </w:r>
          </w:p>
        </w:tc>
        <w:tc>
          <w:tcPr>
            <w:tcW w:w="1953"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41.8%</w:t>
            </w:r>
          </w:p>
        </w:tc>
      </w:tr>
      <w:tr w:rsidR="009768C5" w:rsidRPr="000C64DA" w:rsidTr="000C64DA">
        <w:trPr>
          <w:cantSplit/>
          <w:trHeight w:val="312"/>
          <w:tblHeader/>
          <w:jc w:val="center"/>
        </w:trPr>
        <w:tc>
          <w:tcPr>
            <w:tcW w:w="1156"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Single</w:t>
            </w:r>
          </w:p>
        </w:tc>
        <w:tc>
          <w:tcPr>
            <w:tcW w:w="1562"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w:t>
            </w:r>
          </w:p>
        </w:tc>
        <w:tc>
          <w:tcPr>
            <w:tcW w:w="1476"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0.0%</w:t>
            </w:r>
          </w:p>
        </w:tc>
        <w:tc>
          <w:tcPr>
            <w:tcW w:w="1281"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3</w:t>
            </w:r>
          </w:p>
        </w:tc>
        <w:tc>
          <w:tcPr>
            <w:tcW w:w="1281"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33.3%</w:t>
            </w:r>
          </w:p>
        </w:tc>
        <w:tc>
          <w:tcPr>
            <w:tcW w:w="1464"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11</w:t>
            </w:r>
          </w:p>
        </w:tc>
        <w:tc>
          <w:tcPr>
            <w:tcW w:w="1464"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47.8%</w:t>
            </w:r>
          </w:p>
        </w:tc>
        <w:tc>
          <w:tcPr>
            <w:tcW w:w="1953"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44.8%</w:t>
            </w:r>
          </w:p>
        </w:tc>
      </w:tr>
      <w:tr w:rsidR="009768C5" w:rsidRPr="000C64DA" w:rsidTr="000C64DA">
        <w:trPr>
          <w:cantSplit/>
          <w:trHeight w:val="312"/>
          <w:tblHeader/>
          <w:jc w:val="center"/>
        </w:trPr>
        <w:tc>
          <w:tcPr>
            <w:tcW w:w="1156"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Unknown</w:t>
            </w:r>
          </w:p>
        </w:tc>
        <w:tc>
          <w:tcPr>
            <w:tcW w:w="1562"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w:t>
            </w:r>
          </w:p>
        </w:tc>
        <w:tc>
          <w:tcPr>
            <w:tcW w:w="1476"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0.0%</w:t>
            </w:r>
          </w:p>
        </w:tc>
        <w:tc>
          <w:tcPr>
            <w:tcW w:w="1281"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281"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11.1%</w:t>
            </w:r>
          </w:p>
        </w:tc>
        <w:tc>
          <w:tcPr>
            <w:tcW w:w="1464"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464"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4.3%</w:t>
            </w:r>
          </w:p>
        </w:tc>
        <w:tc>
          <w:tcPr>
            <w:tcW w:w="1953"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4.9%</w:t>
            </w:r>
          </w:p>
        </w:tc>
      </w:tr>
      <w:tr w:rsidR="009768C5" w:rsidRPr="000C64DA" w:rsidTr="000C64DA">
        <w:trPr>
          <w:cantSplit/>
          <w:trHeight w:val="312"/>
          <w:tblHeader/>
          <w:jc w:val="center"/>
        </w:trPr>
        <w:tc>
          <w:tcPr>
            <w:tcW w:w="1156" w:type="dxa"/>
            <w:shd w:val="clear" w:color="auto" w:fill="auto"/>
            <w:noWrap/>
            <w:vAlign w:val="bottom"/>
            <w:hideMark/>
          </w:tcPr>
          <w:p w:rsidR="009768C5" w:rsidRPr="000C64DA" w:rsidRDefault="009768C5" w:rsidP="009768C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Total</w:t>
            </w:r>
          </w:p>
        </w:tc>
        <w:tc>
          <w:tcPr>
            <w:tcW w:w="1562" w:type="dxa"/>
            <w:shd w:val="clear" w:color="auto" w:fill="auto"/>
            <w:noWrap/>
            <w:vAlign w:val="bottom"/>
            <w:hideMark/>
          </w:tcPr>
          <w:p w:rsidR="009768C5" w:rsidRPr="000C64DA" w:rsidRDefault="009768C5" w:rsidP="009768C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4</w:t>
            </w:r>
          </w:p>
        </w:tc>
        <w:tc>
          <w:tcPr>
            <w:tcW w:w="1476" w:type="dxa"/>
            <w:shd w:val="clear" w:color="auto" w:fill="auto"/>
            <w:noWrap/>
            <w:vAlign w:val="bottom"/>
            <w:hideMark/>
          </w:tcPr>
          <w:p w:rsidR="009768C5" w:rsidRPr="000C64DA" w:rsidRDefault="009768C5" w:rsidP="009768C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100.0%</w:t>
            </w:r>
          </w:p>
        </w:tc>
        <w:tc>
          <w:tcPr>
            <w:tcW w:w="1281" w:type="dxa"/>
            <w:shd w:val="clear" w:color="auto" w:fill="auto"/>
            <w:noWrap/>
            <w:vAlign w:val="bottom"/>
            <w:hideMark/>
          </w:tcPr>
          <w:p w:rsidR="009768C5" w:rsidRPr="000C64DA" w:rsidRDefault="009768C5" w:rsidP="009768C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9</w:t>
            </w:r>
          </w:p>
        </w:tc>
        <w:tc>
          <w:tcPr>
            <w:tcW w:w="1281" w:type="dxa"/>
            <w:shd w:val="clear" w:color="auto" w:fill="auto"/>
            <w:noWrap/>
            <w:vAlign w:val="bottom"/>
            <w:hideMark/>
          </w:tcPr>
          <w:p w:rsidR="009768C5" w:rsidRPr="000C64DA" w:rsidRDefault="009768C5" w:rsidP="009768C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100.0%</w:t>
            </w:r>
          </w:p>
        </w:tc>
        <w:tc>
          <w:tcPr>
            <w:tcW w:w="1464" w:type="dxa"/>
            <w:shd w:val="clear" w:color="auto" w:fill="auto"/>
            <w:noWrap/>
            <w:vAlign w:val="bottom"/>
            <w:hideMark/>
          </w:tcPr>
          <w:p w:rsidR="009768C5" w:rsidRPr="000C64DA" w:rsidRDefault="009768C5" w:rsidP="009768C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23</w:t>
            </w:r>
          </w:p>
        </w:tc>
        <w:tc>
          <w:tcPr>
            <w:tcW w:w="1464" w:type="dxa"/>
            <w:shd w:val="clear" w:color="auto" w:fill="auto"/>
            <w:noWrap/>
            <w:vAlign w:val="bottom"/>
            <w:hideMark/>
          </w:tcPr>
          <w:p w:rsidR="009768C5" w:rsidRPr="000C64DA" w:rsidRDefault="009768C5" w:rsidP="009768C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100.0%</w:t>
            </w:r>
          </w:p>
        </w:tc>
        <w:tc>
          <w:tcPr>
            <w:tcW w:w="1953" w:type="dxa"/>
            <w:shd w:val="clear" w:color="auto" w:fill="auto"/>
            <w:noWrap/>
            <w:vAlign w:val="bottom"/>
            <w:hideMark/>
          </w:tcPr>
          <w:p w:rsidR="009768C5" w:rsidRPr="000C64DA" w:rsidRDefault="009768C5" w:rsidP="009768C5">
            <w:pPr>
              <w:spacing w:after="0" w:line="240" w:lineRule="auto"/>
              <w:rPr>
                <w:rFonts w:eastAsia="Times New Roman"/>
                <w:color w:val="000000"/>
                <w:sz w:val="22"/>
                <w:szCs w:val="24"/>
                <w:lang w:eastAsia="en-GB"/>
              </w:rPr>
            </w:pPr>
          </w:p>
        </w:tc>
      </w:tr>
    </w:tbl>
    <w:p w:rsidR="003204AF" w:rsidRPr="00AE49C8" w:rsidRDefault="003204AF" w:rsidP="003204AF">
      <w:pPr>
        <w:jc w:val="center"/>
        <w:rPr>
          <w:b/>
        </w:rPr>
      </w:pPr>
    </w:p>
    <w:p w:rsidR="003204AF" w:rsidRPr="00AE49C8" w:rsidRDefault="009768C5" w:rsidP="009768C5">
      <w:pPr>
        <w:rPr>
          <w:b/>
        </w:rPr>
      </w:pPr>
      <w:r w:rsidRPr="00AE49C8">
        <w:rPr>
          <w:noProof/>
          <w:lang w:eastAsia="en-GB"/>
        </w:rPr>
        <w:lastRenderedPageBreak/>
        <w:drawing>
          <wp:inline distT="0" distB="0" distL="0" distR="0" wp14:anchorId="68CEB4E6" wp14:editId="5CFED05E">
            <wp:extent cx="5731510" cy="2521007"/>
            <wp:effectExtent l="0" t="0" r="2540" b="0"/>
            <wp:docPr id="55" name="Chart 55" title="Harassment, grievance and disciplinary cases broken down by marital status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204AF" w:rsidRPr="00AE49C8" w:rsidRDefault="003204AF" w:rsidP="003204AF">
      <w:pPr>
        <w:jc w:val="center"/>
        <w:rPr>
          <w:b/>
        </w:rPr>
      </w:pPr>
    </w:p>
    <w:tbl>
      <w:tblPr>
        <w:tblW w:w="9816" w:type="dxa"/>
        <w:jc w:val="center"/>
        <w:tblBorders>
          <w:insideH w:val="dotted" w:sz="4" w:space="0" w:color="auto"/>
        </w:tblBorders>
        <w:tblLook w:val="04A0" w:firstRow="1" w:lastRow="0" w:firstColumn="1" w:lastColumn="0" w:noHBand="0" w:noVBand="1"/>
        <w:tblCaption w:val="Dismissal cases broken down by marital status"/>
      </w:tblPr>
      <w:tblGrid>
        <w:gridCol w:w="1217"/>
        <w:gridCol w:w="1471"/>
        <w:gridCol w:w="1598"/>
        <w:gridCol w:w="1764"/>
        <w:gridCol w:w="1940"/>
        <w:gridCol w:w="2117"/>
      </w:tblGrid>
      <w:tr w:rsidR="009768C5" w:rsidRPr="00AE49C8" w:rsidTr="000C64DA">
        <w:trPr>
          <w:cantSplit/>
          <w:trHeight w:val="312"/>
          <w:tblHeader/>
          <w:jc w:val="center"/>
        </w:trPr>
        <w:tc>
          <w:tcPr>
            <w:tcW w:w="1156" w:type="dxa"/>
            <w:shd w:val="clear" w:color="auto" w:fill="auto"/>
            <w:noWrap/>
            <w:hideMark/>
          </w:tcPr>
          <w:p w:rsidR="009768C5" w:rsidRPr="00AE49C8" w:rsidRDefault="009768C5" w:rsidP="000C64DA">
            <w:pPr>
              <w:spacing w:after="0" w:line="240" w:lineRule="auto"/>
              <w:rPr>
                <w:rFonts w:eastAsia="Times New Roman"/>
                <w:b/>
                <w:bCs/>
                <w:color w:val="000000"/>
                <w:szCs w:val="24"/>
                <w:lang w:eastAsia="en-GB"/>
              </w:rPr>
            </w:pPr>
            <w:r w:rsidRPr="00AE49C8">
              <w:rPr>
                <w:rFonts w:eastAsia="Times New Roman"/>
                <w:b/>
                <w:bCs/>
                <w:color w:val="000000"/>
                <w:szCs w:val="24"/>
                <w:lang w:eastAsia="en-GB"/>
              </w:rPr>
              <w:t>Marital Status</w:t>
            </w:r>
          </w:p>
        </w:tc>
        <w:tc>
          <w:tcPr>
            <w:tcW w:w="1241" w:type="dxa"/>
            <w:shd w:val="clear" w:color="auto" w:fill="auto"/>
            <w:noWrap/>
            <w:hideMark/>
          </w:tcPr>
          <w:p w:rsidR="009768C5" w:rsidRPr="00AE49C8" w:rsidRDefault="009768C5" w:rsidP="000C64DA">
            <w:pPr>
              <w:spacing w:after="0" w:line="240" w:lineRule="auto"/>
              <w:rPr>
                <w:rFonts w:eastAsia="Times New Roman"/>
                <w:b/>
                <w:bCs/>
                <w:color w:val="000000"/>
                <w:szCs w:val="24"/>
                <w:lang w:eastAsia="en-GB"/>
              </w:rPr>
            </w:pPr>
            <w:r w:rsidRPr="00AE49C8">
              <w:rPr>
                <w:rFonts w:eastAsia="Times New Roman"/>
                <w:b/>
                <w:bCs/>
                <w:color w:val="000000"/>
                <w:szCs w:val="24"/>
                <w:lang w:eastAsia="en-GB"/>
              </w:rPr>
              <w:t xml:space="preserve">All Dismissals </w:t>
            </w:r>
          </w:p>
        </w:tc>
        <w:tc>
          <w:tcPr>
            <w:tcW w:w="1598" w:type="dxa"/>
            <w:shd w:val="clear" w:color="auto" w:fill="auto"/>
            <w:noWrap/>
            <w:hideMark/>
          </w:tcPr>
          <w:p w:rsidR="009768C5" w:rsidRPr="00AE49C8" w:rsidRDefault="009768C5" w:rsidP="000C64DA">
            <w:pPr>
              <w:spacing w:after="0" w:line="240" w:lineRule="auto"/>
              <w:rPr>
                <w:rFonts w:eastAsia="Times New Roman"/>
                <w:b/>
                <w:bCs/>
                <w:color w:val="000000"/>
                <w:szCs w:val="24"/>
                <w:lang w:eastAsia="en-GB"/>
              </w:rPr>
            </w:pPr>
            <w:r w:rsidRPr="00AE49C8">
              <w:rPr>
                <w:rFonts w:eastAsia="Times New Roman"/>
                <w:b/>
                <w:bCs/>
                <w:color w:val="000000"/>
                <w:szCs w:val="24"/>
                <w:lang w:eastAsia="en-GB"/>
              </w:rPr>
              <w:t>All Dismissals %</w:t>
            </w:r>
          </w:p>
        </w:tc>
        <w:tc>
          <w:tcPr>
            <w:tcW w:w="1764" w:type="dxa"/>
            <w:shd w:val="clear" w:color="auto" w:fill="auto"/>
            <w:noWrap/>
            <w:hideMark/>
          </w:tcPr>
          <w:p w:rsidR="009768C5" w:rsidRPr="00AE49C8" w:rsidRDefault="009768C5" w:rsidP="000C64DA">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Dismissals (Sickness only)</w:t>
            </w:r>
          </w:p>
        </w:tc>
        <w:tc>
          <w:tcPr>
            <w:tcW w:w="1940" w:type="dxa"/>
            <w:shd w:val="clear" w:color="auto" w:fill="auto"/>
            <w:noWrap/>
            <w:hideMark/>
          </w:tcPr>
          <w:p w:rsidR="009768C5" w:rsidRPr="00AE49C8" w:rsidRDefault="009768C5" w:rsidP="000C64DA">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Dismissals (Sickness only) %</w:t>
            </w:r>
          </w:p>
        </w:tc>
        <w:tc>
          <w:tcPr>
            <w:tcW w:w="2117" w:type="dxa"/>
            <w:shd w:val="clear" w:color="auto" w:fill="auto"/>
            <w:noWrap/>
            <w:hideMark/>
          </w:tcPr>
          <w:p w:rsidR="009768C5" w:rsidRPr="00AE49C8" w:rsidRDefault="009768C5" w:rsidP="000C64DA">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Representation %</w:t>
            </w:r>
          </w:p>
        </w:tc>
      </w:tr>
      <w:tr w:rsidR="009768C5" w:rsidRPr="00AE49C8" w:rsidTr="007E749F">
        <w:trPr>
          <w:cantSplit/>
          <w:trHeight w:val="312"/>
          <w:tblHeader/>
          <w:jc w:val="center"/>
        </w:trPr>
        <w:tc>
          <w:tcPr>
            <w:tcW w:w="1156"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Married</w:t>
            </w:r>
          </w:p>
        </w:tc>
        <w:tc>
          <w:tcPr>
            <w:tcW w:w="1241"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9</w:t>
            </w:r>
          </w:p>
        </w:tc>
        <w:tc>
          <w:tcPr>
            <w:tcW w:w="159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52.9%</w:t>
            </w:r>
          </w:p>
        </w:tc>
        <w:tc>
          <w:tcPr>
            <w:tcW w:w="176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7</w:t>
            </w:r>
          </w:p>
        </w:tc>
        <w:tc>
          <w:tcPr>
            <w:tcW w:w="19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53.8%</w:t>
            </w:r>
          </w:p>
        </w:tc>
        <w:tc>
          <w:tcPr>
            <w:tcW w:w="21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41.8%</w:t>
            </w:r>
          </w:p>
        </w:tc>
      </w:tr>
      <w:tr w:rsidR="009768C5" w:rsidRPr="00AE49C8" w:rsidTr="007E749F">
        <w:trPr>
          <w:cantSplit/>
          <w:trHeight w:val="312"/>
          <w:tblHeader/>
          <w:jc w:val="center"/>
        </w:trPr>
        <w:tc>
          <w:tcPr>
            <w:tcW w:w="1156"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Single</w:t>
            </w:r>
          </w:p>
        </w:tc>
        <w:tc>
          <w:tcPr>
            <w:tcW w:w="1241"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7</w:t>
            </w:r>
          </w:p>
        </w:tc>
        <w:tc>
          <w:tcPr>
            <w:tcW w:w="159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41.2%</w:t>
            </w:r>
          </w:p>
        </w:tc>
        <w:tc>
          <w:tcPr>
            <w:tcW w:w="176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19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38.5%</w:t>
            </w:r>
          </w:p>
        </w:tc>
        <w:tc>
          <w:tcPr>
            <w:tcW w:w="21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44.8%</w:t>
            </w:r>
          </w:p>
        </w:tc>
      </w:tr>
      <w:tr w:rsidR="009768C5" w:rsidRPr="00AE49C8" w:rsidTr="007E749F">
        <w:trPr>
          <w:cantSplit/>
          <w:trHeight w:val="312"/>
          <w:tblHeader/>
          <w:jc w:val="center"/>
        </w:trPr>
        <w:tc>
          <w:tcPr>
            <w:tcW w:w="1156"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241"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598"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5.9%</w:t>
            </w:r>
          </w:p>
        </w:tc>
        <w:tc>
          <w:tcPr>
            <w:tcW w:w="1764"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940"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7.7%</w:t>
            </w:r>
          </w:p>
        </w:tc>
        <w:tc>
          <w:tcPr>
            <w:tcW w:w="21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4.9%</w:t>
            </w:r>
          </w:p>
        </w:tc>
      </w:tr>
      <w:tr w:rsidR="009768C5" w:rsidRPr="00AE49C8" w:rsidTr="007E749F">
        <w:trPr>
          <w:cantSplit/>
          <w:trHeight w:val="312"/>
          <w:tblHeader/>
          <w:jc w:val="center"/>
        </w:trPr>
        <w:tc>
          <w:tcPr>
            <w:tcW w:w="1156" w:type="dxa"/>
            <w:shd w:val="clear" w:color="auto" w:fill="auto"/>
            <w:noWrap/>
            <w:vAlign w:val="bottom"/>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241" w:type="dxa"/>
            <w:shd w:val="clear" w:color="auto" w:fill="auto"/>
            <w:noWrap/>
            <w:vAlign w:val="bottom"/>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17</w:t>
            </w:r>
          </w:p>
        </w:tc>
        <w:tc>
          <w:tcPr>
            <w:tcW w:w="1598" w:type="dxa"/>
            <w:shd w:val="clear" w:color="auto" w:fill="auto"/>
            <w:noWrap/>
            <w:vAlign w:val="bottom"/>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764" w:type="dxa"/>
            <w:shd w:val="clear" w:color="auto" w:fill="auto"/>
            <w:noWrap/>
            <w:vAlign w:val="bottom"/>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13</w:t>
            </w:r>
          </w:p>
        </w:tc>
        <w:tc>
          <w:tcPr>
            <w:tcW w:w="1940" w:type="dxa"/>
            <w:shd w:val="clear" w:color="auto" w:fill="auto"/>
            <w:noWrap/>
            <w:vAlign w:val="bottom"/>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21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r>
    </w:tbl>
    <w:p w:rsidR="003204AF" w:rsidRPr="00AE49C8" w:rsidRDefault="003204AF" w:rsidP="003204AF">
      <w:pPr>
        <w:rPr>
          <w:b/>
        </w:rPr>
      </w:pPr>
    </w:p>
    <w:p w:rsidR="003204AF" w:rsidRPr="00AE49C8" w:rsidRDefault="009768C5" w:rsidP="003204AF">
      <w:pPr>
        <w:jc w:val="center"/>
        <w:rPr>
          <w:b/>
        </w:rPr>
      </w:pPr>
      <w:r w:rsidRPr="00AE49C8">
        <w:rPr>
          <w:noProof/>
          <w:lang w:eastAsia="en-GB"/>
        </w:rPr>
        <w:drawing>
          <wp:inline distT="0" distB="0" distL="0" distR="0" wp14:anchorId="368C86CF" wp14:editId="481C72D0">
            <wp:extent cx="5731510" cy="2904945"/>
            <wp:effectExtent l="0" t="0" r="2540" b="0"/>
            <wp:docPr id="263" name="Chart 263" title="Dismissal cases broken down by marital status compared to the overall workforce represen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204AF" w:rsidRPr="000D2F61" w:rsidRDefault="003204AF" w:rsidP="003204AF">
      <w:r w:rsidRPr="000D2F61">
        <w:t>Observations</w:t>
      </w:r>
    </w:p>
    <w:p w:rsidR="007E749F" w:rsidRPr="00AE49C8" w:rsidRDefault="007E749F" w:rsidP="003204AF">
      <w:r w:rsidRPr="00AE49C8">
        <w:t>Compared to the overall workforce representation</w:t>
      </w:r>
    </w:p>
    <w:p w:rsidR="003204AF" w:rsidRPr="00AE49C8" w:rsidRDefault="007E749F" w:rsidP="007E749F">
      <w:pPr>
        <w:pStyle w:val="ListParagraph"/>
      </w:pPr>
      <w:r w:rsidRPr="00AE49C8">
        <w:lastRenderedPageBreak/>
        <w:t>Within capability (non-underlying reasons), staff in a civil partnership have a higher representation, but married staff have broadly proportion representation.</w:t>
      </w:r>
    </w:p>
    <w:p w:rsidR="007E749F" w:rsidRPr="00AE49C8" w:rsidRDefault="007E749F" w:rsidP="007E749F">
      <w:pPr>
        <w:pStyle w:val="ListParagraph"/>
      </w:pPr>
      <w:r w:rsidRPr="00AE49C8">
        <w:t>For capability (underlying health reasons), staff in a civil; partnership are not represented, and married staff have a lower representation</w:t>
      </w:r>
    </w:p>
    <w:p w:rsidR="007E749F" w:rsidRPr="00AE49C8" w:rsidRDefault="007E749F" w:rsidP="007E749F">
      <w:pPr>
        <w:pStyle w:val="ListParagraph"/>
      </w:pPr>
      <w:r w:rsidRPr="00AE49C8">
        <w:t>Staff in a civil partnership have no representation in harassment, grievance or disciplinary processes.</w:t>
      </w:r>
    </w:p>
    <w:p w:rsidR="007E749F" w:rsidRPr="00AE49C8" w:rsidRDefault="007E749F" w:rsidP="007E749F">
      <w:pPr>
        <w:pStyle w:val="ListParagraph"/>
      </w:pPr>
      <w:r w:rsidRPr="00AE49C8">
        <w:t>Married staff have a high representation in harassment cases, and there is a slightly higher (but broadly similar) representation in grievance and disciplinary cases.</w:t>
      </w:r>
    </w:p>
    <w:p w:rsidR="007E749F" w:rsidRPr="00AE49C8" w:rsidRDefault="007E749F" w:rsidP="007E749F">
      <w:pPr>
        <w:pStyle w:val="ListParagraph"/>
      </w:pPr>
      <w:r w:rsidRPr="00AE49C8">
        <w:t>Staff in a civil partnership have no representation in dismissals; married staff have a high representation.</w:t>
      </w:r>
    </w:p>
    <w:p w:rsidR="003204AF" w:rsidRPr="00AE49C8" w:rsidRDefault="003204AF" w:rsidP="003204AF">
      <w:pPr>
        <w:rPr>
          <w:b/>
        </w:rPr>
      </w:pPr>
      <w:r w:rsidRPr="00AE49C8">
        <w:rPr>
          <w:b/>
        </w:rPr>
        <w:t>WSHT</w:t>
      </w:r>
    </w:p>
    <w:tbl>
      <w:tblPr>
        <w:tblW w:w="9526" w:type="dxa"/>
        <w:jc w:val="center"/>
        <w:tblBorders>
          <w:insideH w:val="dotted" w:sz="4" w:space="0" w:color="auto"/>
        </w:tblBorders>
        <w:tblLook w:val="04A0" w:firstRow="1" w:lastRow="0" w:firstColumn="1" w:lastColumn="0" w:noHBand="0" w:noVBand="1"/>
        <w:tblCaption w:val="Grievance and disciplinary cases broken down by marital status"/>
      </w:tblPr>
      <w:tblGrid>
        <w:gridCol w:w="2327"/>
        <w:gridCol w:w="1377"/>
        <w:gridCol w:w="1377"/>
        <w:gridCol w:w="1577"/>
        <w:gridCol w:w="1577"/>
        <w:gridCol w:w="2015"/>
      </w:tblGrid>
      <w:tr w:rsidR="009768C5" w:rsidRPr="00AE49C8" w:rsidTr="007E749F">
        <w:trPr>
          <w:cantSplit/>
          <w:trHeight w:val="312"/>
          <w:tblHeader/>
          <w:jc w:val="center"/>
        </w:trPr>
        <w:tc>
          <w:tcPr>
            <w:tcW w:w="2327" w:type="dxa"/>
            <w:shd w:val="clear" w:color="auto" w:fill="auto"/>
            <w:noWrap/>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Marital Status</w:t>
            </w:r>
          </w:p>
        </w:tc>
        <w:tc>
          <w:tcPr>
            <w:tcW w:w="1217" w:type="dxa"/>
            <w:shd w:val="clear" w:color="auto" w:fill="auto"/>
            <w:noWrap/>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Grievance Cases</w:t>
            </w:r>
          </w:p>
        </w:tc>
        <w:tc>
          <w:tcPr>
            <w:tcW w:w="1217" w:type="dxa"/>
            <w:shd w:val="clear" w:color="auto" w:fill="auto"/>
            <w:noWrap/>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Grievance Cases %</w:t>
            </w:r>
          </w:p>
        </w:tc>
        <w:tc>
          <w:tcPr>
            <w:tcW w:w="1375" w:type="dxa"/>
            <w:shd w:val="clear" w:color="auto" w:fill="auto"/>
            <w:noWrap/>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Disciplinary Cases</w:t>
            </w:r>
          </w:p>
        </w:tc>
        <w:tc>
          <w:tcPr>
            <w:tcW w:w="1375" w:type="dxa"/>
            <w:shd w:val="clear" w:color="auto" w:fill="auto"/>
            <w:noWrap/>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Disciplinary Cases %</w:t>
            </w:r>
          </w:p>
        </w:tc>
        <w:tc>
          <w:tcPr>
            <w:tcW w:w="2015" w:type="dxa"/>
            <w:shd w:val="clear" w:color="auto" w:fill="auto"/>
            <w:noWrap/>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w:t>
            </w:r>
            <w:r w:rsidR="007E749F" w:rsidRPr="00AE49C8">
              <w:rPr>
                <w:rFonts w:eastAsia="Times New Roman"/>
                <w:b/>
                <w:bCs/>
                <w:color w:val="000000"/>
                <w:szCs w:val="24"/>
                <w:lang w:eastAsia="en-GB"/>
              </w:rPr>
              <w:t>t</w:t>
            </w:r>
            <w:r w:rsidRPr="00AE49C8">
              <w:rPr>
                <w:rFonts w:eastAsia="Times New Roman"/>
                <w:b/>
                <w:bCs/>
                <w:color w:val="000000"/>
                <w:szCs w:val="24"/>
                <w:lang w:eastAsia="en-GB"/>
              </w:rPr>
              <w:t>ation %</w:t>
            </w:r>
          </w:p>
        </w:tc>
      </w:tr>
      <w:tr w:rsidR="009768C5" w:rsidRPr="00AE49C8" w:rsidTr="007E749F">
        <w:trPr>
          <w:cantSplit/>
          <w:trHeight w:val="312"/>
          <w:tblHeader/>
          <w:jc w:val="center"/>
        </w:trPr>
        <w:tc>
          <w:tcPr>
            <w:tcW w:w="232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Civil Partnership</w:t>
            </w:r>
          </w:p>
        </w:tc>
        <w:tc>
          <w:tcPr>
            <w:tcW w:w="12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2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7.1%</w:t>
            </w:r>
          </w:p>
        </w:tc>
        <w:tc>
          <w:tcPr>
            <w:tcW w:w="137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c>
          <w:tcPr>
            <w:tcW w:w="137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c>
          <w:tcPr>
            <w:tcW w:w="201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1.1%</w:t>
            </w:r>
          </w:p>
        </w:tc>
      </w:tr>
      <w:tr w:rsidR="009768C5" w:rsidRPr="00AE49C8" w:rsidTr="007E749F">
        <w:trPr>
          <w:cantSplit/>
          <w:trHeight w:val="312"/>
          <w:tblHeader/>
          <w:jc w:val="center"/>
        </w:trPr>
        <w:tc>
          <w:tcPr>
            <w:tcW w:w="232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Divorced</w:t>
            </w:r>
          </w:p>
        </w:tc>
        <w:tc>
          <w:tcPr>
            <w:tcW w:w="12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2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c>
          <w:tcPr>
            <w:tcW w:w="137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137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9.4%</w:t>
            </w:r>
          </w:p>
        </w:tc>
        <w:tc>
          <w:tcPr>
            <w:tcW w:w="201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6.2%</w:t>
            </w:r>
          </w:p>
        </w:tc>
      </w:tr>
      <w:tr w:rsidR="009768C5" w:rsidRPr="00AE49C8" w:rsidTr="007E749F">
        <w:trPr>
          <w:cantSplit/>
          <w:trHeight w:val="312"/>
          <w:tblHeader/>
          <w:jc w:val="center"/>
        </w:trPr>
        <w:tc>
          <w:tcPr>
            <w:tcW w:w="232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Legally Separated</w:t>
            </w:r>
          </w:p>
        </w:tc>
        <w:tc>
          <w:tcPr>
            <w:tcW w:w="12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2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3.6%</w:t>
            </w:r>
          </w:p>
        </w:tc>
        <w:tc>
          <w:tcPr>
            <w:tcW w:w="137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37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1.9%</w:t>
            </w:r>
          </w:p>
        </w:tc>
        <w:tc>
          <w:tcPr>
            <w:tcW w:w="201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1.2%</w:t>
            </w:r>
          </w:p>
        </w:tc>
      </w:tr>
      <w:tr w:rsidR="009768C5" w:rsidRPr="00AE49C8" w:rsidTr="007E749F">
        <w:trPr>
          <w:cantSplit/>
          <w:trHeight w:val="312"/>
          <w:tblHeader/>
          <w:jc w:val="center"/>
        </w:trPr>
        <w:tc>
          <w:tcPr>
            <w:tcW w:w="232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Married</w:t>
            </w:r>
          </w:p>
        </w:tc>
        <w:tc>
          <w:tcPr>
            <w:tcW w:w="12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16</w:t>
            </w:r>
          </w:p>
        </w:tc>
        <w:tc>
          <w:tcPr>
            <w:tcW w:w="12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57.1%</w:t>
            </w:r>
          </w:p>
        </w:tc>
        <w:tc>
          <w:tcPr>
            <w:tcW w:w="137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24</w:t>
            </w:r>
          </w:p>
        </w:tc>
        <w:tc>
          <w:tcPr>
            <w:tcW w:w="137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45.3%</w:t>
            </w:r>
          </w:p>
        </w:tc>
        <w:tc>
          <w:tcPr>
            <w:tcW w:w="201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51.2%</w:t>
            </w:r>
          </w:p>
        </w:tc>
      </w:tr>
      <w:tr w:rsidR="009768C5" w:rsidRPr="00AE49C8" w:rsidTr="007E749F">
        <w:trPr>
          <w:cantSplit/>
          <w:trHeight w:val="312"/>
          <w:tblHeader/>
          <w:jc w:val="center"/>
        </w:trPr>
        <w:tc>
          <w:tcPr>
            <w:tcW w:w="232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Single</w:t>
            </w:r>
          </w:p>
        </w:tc>
        <w:tc>
          <w:tcPr>
            <w:tcW w:w="12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12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17.9%</w:t>
            </w:r>
          </w:p>
        </w:tc>
        <w:tc>
          <w:tcPr>
            <w:tcW w:w="137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20</w:t>
            </w:r>
          </w:p>
        </w:tc>
        <w:tc>
          <w:tcPr>
            <w:tcW w:w="137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37.7%</w:t>
            </w:r>
          </w:p>
        </w:tc>
        <w:tc>
          <w:tcPr>
            <w:tcW w:w="201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36.5%</w:t>
            </w:r>
          </w:p>
        </w:tc>
      </w:tr>
      <w:tr w:rsidR="009768C5" w:rsidRPr="00AE49C8" w:rsidTr="007E749F">
        <w:trPr>
          <w:cantSplit/>
          <w:trHeight w:val="312"/>
          <w:tblHeader/>
          <w:jc w:val="center"/>
        </w:trPr>
        <w:tc>
          <w:tcPr>
            <w:tcW w:w="232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2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2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3.6%</w:t>
            </w:r>
          </w:p>
        </w:tc>
        <w:tc>
          <w:tcPr>
            <w:tcW w:w="137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c>
          <w:tcPr>
            <w:tcW w:w="137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c>
          <w:tcPr>
            <w:tcW w:w="201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r>
      <w:tr w:rsidR="009768C5" w:rsidRPr="00AE49C8" w:rsidTr="007E749F">
        <w:trPr>
          <w:cantSplit/>
          <w:trHeight w:val="312"/>
          <w:tblHeader/>
          <w:jc w:val="center"/>
        </w:trPr>
        <w:tc>
          <w:tcPr>
            <w:tcW w:w="232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2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217"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7.1%</w:t>
            </w:r>
          </w:p>
        </w:tc>
        <w:tc>
          <w:tcPr>
            <w:tcW w:w="137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37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5.7%</w:t>
            </w:r>
          </w:p>
        </w:tc>
        <w:tc>
          <w:tcPr>
            <w:tcW w:w="201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r w:rsidRPr="00AE49C8">
              <w:rPr>
                <w:rFonts w:eastAsia="Times New Roman"/>
                <w:color w:val="000000"/>
                <w:szCs w:val="24"/>
                <w:lang w:eastAsia="en-GB"/>
              </w:rPr>
              <w:t>2.7%</w:t>
            </w:r>
          </w:p>
        </w:tc>
      </w:tr>
      <w:tr w:rsidR="009768C5" w:rsidRPr="00AE49C8" w:rsidTr="007E749F">
        <w:trPr>
          <w:cantSplit/>
          <w:trHeight w:val="312"/>
          <w:tblHeader/>
          <w:jc w:val="center"/>
        </w:trPr>
        <w:tc>
          <w:tcPr>
            <w:tcW w:w="2327" w:type="dxa"/>
            <w:shd w:val="clear" w:color="auto" w:fill="auto"/>
            <w:noWrap/>
            <w:vAlign w:val="bottom"/>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217" w:type="dxa"/>
            <w:shd w:val="clear" w:color="auto" w:fill="auto"/>
            <w:noWrap/>
            <w:vAlign w:val="bottom"/>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28</w:t>
            </w:r>
          </w:p>
        </w:tc>
        <w:tc>
          <w:tcPr>
            <w:tcW w:w="1217" w:type="dxa"/>
            <w:shd w:val="clear" w:color="auto" w:fill="auto"/>
            <w:noWrap/>
            <w:vAlign w:val="bottom"/>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96%</w:t>
            </w:r>
          </w:p>
        </w:tc>
        <w:tc>
          <w:tcPr>
            <w:tcW w:w="1375" w:type="dxa"/>
            <w:shd w:val="clear" w:color="auto" w:fill="auto"/>
            <w:noWrap/>
            <w:vAlign w:val="bottom"/>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53</w:t>
            </w:r>
          </w:p>
        </w:tc>
        <w:tc>
          <w:tcPr>
            <w:tcW w:w="1375" w:type="dxa"/>
            <w:shd w:val="clear" w:color="auto" w:fill="auto"/>
            <w:noWrap/>
            <w:vAlign w:val="bottom"/>
            <w:hideMark/>
          </w:tcPr>
          <w:p w:rsidR="009768C5" w:rsidRPr="00AE49C8" w:rsidRDefault="009768C5" w:rsidP="009768C5">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2015" w:type="dxa"/>
            <w:shd w:val="clear" w:color="auto" w:fill="auto"/>
            <w:noWrap/>
            <w:vAlign w:val="bottom"/>
            <w:hideMark/>
          </w:tcPr>
          <w:p w:rsidR="009768C5" w:rsidRPr="00AE49C8" w:rsidRDefault="009768C5" w:rsidP="009768C5">
            <w:pPr>
              <w:spacing w:after="0" w:line="240" w:lineRule="auto"/>
              <w:rPr>
                <w:rFonts w:eastAsia="Times New Roman"/>
                <w:color w:val="000000"/>
                <w:szCs w:val="24"/>
                <w:lang w:eastAsia="en-GB"/>
              </w:rPr>
            </w:pPr>
          </w:p>
        </w:tc>
      </w:tr>
    </w:tbl>
    <w:p w:rsidR="003204AF" w:rsidRPr="00AE49C8" w:rsidRDefault="003204AF" w:rsidP="003204AF">
      <w:pPr>
        <w:rPr>
          <w:b/>
        </w:rPr>
      </w:pPr>
    </w:p>
    <w:p w:rsidR="003204AF" w:rsidRPr="00AE49C8" w:rsidRDefault="009768C5" w:rsidP="003204AF">
      <w:pPr>
        <w:rPr>
          <w:b/>
        </w:rPr>
      </w:pPr>
      <w:r w:rsidRPr="00AE49C8">
        <w:rPr>
          <w:noProof/>
          <w:lang w:eastAsia="en-GB"/>
        </w:rPr>
        <w:drawing>
          <wp:inline distT="0" distB="0" distL="0" distR="0" wp14:anchorId="066D7793" wp14:editId="3090E5FF">
            <wp:extent cx="5731510" cy="2904945"/>
            <wp:effectExtent l="0" t="0" r="2540" b="0"/>
            <wp:docPr id="264" name="Chart 264" title="Grievance and disciplinary cases broken down by marital status compared to the overall workforce represen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92A79" w:rsidRDefault="00C92A79">
      <w:pPr>
        <w:widowControl w:val="0"/>
        <w:rPr>
          <w:b/>
        </w:rPr>
      </w:pPr>
      <w:r>
        <w:rPr>
          <w:b/>
        </w:rPr>
        <w:br w:type="page"/>
      </w:r>
    </w:p>
    <w:p w:rsidR="003204AF" w:rsidRPr="000D2F61" w:rsidRDefault="003204AF" w:rsidP="003204AF">
      <w:r w:rsidRPr="000D2F61">
        <w:lastRenderedPageBreak/>
        <w:t>Observations</w:t>
      </w:r>
    </w:p>
    <w:p w:rsidR="003204AF" w:rsidRPr="00AE49C8" w:rsidRDefault="007E749F" w:rsidP="007E749F">
      <w:pPr>
        <w:pStyle w:val="ListParagraph"/>
      </w:pPr>
      <w:r w:rsidRPr="00AE49C8">
        <w:t>Staff in a civil partnership or are married have a higher than expected representation in grievances. Married staff have a lower representation than the overall workforce representation in disciplinary cases, and staff in a civil partnership have no representation.</w:t>
      </w:r>
    </w:p>
    <w:p w:rsidR="003204AF" w:rsidRPr="00AE49C8" w:rsidRDefault="003204AF" w:rsidP="007E749F">
      <w:pPr>
        <w:pStyle w:val="Heading3"/>
      </w:pPr>
      <w:bookmarkStart w:id="65" w:name="_Toc88634012"/>
      <w:r w:rsidRPr="00AE49C8">
        <w:t xml:space="preserve">Leavers broken down by </w:t>
      </w:r>
      <w:r w:rsidR="00396DA2" w:rsidRPr="00AE49C8">
        <w:t>marital status</w:t>
      </w:r>
      <w:bookmarkEnd w:id="65"/>
    </w:p>
    <w:p w:rsidR="003204AF" w:rsidRPr="00AE49C8" w:rsidRDefault="003204AF" w:rsidP="003204AF">
      <w:pPr>
        <w:rPr>
          <w:b/>
        </w:rPr>
      </w:pPr>
      <w:r w:rsidRPr="00AE49C8">
        <w:rPr>
          <w:b/>
        </w:rPr>
        <w:t>BSUH</w:t>
      </w:r>
    </w:p>
    <w:tbl>
      <w:tblPr>
        <w:tblW w:w="8433" w:type="dxa"/>
        <w:jc w:val="center"/>
        <w:tblBorders>
          <w:insideH w:val="dotted" w:sz="4" w:space="0" w:color="auto"/>
        </w:tblBorders>
        <w:tblLook w:val="04A0" w:firstRow="1" w:lastRow="0" w:firstColumn="1" w:lastColumn="0" w:noHBand="0" w:noVBand="1"/>
        <w:tblCaption w:val="Leavers brokendown by marital status"/>
      </w:tblPr>
      <w:tblGrid>
        <w:gridCol w:w="2086"/>
        <w:gridCol w:w="1840"/>
        <w:gridCol w:w="1673"/>
        <w:gridCol w:w="1559"/>
        <w:gridCol w:w="1403"/>
      </w:tblGrid>
      <w:tr w:rsidR="00396DA2" w:rsidRPr="00AE49C8" w:rsidTr="007E749F">
        <w:trPr>
          <w:cantSplit/>
          <w:trHeight w:val="312"/>
          <w:tblHeader/>
          <w:jc w:val="center"/>
        </w:trPr>
        <w:tc>
          <w:tcPr>
            <w:tcW w:w="2086" w:type="dxa"/>
            <w:shd w:val="clear" w:color="auto" w:fill="auto"/>
            <w:noWrap/>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Marital Status</w:t>
            </w:r>
          </w:p>
        </w:tc>
        <w:tc>
          <w:tcPr>
            <w:tcW w:w="1840" w:type="dxa"/>
            <w:shd w:val="clear" w:color="auto" w:fill="auto"/>
            <w:noWrap/>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BSUH Leavers</w:t>
            </w:r>
          </w:p>
        </w:tc>
        <w:tc>
          <w:tcPr>
            <w:tcW w:w="1673" w:type="dxa"/>
            <w:shd w:val="clear" w:color="auto" w:fill="auto"/>
            <w:noWrap/>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BSUH Leavers (%)</w:t>
            </w:r>
          </w:p>
        </w:tc>
        <w:tc>
          <w:tcPr>
            <w:tcW w:w="1559" w:type="dxa"/>
            <w:shd w:val="clear" w:color="auto" w:fill="auto"/>
            <w:noWrap/>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in Workforce</w:t>
            </w:r>
          </w:p>
        </w:tc>
        <w:tc>
          <w:tcPr>
            <w:tcW w:w="1275" w:type="dxa"/>
            <w:shd w:val="clear" w:color="auto" w:fill="auto"/>
            <w:noWrap/>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 in Workforce</w:t>
            </w:r>
          </w:p>
        </w:tc>
      </w:tr>
      <w:tr w:rsidR="00396DA2" w:rsidRPr="00AE49C8" w:rsidTr="007E749F">
        <w:trPr>
          <w:cantSplit/>
          <w:trHeight w:val="312"/>
          <w:tblHeader/>
          <w:jc w:val="center"/>
        </w:trPr>
        <w:tc>
          <w:tcPr>
            <w:tcW w:w="2086"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Civil Partnership</w:t>
            </w:r>
          </w:p>
        </w:tc>
        <w:tc>
          <w:tcPr>
            <w:tcW w:w="1840"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12</w:t>
            </w:r>
          </w:p>
        </w:tc>
        <w:tc>
          <w:tcPr>
            <w:tcW w:w="1673"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0.8%</w:t>
            </w:r>
          </w:p>
        </w:tc>
        <w:tc>
          <w:tcPr>
            <w:tcW w:w="1559"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167</w:t>
            </w:r>
          </w:p>
        </w:tc>
        <w:tc>
          <w:tcPr>
            <w:tcW w:w="1275"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1.9%</w:t>
            </w:r>
          </w:p>
        </w:tc>
      </w:tr>
      <w:tr w:rsidR="00396DA2" w:rsidRPr="00AE49C8" w:rsidTr="007E749F">
        <w:trPr>
          <w:cantSplit/>
          <w:trHeight w:val="312"/>
          <w:tblHeader/>
          <w:jc w:val="center"/>
        </w:trPr>
        <w:tc>
          <w:tcPr>
            <w:tcW w:w="2086"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Divorced</w:t>
            </w:r>
          </w:p>
        </w:tc>
        <w:tc>
          <w:tcPr>
            <w:tcW w:w="1840"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71</w:t>
            </w:r>
          </w:p>
        </w:tc>
        <w:tc>
          <w:tcPr>
            <w:tcW w:w="1673"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4.6%</w:t>
            </w:r>
          </w:p>
        </w:tc>
        <w:tc>
          <w:tcPr>
            <w:tcW w:w="1559"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437</w:t>
            </w:r>
          </w:p>
        </w:tc>
        <w:tc>
          <w:tcPr>
            <w:tcW w:w="1275"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4.9%</w:t>
            </w:r>
          </w:p>
        </w:tc>
      </w:tr>
      <w:tr w:rsidR="00396DA2" w:rsidRPr="00AE49C8" w:rsidTr="007E749F">
        <w:trPr>
          <w:cantSplit/>
          <w:trHeight w:val="312"/>
          <w:tblHeader/>
          <w:jc w:val="center"/>
        </w:trPr>
        <w:tc>
          <w:tcPr>
            <w:tcW w:w="2086"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Legally Separated</w:t>
            </w:r>
          </w:p>
        </w:tc>
        <w:tc>
          <w:tcPr>
            <w:tcW w:w="1840"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18</w:t>
            </w:r>
          </w:p>
        </w:tc>
        <w:tc>
          <w:tcPr>
            <w:tcW w:w="1673"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1.2%</w:t>
            </w:r>
          </w:p>
        </w:tc>
        <w:tc>
          <w:tcPr>
            <w:tcW w:w="1559"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99</w:t>
            </w:r>
          </w:p>
        </w:tc>
        <w:tc>
          <w:tcPr>
            <w:tcW w:w="1275"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1.1%</w:t>
            </w:r>
          </w:p>
        </w:tc>
      </w:tr>
      <w:tr w:rsidR="00396DA2" w:rsidRPr="00AE49C8" w:rsidTr="007E749F">
        <w:trPr>
          <w:cantSplit/>
          <w:trHeight w:val="312"/>
          <w:tblHeader/>
          <w:jc w:val="center"/>
        </w:trPr>
        <w:tc>
          <w:tcPr>
            <w:tcW w:w="2086"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Married</w:t>
            </w:r>
          </w:p>
        </w:tc>
        <w:tc>
          <w:tcPr>
            <w:tcW w:w="1840"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502</w:t>
            </w:r>
          </w:p>
        </w:tc>
        <w:tc>
          <w:tcPr>
            <w:tcW w:w="1673"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32.9%</w:t>
            </w:r>
          </w:p>
        </w:tc>
        <w:tc>
          <w:tcPr>
            <w:tcW w:w="1559"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3706</w:t>
            </w:r>
          </w:p>
        </w:tc>
        <w:tc>
          <w:tcPr>
            <w:tcW w:w="1275"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41.8%</w:t>
            </w:r>
          </w:p>
        </w:tc>
      </w:tr>
      <w:tr w:rsidR="00396DA2" w:rsidRPr="00AE49C8" w:rsidTr="007E749F">
        <w:trPr>
          <w:cantSplit/>
          <w:trHeight w:val="312"/>
          <w:tblHeader/>
          <w:jc w:val="center"/>
        </w:trPr>
        <w:tc>
          <w:tcPr>
            <w:tcW w:w="2086"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Single</w:t>
            </w:r>
          </w:p>
        </w:tc>
        <w:tc>
          <w:tcPr>
            <w:tcW w:w="1840"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824</w:t>
            </w:r>
          </w:p>
        </w:tc>
        <w:tc>
          <w:tcPr>
            <w:tcW w:w="1673"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54.0%</w:t>
            </w:r>
          </w:p>
        </w:tc>
        <w:tc>
          <w:tcPr>
            <w:tcW w:w="1559"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3975</w:t>
            </w:r>
          </w:p>
        </w:tc>
        <w:tc>
          <w:tcPr>
            <w:tcW w:w="1275"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44.8%</w:t>
            </w:r>
          </w:p>
        </w:tc>
      </w:tr>
      <w:tr w:rsidR="00396DA2" w:rsidRPr="00AE49C8" w:rsidTr="007E749F">
        <w:trPr>
          <w:cantSplit/>
          <w:trHeight w:val="312"/>
          <w:tblHeader/>
          <w:jc w:val="center"/>
        </w:trPr>
        <w:tc>
          <w:tcPr>
            <w:tcW w:w="2086"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Widowed</w:t>
            </w:r>
          </w:p>
        </w:tc>
        <w:tc>
          <w:tcPr>
            <w:tcW w:w="1840"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16</w:t>
            </w:r>
          </w:p>
        </w:tc>
        <w:tc>
          <w:tcPr>
            <w:tcW w:w="1673"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1559"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57</w:t>
            </w:r>
          </w:p>
        </w:tc>
        <w:tc>
          <w:tcPr>
            <w:tcW w:w="1275"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0.6%</w:t>
            </w:r>
          </w:p>
        </w:tc>
      </w:tr>
      <w:tr w:rsidR="00396DA2" w:rsidRPr="00AE49C8" w:rsidTr="007E749F">
        <w:trPr>
          <w:cantSplit/>
          <w:trHeight w:val="312"/>
          <w:tblHeader/>
          <w:jc w:val="center"/>
        </w:trPr>
        <w:tc>
          <w:tcPr>
            <w:tcW w:w="2086"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840"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84</w:t>
            </w:r>
          </w:p>
        </w:tc>
        <w:tc>
          <w:tcPr>
            <w:tcW w:w="1673"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5.5%</w:t>
            </w:r>
          </w:p>
        </w:tc>
        <w:tc>
          <w:tcPr>
            <w:tcW w:w="1559"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432</w:t>
            </w:r>
          </w:p>
        </w:tc>
        <w:tc>
          <w:tcPr>
            <w:tcW w:w="1275"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4.9%</w:t>
            </w:r>
          </w:p>
        </w:tc>
      </w:tr>
      <w:tr w:rsidR="00396DA2" w:rsidRPr="00AE49C8" w:rsidTr="007E749F">
        <w:trPr>
          <w:cantSplit/>
          <w:trHeight w:val="312"/>
          <w:tblHeader/>
          <w:jc w:val="center"/>
        </w:trPr>
        <w:tc>
          <w:tcPr>
            <w:tcW w:w="2086" w:type="dxa"/>
            <w:shd w:val="clear" w:color="auto" w:fill="auto"/>
            <w:noWrap/>
            <w:vAlign w:val="center"/>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Grand Total</w:t>
            </w:r>
          </w:p>
        </w:tc>
        <w:tc>
          <w:tcPr>
            <w:tcW w:w="1840" w:type="dxa"/>
            <w:shd w:val="clear" w:color="auto" w:fill="auto"/>
            <w:noWrap/>
            <w:vAlign w:val="center"/>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1527</w:t>
            </w:r>
          </w:p>
        </w:tc>
        <w:tc>
          <w:tcPr>
            <w:tcW w:w="1673" w:type="dxa"/>
            <w:shd w:val="clear" w:color="auto" w:fill="auto"/>
            <w:noWrap/>
            <w:vAlign w:val="bottom"/>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559" w:type="dxa"/>
            <w:shd w:val="clear" w:color="auto" w:fill="auto"/>
            <w:noWrap/>
            <w:vAlign w:val="bottom"/>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8873</w:t>
            </w:r>
          </w:p>
        </w:tc>
        <w:tc>
          <w:tcPr>
            <w:tcW w:w="1275" w:type="dxa"/>
            <w:shd w:val="clear" w:color="auto" w:fill="auto"/>
            <w:noWrap/>
            <w:vAlign w:val="bottom"/>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r>
    </w:tbl>
    <w:p w:rsidR="003204AF" w:rsidRPr="00AE49C8" w:rsidRDefault="003204AF" w:rsidP="003204AF">
      <w:pPr>
        <w:rPr>
          <w:b/>
        </w:rPr>
      </w:pPr>
    </w:p>
    <w:p w:rsidR="003204AF" w:rsidRPr="00AE49C8" w:rsidRDefault="00396DA2" w:rsidP="003204AF">
      <w:pPr>
        <w:jc w:val="center"/>
        <w:rPr>
          <w:b/>
        </w:rPr>
      </w:pPr>
      <w:r w:rsidRPr="00AE49C8">
        <w:rPr>
          <w:noProof/>
          <w:lang w:eastAsia="en-GB"/>
        </w:rPr>
        <w:drawing>
          <wp:inline distT="0" distB="0" distL="0" distR="0" wp14:anchorId="41D425D4" wp14:editId="02BC06B8">
            <wp:extent cx="5731510" cy="3374610"/>
            <wp:effectExtent l="0" t="0" r="2540" b="0"/>
            <wp:docPr id="266" name="Chart 266" title="Leavers brokendown by marital status compared to the overall represenation in the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204AF" w:rsidRPr="000D2F61" w:rsidRDefault="003204AF" w:rsidP="003204AF">
      <w:r w:rsidRPr="000D2F61">
        <w:t>Observations</w:t>
      </w:r>
    </w:p>
    <w:p w:rsidR="003204AF" w:rsidRPr="00AE49C8" w:rsidRDefault="007E749F" w:rsidP="007E749F">
      <w:pPr>
        <w:pStyle w:val="ListParagraph"/>
      </w:pPr>
      <w:r w:rsidRPr="00AE49C8">
        <w:t>Neither staff in a civil partnership or marriage have left the organisation at a higher rate than their representation in the overall workforce.</w:t>
      </w:r>
    </w:p>
    <w:p w:rsidR="003204AF" w:rsidRPr="00AE49C8" w:rsidRDefault="003204AF" w:rsidP="003204AF">
      <w:pPr>
        <w:rPr>
          <w:b/>
        </w:rPr>
      </w:pPr>
      <w:r w:rsidRPr="00AE49C8">
        <w:rPr>
          <w:b/>
        </w:rPr>
        <w:lastRenderedPageBreak/>
        <w:t>WSHT</w:t>
      </w:r>
    </w:p>
    <w:tbl>
      <w:tblPr>
        <w:tblW w:w="8889" w:type="dxa"/>
        <w:jc w:val="center"/>
        <w:tblBorders>
          <w:insideH w:val="dotted" w:sz="4" w:space="0" w:color="auto"/>
        </w:tblBorders>
        <w:tblLook w:val="04A0" w:firstRow="1" w:lastRow="0" w:firstColumn="1" w:lastColumn="0" w:noHBand="0" w:noVBand="1"/>
        <w:tblCaption w:val="Leavers brokendown by marital status"/>
      </w:tblPr>
      <w:tblGrid>
        <w:gridCol w:w="2283"/>
        <w:gridCol w:w="1840"/>
        <w:gridCol w:w="1932"/>
        <w:gridCol w:w="1559"/>
        <w:gridCol w:w="1403"/>
      </w:tblGrid>
      <w:tr w:rsidR="00396DA2" w:rsidRPr="00AE49C8" w:rsidTr="007E749F">
        <w:trPr>
          <w:cantSplit/>
          <w:trHeight w:val="312"/>
          <w:tblHeader/>
          <w:jc w:val="center"/>
        </w:trPr>
        <w:tc>
          <w:tcPr>
            <w:tcW w:w="2283" w:type="dxa"/>
            <w:shd w:val="clear" w:color="auto" w:fill="auto"/>
            <w:noWrap/>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Marital Status</w:t>
            </w:r>
          </w:p>
        </w:tc>
        <w:tc>
          <w:tcPr>
            <w:tcW w:w="1840" w:type="dxa"/>
            <w:shd w:val="clear" w:color="auto" w:fill="auto"/>
            <w:noWrap/>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WSHT Leavers</w:t>
            </w:r>
          </w:p>
        </w:tc>
        <w:tc>
          <w:tcPr>
            <w:tcW w:w="1932" w:type="dxa"/>
            <w:shd w:val="clear" w:color="auto" w:fill="auto"/>
            <w:noWrap/>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WSHT Leavers (%)</w:t>
            </w:r>
          </w:p>
        </w:tc>
        <w:tc>
          <w:tcPr>
            <w:tcW w:w="1559" w:type="dxa"/>
            <w:shd w:val="clear" w:color="auto" w:fill="auto"/>
            <w:noWrap/>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in Workforce</w:t>
            </w:r>
          </w:p>
        </w:tc>
        <w:tc>
          <w:tcPr>
            <w:tcW w:w="1275" w:type="dxa"/>
            <w:shd w:val="clear" w:color="auto" w:fill="auto"/>
            <w:noWrap/>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 in Workforce</w:t>
            </w:r>
          </w:p>
        </w:tc>
      </w:tr>
      <w:tr w:rsidR="00396DA2" w:rsidRPr="00AE49C8" w:rsidTr="007E749F">
        <w:trPr>
          <w:cantSplit/>
          <w:trHeight w:val="312"/>
          <w:tblHeader/>
          <w:jc w:val="center"/>
        </w:trPr>
        <w:tc>
          <w:tcPr>
            <w:tcW w:w="2283"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Civil Partnership</w:t>
            </w:r>
          </w:p>
        </w:tc>
        <w:tc>
          <w:tcPr>
            <w:tcW w:w="1840"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932"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1559"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79</w:t>
            </w:r>
          </w:p>
        </w:tc>
        <w:tc>
          <w:tcPr>
            <w:tcW w:w="1275"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1.1%</w:t>
            </w:r>
          </w:p>
        </w:tc>
      </w:tr>
      <w:tr w:rsidR="00396DA2" w:rsidRPr="00AE49C8" w:rsidTr="007E749F">
        <w:trPr>
          <w:cantSplit/>
          <w:trHeight w:val="312"/>
          <w:tblHeader/>
          <w:jc w:val="center"/>
        </w:trPr>
        <w:tc>
          <w:tcPr>
            <w:tcW w:w="2283"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Divorced</w:t>
            </w:r>
          </w:p>
        </w:tc>
        <w:tc>
          <w:tcPr>
            <w:tcW w:w="1840"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44</w:t>
            </w:r>
          </w:p>
        </w:tc>
        <w:tc>
          <w:tcPr>
            <w:tcW w:w="1932"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6.5%</w:t>
            </w:r>
          </w:p>
        </w:tc>
        <w:tc>
          <w:tcPr>
            <w:tcW w:w="1559"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465</w:t>
            </w:r>
          </w:p>
        </w:tc>
        <w:tc>
          <w:tcPr>
            <w:tcW w:w="1275"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6.2%</w:t>
            </w:r>
          </w:p>
        </w:tc>
      </w:tr>
      <w:tr w:rsidR="00396DA2" w:rsidRPr="00AE49C8" w:rsidTr="007E749F">
        <w:trPr>
          <w:cantSplit/>
          <w:trHeight w:val="312"/>
          <w:tblHeader/>
          <w:jc w:val="center"/>
        </w:trPr>
        <w:tc>
          <w:tcPr>
            <w:tcW w:w="2283"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Legally Separated</w:t>
            </w:r>
          </w:p>
        </w:tc>
        <w:tc>
          <w:tcPr>
            <w:tcW w:w="1840"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9</w:t>
            </w:r>
          </w:p>
        </w:tc>
        <w:tc>
          <w:tcPr>
            <w:tcW w:w="1932"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1.3%</w:t>
            </w:r>
          </w:p>
        </w:tc>
        <w:tc>
          <w:tcPr>
            <w:tcW w:w="1559"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92</w:t>
            </w:r>
          </w:p>
        </w:tc>
        <w:tc>
          <w:tcPr>
            <w:tcW w:w="1275"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1.2%</w:t>
            </w:r>
          </w:p>
        </w:tc>
      </w:tr>
      <w:tr w:rsidR="00396DA2" w:rsidRPr="00AE49C8" w:rsidTr="007E749F">
        <w:trPr>
          <w:cantSplit/>
          <w:trHeight w:val="312"/>
          <w:tblHeader/>
          <w:jc w:val="center"/>
        </w:trPr>
        <w:tc>
          <w:tcPr>
            <w:tcW w:w="2283"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Married</w:t>
            </w:r>
          </w:p>
        </w:tc>
        <w:tc>
          <w:tcPr>
            <w:tcW w:w="1840"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291</w:t>
            </w:r>
          </w:p>
        </w:tc>
        <w:tc>
          <w:tcPr>
            <w:tcW w:w="1932"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42.7%</w:t>
            </w:r>
          </w:p>
        </w:tc>
        <w:tc>
          <w:tcPr>
            <w:tcW w:w="1559"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3850</w:t>
            </w:r>
          </w:p>
        </w:tc>
        <w:tc>
          <w:tcPr>
            <w:tcW w:w="1275"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51.2%</w:t>
            </w:r>
          </w:p>
        </w:tc>
      </w:tr>
      <w:tr w:rsidR="00396DA2" w:rsidRPr="00AE49C8" w:rsidTr="007E749F">
        <w:trPr>
          <w:cantSplit/>
          <w:trHeight w:val="312"/>
          <w:tblHeader/>
          <w:jc w:val="center"/>
        </w:trPr>
        <w:tc>
          <w:tcPr>
            <w:tcW w:w="2283"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Single</w:t>
            </w:r>
          </w:p>
        </w:tc>
        <w:tc>
          <w:tcPr>
            <w:tcW w:w="1840"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304</w:t>
            </w:r>
          </w:p>
        </w:tc>
        <w:tc>
          <w:tcPr>
            <w:tcW w:w="1932"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44.6%</w:t>
            </w:r>
          </w:p>
        </w:tc>
        <w:tc>
          <w:tcPr>
            <w:tcW w:w="1559"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2747</w:t>
            </w:r>
          </w:p>
        </w:tc>
        <w:tc>
          <w:tcPr>
            <w:tcW w:w="1275"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36.5%</w:t>
            </w:r>
          </w:p>
        </w:tc>
      </w:tr>
      <w:tr w:rsidR="00396DA2" w:rsidRPr="00AE49C8" w:rsidTr="007E749F">
        <w:trPr>
          <w:cantSplit/>
          <w:trHeight w:val="312"/>
          <w:tblHeader/>
          <w:jc w:val="center"/>
        </w:trPr>
        <w:tc>
          <w:tcPr>
            <w:tcW w:w="2283"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Widowed</w:t>
            </w:r>
          </w:p>
        </w:tc>
        <w:tc>
          <w:tcPr>
            <w:tcW w:w="1840"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8</w:t>
            </w:r>
          </w:p>
        </w:tc>
        <w:tc>
          <w:tcPr>
            <w:tcW w:w="1932"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1.2%</w:t>
            </w:r>
          </w:p>
        </w:tc>
        <w:tc>
          <w:tcPr>
            <w:tcW w:w="1559"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82</w:t>
            </w:r>
          </w:p>
        </w:tc>
        <w:tc>
          <w:tcPr>
            <w:tcW w:w="1275"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1.1%</w:t>
            </w:r>
          </w:p>
        </w:tc>
      </w:tr>
      <w:tr w:rsidR="00396DA2" w:rsidRPr="00AE49C8" w:rsidTr="007E749F">
        <w:trPr>
          <w:cantSplit/>
          <w:trHeight w:val="312"/>
          <w:tblHeader/>
          <w:jc w:val="center"/>
        </w:trPr>
        <w:tc>
          <w:tcPr>
            <w:tcW w:w="2283"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840" w:type="dxa"/>
            <w:shd w:val="clear" w:color="auto" w:fill="auto"/>
            <w:noWrap/>
            <w:vAlign w:val="center"/>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23</w:t>
            </w:r>
          </w:p>
        </w:tc>
        <w:tc>
          <w:tcPr>
            <w:tcW w:w="1932"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3.4%</w:t>
            </w:r>
          </w:p>
        </w:tc>
        <w:tc>
          <w:tcPr>
            <w:tcW w:w="1559"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204</w:t>
            </w:r>
          </w:p>
        </w:tc>
        <w:tc>
          <w:tcPr>
            <w:tcW w:w="1275" w:type="dxa"/>
            <w:shd w:val="clear" w:color="auto" w:fill="auto"/>
            <w:noWrap/>
            <w:vAlign w:val="bottom"/>
            <w:hideMark/>
          </w:tcPr>
          <w:p w:rsidR="00396DA2" w:rsidRPr="00AE49C8" w:rsidRDefault="00396DA2" w:rsidP="00396DA2">
            <w:pPr>
              <w:spacing w:after="0" w:line="240" w:lineRule="auto"/>
              <w:rPr>
                <w:rFonts w:eastAsia="Times New Roman"/>
                <w:color w:val="000000"/>
                <w:szCs w:val="24"/>
                <w:lang w:eastAsia="en-GB"/>
              </w:rPr>
            </w:pPr>
            <w:r w:rsidRPr="00AE49C8">
              <w:rPr>
                <w:rFonts w:eastAsia="Times New Roman"/>
                <w:color w:val="000000"/>
                <w:szCs w:val="24"/>
                <w:lang w:eastAsia="en-GB"/>
              </w:rPr>
              <w:t>2.7%</w:t>
            </w:r>
          </w:p>
        </w:tc>
      </w:tr>
      <w:tr w:rsidR="00396DA2" w:rsidRPr="00AE49C8" w:rsidTr="007E749F">
        <w:trPr>
          <w:cantSplit/>
          <w:trHeight w:val="312"/>
          <w:tblHeader/>
          <w:jc w:val="center"/>
        </w:trPr>
        <w:tc>
          <w:tcPr>
            <w:tcW w:w="2283" w:type="dxa"/>
            <w:shd w:val="clear" w:color="auto" w:fill="auto"/>
            <w:noWrap/>
            <w:vAlign w:val="center"/>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Grand Total</w:t>
            </w:r>
          </w:p>
        </w:tc>
        <w:tc>
          <w:tcPr>
            <w:tcW w:w="1840" w:type="dxa"/>
            <w:shd w:val="clear" w:color="auto" w:fill="auto"/>
            <w:noWrap/>
            <w:vAlign w:val="center"/>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682</w:t>
            </w:r>
          </w:p>
        </w:tc>
        <w:tc>
          <w:tcPr>
            <w:tcW w:w="1932" w:type="dxa"/>
            <w:shd w:val="clear" w:color="auto" w:fill="auto"/>
            <w:noWrap/>
            <w:vAlign w:val="bottom"/>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559" w:type="dxa"/>
            <w:shd w:val="clear" w:color="auto" w:fill="auto"/>
            <w:noWrap/>
            <w:vAlign w:val="bottom"/>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7519</w:t>
            </w:r>
          </w:p>
        </w:tc>
        <w:tc>
          <w:tcPr>
            <w:tcW w:w="1275" w:type="dxa"/>
            <w:shd w:val="clear" w:color="auto" w:fill="auto"/>
            <w:noWrap/>
            <w:vAlign w:val="bottom"/>
            <w:hideMark/>
          </w:tcPr>
          <w:p w:rsidR="00396DA2" w:rsidRPr="00AE49C8" w:rsidRDefault="00396DA2" w:rsidP="00396DA2">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r>
    </w:tbl>
    <w:p w:rsidR="003204AF" w:rsidRPr="00AE49C8" w:rsidRDefault="003204AF" w:rsidP="003204AF">
      <w:pPr>
        <w:rPr>
          <w:b/>
        </w:rPr>
      </w:pPr>
    </w:p>
    <w:p w:rsidR="003204AF" w:rsidRPr="00AE49C8" w:rsidRDefault="00396DA2" w:rsidP="00396DA2">
      <w:pPr>
        <w:jc w:val="center"/>
        <w:rPr>
          <w:b/>
        </w:rPr>
      </w:pPr>
      <w:r w:rsidRPr="00AE49C8">
        <w:rPr>
          <w:noProof/>
          <w:lang w:eastAsia="en-GB"/>
        </w:rPr>
        <w:drawing>
          <wp:inline distT="0" distB="0" distL="0" distR="0" wp14:anchorId="025A6603" wp14:editId="6108382A">
            <wp:extent cx="5731510" cy="3374610"/>
            <wp:effectExtent l="0" t="0" r="2540" b="0"/>
            <wp:docPr id="267" name="Chart 267" title="Leavers brokendown by marital status compared to the overall represenation in the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204AF" w:rsidRPr="000D2F61" w:rsidRDefault="003204AF" w:rsidP="003204AF">
      <w:r w:rsidRPr="000D2F61">
        <w:t>Observations</w:t>
      </w:r>
    </w:p>
    <w:p w:rsidR="007E749F" w:rsidRPr="00AE49C8" w:rsidRDefault="007E749F" w:rsidP="007E749F">
      <w:pPr>
        <w:pStyle w:val="ListParagraph"/>
      </w:pPr>
      <w:r w:rsidRPr="00AE49C8">
        <w:t>Neither staff in a civil partnership or marriage have left the organisation at a higher rate than their representation in the overall workforce.</w:t>
      </w:r>
    </w:p>
    <w:p w:rsidR="00DD2448" w:rsidRPr="00AE49C8" w:rsidRDefault="00DD2448" w:rsidP="00DD2448">
      <w:pPr>
        <w:pStyle w:val="Heading2"/>
        <w:rPr>
          <w:rFonts w:cs="Arial"/>
        </w:rPr>
      </w:pPr>
      <w:bookmarkStart w:id="66" w:name="_Toc88634013"/>
      <w:r w:rsidRPr="00AE49C8">
        <w:rPr>
          <w:rFonts w:cs="Arial"/>
        </w:rPr>
        <w:t>Religion or Belief</w:t>
      </w:r>
      <w:bookmarkEnd w:id="66"/>
    </w:p>
    <w:p w:rsidR="00DD2448" w:rsidRPr="00AE49C8" w:rsidRDefault="00DD2448" w:rsidP="0052092A">
      <w:pPr>
        <w:pStyle w:val="Heading3"/>
      </w:pPr>
      <w:bookmarkStart w:id="67" w:name="_Toc88634014"/>
      <w:r w:rsidRPr="00AE49C8">
        <w:t>Representation of staff within the workforce broken down by religion or belief</w:t>
      </w:r>
      <w:bookmarkEnd w:id="67"/>
    </w:p>
    <w:tbl>
      <w:tblPr>
        <w:tblW w:w="9385" w:type="dxa"/>
        <w:jc w:val="center"/>
        <w:tblLook w:val="04A0" w:firstRow="1" w:lastRow="0" w:firstColumn="1" w:lastColumn="0" w:noHBand="0" w:noVBand="1"/>
        <w:tblCaption w:val="Overall representation of workforce brokendown by religion or belief (Table 1)"/>
      </w:tblPr>
      <w:tblGrid>
        <w:gridCol w:w="2927"/>
        <w:gridCol w:w="1163"/>
        <w:gridCol w:w="1390"/>
        <w:gridCol w:w="1537"/>
        <w:gridCol w:w="1310"/>
        <w:gridCol w:w="925"/>
        <w:gridCol w:w="1110"/>
      </w:tblGrid>
      <w:tr w:rsidR="00DD2448" w:rsidRPr="00AE49C8" w:rsidTr="0052092A">
        <w:trPr>
          <w:cantSplit/>
          <w:trHeight w:val="312"/>
          <w:tblHeader/>
          <w:jc w:val="center"/>
        </w:trPr>
        <w:tc>
          <w:tcPr>
            <w:tcW w:w="2927"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p>
        </w:tc>
        <w:tc>
          <w:tcPr>
            <w:tcW w:w="1018"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b/>
                <w:bCs/>
                <w:color w:val="000000"/>
                <w:u w:val="single"/>
                <w:lang w:eastAsia="en-GB"/>
              </w:rPr>
            </w:pPr>
            <w:r w:rsidRPr="00AE49C8">
              <w:rPr>
                <w:rFonts w:eastAsia="Times New Roman"/>
                <w:b/>
                <w:bCs/>
                <w:color w:val="000000"/>
                <w:u w:val="single"/>
                <w:lang w:eastAsia="en-GB"/>
              </w:rPr>
              <w:t>Atheism</w:t>
            </w:r>
          </w:p>
        </w:tc>
        <w:tc>
          <w:tcPr>
            <w:tcW w:w="1266"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b/>
                <w:bCs/>
                <w:color w:val="000000"/>
                <w:u w:val="single"/>
                <w:lang w:eastAsia="en-GB"/>
              </w:rPr>
            </w:pPr>
            <w:r w:rsidRPr="00AE49C8">
              <w:rPr>
                <w:rFonts w:eastAsia="Times New Roman"/>
                <w:b/>
                <w:bCs/>
                <w:color w:val="000000"/>
                <w:u w:val="single"/>
                <w:lang w:eastAsia="en-GB"/>
              </w:rPr>
              <w:t>Buddhism</w:t>
            </w:r>
          </w:p>
        </w:tc>
        <w:tc>
          <w:tcPr>
            <w:tcW w:w="1250"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b/>
                <w:bCs/>
                <w:color w:val="000000"/>
                <w:u w:val="single"/>
                <w:lang w:eastAsia="en-GB"/>
              </w:rPr>
            </w:pPr>
            <w:r w:rsidRPr="00AE49C8">
              <w:rPr>
                <w:rFonts w:eastAsia="Times New Roman"/>
                <w:b/>
                <w:bCs/>
                <w:color w:val="000000"/>
                <w:u w:val="single"/>
                <w:lang w:eastAsia="en-GB"/>
              </w:rPr>
              <w:t>Christianity</w:t>
            </w:r>
          </w:p>
        </w:tc>
        <w:tc>
          <w:tcPr>
            <w:tcW w:w="1074"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b/>
                <w:bCs/>
                <w:color w:val="000000"/>
                <w:u w:val="single"/>
                <w:lang w:eastAsia="en-GB"/>
              </w:rPr>
            </w:pPr>
            <w:r w:rsidRPr="00AE49C8">
              <w:rPr>
                <w:rFonts w:eastAsia="Times New Roman"/>
                <w:b/>
                <w:bCs/>
                <w:color w:val="000000"/>
                <w:u w:val="single"/>
                <w:lang w:eastAsia="en-GB"/>
              </w:rPr>
              <w:t>Hinduism</w:t>
            </w:r>
          </w:p>
        </w:tc>
        <w:tc>
          <w:tcPr>
            <w:tcW w:w="92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b/>
                <w:bCs/>
                <w:color w:val="000000"/>
                <w:u w:val="single"/>
                <w:lang w:eastAsia="en-GB"/>
              </w:rPr>
            </w:pPr>
            <w:r w:rsidRPr="00AE49C8">
              <w:rPr>
                <w:rFonts w:eastAsia="Times New Roman"/>
                <w:b/>
                <w:bCs/>
                <w:color w:val="000000"/>
                <w:u w:val="single"/>
                <w:lang w:eastAsia="en-GB"/>
              </w:rPr>
              <w:t>Islam</w:t>
            </w:r>
          </w:p>
        </w:tc>
        <w:tc>
          <w:tcPr>
            <w:tcW w:w="92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b/>
                <w:bCs/>
                <w:color w:val="000000"/>
                <w:u w:val="single"/>
                <w:lang w:eastAsia="en-GB"/>
              </w:rPr>
            </w:pPr>
            <w:r w:rsidRPr="00AE49C8">
              <w:rPr>
                <w:rFonts w:eastAsia="Times New Roman"/>
                <w:b/>
                <w:bCs/>
                <w:color w:val="000000"/>
                <w:u w:val="single"/>
                <w:lang w:eastAsia="en-GB"/>
              </w:rPr>
              <w:t>Jainism</w:t>
            </w:r>
          </w:p>
        </w:tc>
      </w:tr>
      <w:tr w:rsidR="00DD2448" w:rsidRPr="00AE49C8" w:rsidTr="0052092A">
        <w:trPr>
          <w:cantSplit/>
          <w:trHeight w:val="312"/>
          <w:tblHeader/>
          <w:jc w:val="center"/>
        </w:trPr>
        <w:tc>
          <w:tcPr>
            <w:tcW w:w="2927" w:type="dxa"/>
            <w:tcBorders>
              <w:top w:val="nil"/>
              <w:left w:val="nil"/>
              <w:bottom w:val="nil"/>
              <w:right w:val="nil"/>
            </w:tcBorders>
            <w:shd w:val="clear" w:color="000000" w:fill="C5D9F1"/>
            <w:noWrap/>
            <w:vAlign w:val="bottom"/>
            <w:hideMark/>
          </w:tcPr>
          <w:p w:rsidR="00DD2448" w:rsidRPr="00AE49C8" w:rsidRDefault="00DD2448" w:rsidP="00DD2448">
            <w:pPr>
              <w:spacing w:after="0" w:line="240" w:lineRule="auto"/>
              <w:rPr>
                <w:rFonts w:eastAsia="Times New Roman"/>
                <w:b/>
                <w:bCs/>
                <w:szCs w:val="24"/>
                <w:lang w:eastAsia="en-GB"/>
              </w:rPr>
            </w:pPr>
            <w:r w:rsidRPr="00AE49C8">
              <w:rPr>
                <w:rFonts w:eastAsia="Times New Roman"/>
                <w:b/>
                <w:bCs/>
                <w:szCs w:val="24"/>
                <w:lang w:eastAsia="en-GB"/>
              </w:rPr>
              <w:t>2019/20 (BSUH)</w:t>
            </w:r>
          </w:p>
        </w:tc>
        <w:tc>
          <w:tcPr>
            <w:tcW w:w="1018" w:type="dxa"/>
            <w:tcBorders>
              <w:top w:val="nil"/>
              <w:left w:val="nil"/>
              <w:bottom w:val="nil"/>
              <w:right w:val="nil"/>
            </w:tcBorders>
            <w:shd w:val="clear" w:color="000000" w:fill="C5D9F1"/>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19.3%</w:t>
            </w:r>
          </w:p>
        </w:tc>
        <w:tc>
          <w:tcPr>
            <w:tcW w:w="1266" w:type="dxa"/>
            <w:tcBorders>
              <w:top w:val="nil"/>
              <w:left w:val="nil"/>
              <w:bottom w:val="nil"/>
              <w:right w:val="nil"/>
            </w:tcBorders>
            <w:shd w:val="clear" w:color="000000" w:fill="C5D9F1"/>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0.8%</w:t>
            </w:r>
          </w:p>
        </w:tc>
        <w:tc>
          <w:tcPr>
            <w:tcW w:w="1250" w:type="dxa"/>
            <w:tcBorders>
              <w:top w:val="nil"/>
              <w:left w:val="nil"/>
              <w:bottom w:val="nil"/>
              <w:right w:val="nil"/>
            </w:tcBorders>
            <w:shd w:val="clear" w:color="000000" w:fill="C5D9F1"/>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37.6%</w:t>
            </w:r>
          </w:p>
        </w:tc>
        <w:tc>
          <w:tcPr>
            <w:tcW w:w="1074" w:type="dxa"/>
            <w:tcBorders>
              <w:top w:val="nil"/>
              <w:left w:val="nil"/>
              <w:bottom w:val="nil"/>
              <w:right w:val="nil"/>
            </w:tcBorders>
            <w:shd w:val="clear" w:color="000000" w:fill="C5D9F1"/>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1.6%</w:t>
            </w:r>
          </w:p>
        </w:tc>
        <w:tc>
          <w:tcPr>
            <w:tcW w:w="925" w:type="dxa"/>
            <w:tcBorders>
              <w:top w:val="nil"/>
              <w:left w:val="nil"/>
              <w:bottom w:val="nil"/>
              <w:right w:val="nil"/>
            </w:tcBorders>
            <w:shd w:val="clear" w:color="000000" w:fill="C5D9F1"/>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1.9%</w:t>
            </w:r>
          </w:p>
        </w:tc>
        <w:tc>
          <w:tcPr>
            <w:tcW w:w="925" w:type="dxa"/>
            <w:tcBorders>
              <w:top w:val="nil"/>
              <w:left w:val="nil"/>
              <w:bottom w:val="nil"/>
              <w:right w:val="nil"/>
            </w:tcBorders>
            <w:shd w:val="clear" w:color="000000" w:fill="C5D9F1"/>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0.0%</w:t>
            </w:r>
          </w:p>
        </w:tc>
      </w:tr>
      <w:tr w:rsidR="00DD2448" w:rsidRPr="00AE49C8" w:rsidTr="0052092A">
        <w:trPr>
          <w:cantSplit/>
          <w:trHeight w:val="312"/>
          <w:tblHeader/>
          <w:jc w:val="center"/>
        </w:trPr>
        <w:tc>
          <w:tcPr>
            <w:tcW w:w="2927" w:type="dxa"/>
            <w:tcBorders>
              <w:top w:val="nil"/>
              <w:left w:val="nil"/>
              <w:bottom w:val="nil"/>
              <w:right w:val="nil"/>
            </w:tcBorders>
            <w:shd w:val="clear" w:color="000000" w:fill="41B6E6"/>
            <w:noWrap/>
            <w:vAlign w:val="bottom"/>
            <w:hideMark/>
          </w:tcPr>
          <w:p w:rsidR="00DD2448" w:rsidRPr="00AE49C8" w:rsidRDefault="00DD2448" w:rsidP="00DD2448">
            <w:pPr>
              <w:spacing w:after="0" w:line="240" w:lineRule="auto"/>
              <w:rPr>
                <w:rFonts w:eastAsia="Times New Roman"/>
                <w:b/>
                <w:bCs/>
                <w:szCs w:val="24"/>
                <w:lang w:eastAsia="en-GB"/>
              </w:rPr>
            </w:pPr>
            <w:r w:rsidRPr="00AE49C8">
              <w:rPr>
                <w:rFonts w:eastAsia="Times New Roman"/>
                <w:b/>
                <w:bCs/>
                <w:szCs w:val="24"/>
                <w:lang w:eastAsia="en-GB"/>
              </w:rPr>
              <w:t>2020/21 (BSUH)</w:t>
            </w:r>
          </w:p>
        </w:tc>
        <w:tc>
          <w:tcPr>
            <w:tcW w:w="1018" w:type="dxa"/>
            <w:tcBorders>
              <w:top w:val="nil"/>
              <w:left w:val="nil"/>
              <w:bottom w:val="nil"/>
              <w:right w:val="nil"/>
            </w:tcBorders>
            <w:shd w:val="clear" w:color="000000" w:fill="41B6E6"/>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20.8%</w:t>
            </w:r>
          </w:p>
        </w:tc>
        <w:tc>
          <w:tcPr>
            <w:tcW w:w="1266" w:type="dxa"/>
            <w:tcBorders>
              <w:top w:val="nil"/>
              <w:left w:val="nil"/>
              <w:bottom w:val="nil"/>
              <w:right w:val="nil"/>
            </w:tcBorders>
            <w:shd w:val="clear" w:color="000000" w:fill="41B6E6"/>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0.9%</w:t>
            </w:r>
          </w:p>
        </w:tc>
        <w:tc>
          <w:tcPr>
            <w:tcW w:w="1250" w:type="dxa"/>
            <w:tcBorders>
              <w:top w:val="nil"/>
              <w:left w:val="nil"/>
              <w:bottom w:val="nil"/>
              <w:right w:val="nil"/>
            </w:tcBorders>
            <w:shd w:val="clear" w:color="000000" w:fill="41B6E6"/>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37.6%</w:t>
            </w:r>
          </w:p>
        </w:tc>
        <w:tc>
          <w:tcPr>
            <w:tcW w:w="1074" w:type="dxa"/>
            <w:tcBorders>
              <w:top w:val="nil"/>
              <w:left w:val="nil"/>
              <w:bottom w:val="nil"/>
              <w:right w:val="nil"/>
            </w:tcBorders>
            <w:shd w:val="clear" w:color="000000" w:fill="41B6E6"/>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1.8%</w:t>
            </w:r>
          </w:p>
        </w:tc>
        <w:tc>
          <w:tcPr>
            <w:tcW w:w="925" w:type="dxa"/>
            <w:tcBorders>
              <w:top w:val="nil"/>
              <w:left w:val="nil"/>
              <w:bottom w:val="nil"/>
              <w:right w:val="nil"/>
            </w:tcBorders>
            <w:shd w:val="clear" w:color="000000" w:fill="41B6E6"/>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2.2%</w:t>
            </w:r>
          </w:p>
        </w:tc>
        <w:tc>
          <w:tcPr>
            <w:tcW w:w="925" w:type="dxa"/>
            <w:tcBorders>
              <w:top w:val="nil"/>
              <w:left w:val="nil"/>
              <w:bottom w:val="nil"/>
              <w:right w:val="nil"/>
            </w:tcBorders>
            <w:shd w:val="clear" w:color="000000" w:fill="41B6E6"/>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DD2448" w:rsidRPr="00AE49C8" w:rsidTr="0052092A">
        <w:trPr>
          <w:cantSplit/>
          <w:trHeight w:val="312"/>
          <w:tblHeader/>
          <w:jc w:val="center"/>
        </w:trPr>
        <w:tc>
          <w:tcPr>
            <w:tcW w:w="2927" w:type="dxa"/>
            <w:tcBorders>
              <w:top w:val="nil"/>
              <w:left w:val="nil"/>
              <w:bottom w:val="nil"/>
              <w:right w:val="nil"/>
            </w:tcBorders>
            <w:shd w:val="clear" w:color="000000" w:fill="D8E4BC"/>
            <w:noWrap/>
            <w:vAlign w:val="bottom"/>
            <w:hideMark/>
          </w:tcPr>
          <w:p w:rsidR="00DD2448" w:rsidRPr="00AE49C8" w:rsidRDefault="00DD2448" w:rsidP="00DD2448">
            <w:pPr>
              <w:spacing w:after="0" w:line="240" w:lineRule="auto"/>
              <w:rPr>
                <w:rFonts w:eastAsia="Times New Roman"/>
                <w:b/>
                <w:bCs/>
                <w:szCs w:val="24"/>
                <w:lang w:eastAsia="en-GB"/>
              </w:rPr>
            </w:pPr>
            <w:r w:rsidRPr="00AE49C8">
              <w:rPr>
                <w:rFonts w:eastAsia="Times New Roman"/>
                <w:b/>
                <w:bCs/>
                <w:szCs w:val="24"/>
                <w:lang w:eastAsia="en-GB"/>
              </w:rPr>
              <w:t>2019/20 (WSHT)</w:t>
            </w:r>
          </w:p>
        </w:tc>
        <w:tc>
          <w:tcPr>
            <w:tcW w:w="1018" w:type="dxa"/>
            <w:tcBorders>
              <w:top w:val="nil"/>
              <w:left w:val="nil"/>
              <w:bottom w:val="nil"/>
              <w:right w:val="nil"/>
            </w:tcBorders>
            <w:shd w:val="clear" w:color="000000" w:fill="D8E4BC"/>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13.8%</w:t>
            </w:r>
          </w:p>
        </w:tc>
        <w:tc>
          <w:tcPr>
            <w:tcW w:w="1266" w:type="dxa"/>
            <w:tcBorders>
              <w:top w:val="nil"/>
              <w:left w:val="nil"/>
              <w:bottom w:val="nil"/>
              <w:right w:val="nil"/>
            </w:tcBorders>
            <w:shd w:val="clear" w:color="000000" w:fill="D8E4BC"/>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0.7%</w:t>
            </w:r>
          </w:p>
        </w:tc>
        <w:tc>
          <w:tcPr>
            <w:tcW w:w="1250" w:type="dxa"/>
            <w:tcBorders>
              <w:top w:val="nil"/>
              <w:left w:val="nil"/>
              <w:bottom w:val="nil"/>
              <w:right w:val="nil"/>
            </w:tcBorders>
            <w:shd w:val="clear" w:color="000000" w:fill="D8E4BC"/>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48.4%</w:t>
            </w:r>
          </w:p>
        </w:tc>
        <w:tc>
          <w:tcPr>
            <w:tcW w:w="1074" w:type="dxa"/>
            <w:tcBorders>
              <w:top w:val="nil"/>
              <w:left w:val="nil"/>
              <w:bottom w:val="nil"/>
              <w:right w:val="nil"/>
            </w:tcBorders>
            <w:shd w:val="clear" w:color="000000" w:fill="D8E4BC"/>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1.5%</w:t>
            </w:r>
          </w:p>
        </w:tc>
        <w:tc>
          <w:tcPr>
            <w:tcW w:w="925" w:type="dxa"/>
            <w:tcBorders>
              <w:top w:val="nil"/>
              <w:left w:val="nil"/>
              <w:bottom w:val="nil"/>
              <w:right w:val="nil"/>
            </w:tcBorders>
            <w:shd w:val="clear" w:color="000000" w:fill="D8E4BC"/>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1.6%</w:t>
            </w:r>
          </w:p>
        </w:tc>
        <w:tc>
          <w:tcPr>
            <w:tcW w:w="925" w:type="dxa"/>
            <w:tcBorders>
              <w:top w:val="nil"/>
              <w:left w:val="nil"/>
              <w:bottom w:val="nil"/>
              <w:right w:val="nil"/>
            </w:tcBorders>
            <w:shd w:val="clear" w:color="000000" w:fill="D8E4BC"/>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0.0%</w:t>
            </w:r>
          </w:p>
        </w:tc>
      </w:tr>
      <w:tr w:rsidR="00DD2448" w:rsidRPr="00AE49C8" w:rsidTr="0052092A">
        <w:trPr>
          <w:cantSplit/>
          <w:trHeight w:val="312"/>
          <w:tblHeader/>
          <w:jc w:val="center"/>
        </w:trPr>
        <w:tc>
          <w:tcPr>
            <w:tcW w:w="2927" w:type="dxa"/>
            <w:tcBorders>
              <w:top w:val="nil"/>
              <w:left w:val="nil"/>
              <w:bottom w:val="nil"/>
              <w:right w:val="nil"/>
            </w:tcBorders>
            <w:shd w:val="clear" w:color="000000" w:fill="009639"/>
            <w:noWrap/>
            <w:vAlign w:val="bottom"/>
            <w:hideMark/>
          </w:tcPr>
          <w:p w:rsidR="00DD2448" w:rsidRPr="00AE49C8" w:rsidRDefault="00DD2448" w:rsidP="00DD2448">
            <w:pPr>
              <w:spacing w:after="0" w:line="240" w:lineRule="auto"/>
              <w:rPr>
                <w:rFonts w:eastAsia="Times New Roman"/>
                <w:b/>
                <w:bCs/>
                <w:color w:val="FFFFFF"/>
                <w:szCs w:val="24"/>
                <w:lang w:eastAsia="en-GB"/>
              </w:rPr>
            </w:pPr>
            <w:r w:rsidRPr="00AE49C8">
              <w:rPr>
                <w:rFonts w:eastAsia="Times New Roman"/>
                <w:b/>
                <w:bCs/>
                <w:color w:val="FFFFFF"/>
                <w:szCs w:val="24"/>
                <w:lang w:eastAsia="en-GB"/>
              </w:rPr>
              <w:t>2020/21 (WSHT)</w:t>
            </w:r>
          </w:p>
        </w:tc>
        <w:tc>
          <w:tcPr>
            <w:tcW w:w="1018" w:type="dxa"/>
            <w:tcBorders>
              <w:top w:val="nil"/>
              <w:left w:val="nil"/>
              <w:bottom w:val="nil"/>
              <w:right w:val="nil"/>
            </w:tcBorders>
            <w:shd w:val="clear" w:color="000000" w:fill="009639"/>
            <w:noWrap/>
            <w:vAlign w:val="bottom"/>
            <w:hideMark/>
          </w:tcPr>
          <w:p w:rsidR="00DD2448" w:rsidRPr="00AE49C8" w:rsidRDefault="00DD2448" w:rsidP="00DD2448">
            <w:pPr>
              <w:spacing w:after="0" w:line="240" w:lineRule="auto"/>
              <w:rPr>
                <w:rFonts w:eastAsia="Times New Roman"/>
                <w:color w:val="FFFFFF"/>
                <w:szCs w:val="24"/>
                <w:lang w:eastAsia="en-GB"/>
              </w:rPr>
            </w:pPr>
            <w:r w:rsidRPr="00AE49C8">
              <w:rPr>
                <w:rFonts w:eastAsia="Times New Roman"/>
                <w:color w:val="FFFFFF"/>
                <w:szCs w:val="24"/>
                <w:lang w:eastAsia="en-GB"/>
              </w:rPr>
              <w:t>15.4%</w:t>
            </w:r>
          </w:p>
        </w:tc>
        <w:tc>
          <w:tcPr>
            <w:tcW w:w="1266" w:type="dxa"/>
            <w:tcBorders>
              <w:top w:val="nil"/>
              <w:left w:val="nil"/>
              <w:bottom w:val="nil"/>
              <w:right w:val="nil"/>
            </w:tcBorders>
            <w:shd w:val="clear" w:color="000000" w:fill="009639"/>
            <w:noWrap/>
            <w:vAlign w:val="bottom"/>
            <w:hideMark/>
          </w:tcPr>
          <w:p w:rsidR="00DD2448" w:rsidRPr="00AE49C8" w:rsidRDefault="00DD2448" w:rsidP="00DD2448">
            <w:pPr>
              <w:spacing w:after="0" w:line="240" w:lineRule="auto"/>
              <w:rPr>
                <w:rFonts w:eastAsia="Times New Roman"/>
                <w:color w:val="FFFFFF"/>
                <w:szCs w:val="24"/>
                <w:lang w:eastAsia="en-GB"/>
              </w:rPr>
            </w:pPr>
            <w:r w:rsidRPr="00AE49C8">
              <w:rPr>
                <w:rFonts w:eastAsia="Times New Roman"/>
                <w:color w:val="FFFFFF"/>
                <w:szCs w:val="24"/>
                <w:lang w:eastAsia="en-GB"/>
              </w:rPr>
              <w:t>0.7%</w:t>
            </w:r>
          </w:p>
        </w:tc>
        <w:tc>
          <w:tcPr>
            <w:tcW w:w="1250" w:type="dxa"/>
            <w:tcBorders>
              <w:top w:val="nil"/>
              <w:left w:val="nil"/>
              <w:bottom w:val="nil"/>
              <w:right w:val="nil"/>
            </w:tcBorders>
            <w:shd w:val="clear" w:color="000000" w:fill="009639"/>
            <w:noWrap/>
            <w:vAlign w:val="bottom"/>
            <w:hideMark/>
          </w:tcPr>
          <w:p w:rsidR="00DD2448" w:rsidRPr="00AE49C8" w:rsidRDefault="00DD2448" w:rsidP="00DD2448">
            <w:pPr>
              <w:spacing w:after="0" w:line="240" w:lineRule="auto"/>
              <w:rPr>
                <w:rFonts w:eastAsia="Times New Roman"/>
                <w:color w:val="FFFFFF"/>
                <w:szCs w:val="24"/>
                <w:lang w:eastAsia="en-GB"/>
              </w:rPr>
            </w:pPr>
            <w:r w:rsidRPr="00AE49C8">
              <w:rPr>
                <w:rFonts w:eastAsia="Times New Roman"/>
                <w:color w:val="FFFFFF"/>
                <w:szCs w:val="24"/>
                <w:lang w:eastAsia="en-GB"/>
              </w:rPr>
              <w:t>47.8%</w:t>
            </w:r>
          </w:p>
        </w:tc>
        <w:tc>
          <w:tcPr>
            <w:tcW w:w="1074" w:type="dxa"/>
            <w:tcBorders>
              <w:top w:val="nil"/>
              <w:left w:val="nil"/>
              <w:bottom w:val="nil"/>
              <w:right w:val="nil"/>
            </w:tcBorders>
            <w:shd w:val="clear" w:color="000000" w:fill="009639"/>
            <w:noWrap/>
            <w:vAlign w:val="bottom"/>
            <w:hideMark/>
          </w:tcPr>
          <w:p w:rsidR="00DD2448" w:rsidRPr="00AE49C8" w:rsidRDefault="00DD2448" w:rsidP="00DD2448">
            <w:pPr>
              <w:spacing w:after="0" w:line="240" w:lineRule="auto"/>
              <w:rPr>
                <w:rFonts w:eastAsia="Times New Roman"/>
                <w:color w:val="FFFFFF"/>
                <w:szCs w:val="24"/>
                <w:lang w:eastAsia="en-GB"/>
              </w:rPr>
            </w:pPr>
            <w:r w:rsidRPr="00AE49C8">
              <w:rPr>
                <w:rFonts w:eastAsia="Times New Roman"/>
                <w:color w:val="FFFFFF"/>
                <w:szCs w:val="24"/>
                <w:lang w:eastAsia="en-GB"/>
              </w:rPr>
              <w:t>1.7%</w:t>
            </w:r>
          </w:p>
        </w:tc>
        <w:tc>
          <w:tcPr>
            <w:tcW w:w="925" w:type="dxa"/>
            <w:tcBorders>
              <w:top w:val="nil"/>
              <w:left w:val="nil"/>
              <w:bottom w:val="nil"/>
              <w:right w:val="nil"/>
            </w:tcBorders>
            <w:shd w:val="clear" w:color="000000" w:fill="009639"/>
            <w:noWrap/>
            <w:vAlign w:val="bottom"/>
            <w:hideMark/>
          </w:tcPr>
          <w:p w:rsidR="00DD2448" w:rsidRPr="00AE49C8" w:rsidRDefault="00DD2448" w:rsidP="00DD2448">
            <w:pPr>
              <w:spacing w:after="0" w:line="240" w:lineRule="auto"/>
              <w:rPr>
                <w:rFonts w:eastAsia="Times New Roman"/>
                <w:color w:val="FFFFFF"/>
                <w:szCs w:val="24"/>
                <w:lang w:eastAsia="en-GB"/>
              </w:rPr>
            </w:pPr>
            <w:r w:rsidRPr="00AE49C8">
              <w:rPr>
                <w:rFonts w:eastAsia="Times New Roman"/>
                <w:color w:val="FFFFFF"/>
                <w:szCs w:val="24"/>
                <w:lang w:eastAsia="en-GB"/>
              </w:rPr>
              <w:t>1.6%</w:t>
            </w:r>
          </w:p>
        </w:tc>
        <w:tc>
          <w:tcPr>
            <w:tcW w:w="925" w:type="dxa"/>
            <w:tcBorders>
              <w:top w:val="nil"/>
              <w:left w:val="nil"/>
              <w:bottom w:val="nil"/>
              <w:right w:val="nil"/>
            </w:tcBorders>
            <w:shd w:val="clear" w:color="000000" w:fill="009639"/>
            <w:noWrap/>
            <w:vAlign w:val="bottom"/>
            <w:hideMark/>
          </w:tcPr>
          <w:p w:rsidR="00DD2448" w:rsidRPr="00AE49C8" w:rsidRDefault="00DD2448" w:rsidP="00DD2448">
            <w:pPr>
              <w:spacing w:after="0" w:line="240" w:lineRule="auto"/>
              <w:rPr>
                <w:rFonts w:eastAsia="Times New Roman"/>
                <w:color w:val="FFFFFF"/>
                <w:szCs w:val="24"/>
                <w:lang w:eastAsia="en-GB"/>
              </w:rPr>
            </w:pPr>
            <w:r w:rsidRPr="00AE49C8">
              <w:rPr>
                <w:rFonts w:eastAsia="Times New Roman"/>
                <w:color w:val="FFFFFF"/>
                <w:szCs w:val="24"/>
                <w:lang w:eastAsia="en-GB"/>
              </w:rPr>
              <w:t>0.0%</w:t>
            </w:r>
          </w:p>
        </w:tc>
      </w:tr>
      <w:tr w:rsidR="00DD2448" w:rsidRPr="00AE49C8" w:rsidTr="0052092A">
        <w:trPr>
          <w:cantSplit/>
          <w:trHeight w:val="312"/>
          <w:tblHeader/>
          <w:jc w:val="center"/>
        </w:trPr>
        <w:tc>
          <w:tcPr>
            <w:tcW w:w="2927" w:type="dxa"/>
            <w:tcBorders>
              <w:top w:val="nil"/>
              <w:left w:val="nil"/>
              <w:bottom w:val="nil"/>
              <w:right w:val="nil"/>
            </w:tcBorders>
            <w:shd w:val="clear" w:color="000000" w:fill="FFB81C"/>
            <w:noWrap/>
            <w:vAlign w:val="bottom"/>
            <w:hideMark/>
          </w:tcPr>
          <w:p w:rsidR="00DD2448" w:rsidRPr="00AE49C8" w:rsidRDefault="00DD2448" w:rsidP="00DD2448">
            <w:pPr>
              <w:spacing w:after="0" w:line="240" w:lineRule="auto"/>
              <w:rPr>
                <w:rFonts w:eastAsia="Times New Roman"/>
                <w:b/>
                <w:bCs/>
                <w:color w:val="000000"/>
                <w:szCs w:val="24"/>
                <w:lang w:eastAsia="en-GB"/>
              </w:rPr>
            </w:pPr>
            <w:r w:rsidRPr="00AE49C8">
              <w:rPr>
                <w:rFonts w:eastAsia="Times New Roman"/>
                <w:b/>
                <w:bCs/>
                <w:color w:val="000000"/>
                <w:szCs w:val="24"/>
                <w:lang w:eastAsia="en-GB"/>
              </w:rPr>
              <w:lastRenderedPageBreak/>
              <w:t>Census 2011 (SE England)</w:t>
            </w:r>
          </w:p>
        </w:tc>
        <w:tc>
          <w:tcPr>
            <w:tcW w:w="1018" w:type="dxa"/>
            <w:tcBorders>
              <w:top w:val="nil"/>
              <w:left w:val="nil"/>
              <w:bottom w:val="nil"/>
              <w:right w:val="nil"/>
            </w:tcBorders>
            <w:shd w:val="clear" w:color="000000" w:fill="FFB81C"/>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27.6%</w:t>
            </w:r>
          </w:p>
        </w:tc>
        <w:tc>
          <w:tcPr>
            <w:tcW w:w="1266" w:type="dxa"/>
            <w:tcBorders>
              <w:top w:val="nil"/>
              <w:left w:val="nil"/>
              <w:bottom w:val="nil"/>
              <w:right w:val="nil"/>
            </w:tcBorders>
            <w:shd w:val="clear" w:color="000000" w:fill="FFB81C"/>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0.5%</w:t>
            </w:r>
          </w:p>
        </w:tc>
        <w:tc>
          <w:tcPr>
            <w:tcW w:w="1250" w:type="dxa"/>
            <w:tcBorders>
              <w:top w:val="nil"/>
              <w:left w:val="nil"/>
              <w:bottom w:val="nil"/>
              <w:right w:val="nil"/>
            </w:tcBorders>
            <w:shd w:val="clear" w:color="000000" w:fill="FFB81C"/>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59.7%</w:t>
            </w:r>
          </w:p>
        </w:tc>
        <w:tc>
          <w:tcPr>
            <w:tcW w:w="1074" w:type="dxa"/>
            <w:tcBorders>
              <w:top w:val="nil"/>
              <w:left w:val="nil"/>
              <w:bottom w:val="nil"/>
              <w:right w:val="nil"/>
            </w:tcBorders>
            <w:shd w:val="clear" w:color="000000" w:fill="FFB81C"/>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1.2%</w:t>
            </w:r>
          </w:p>
        </w:tc>
        <w:tc>
          <w:tcPr>
            <w:tcW w:w="925" w:type="dxa"/>
            <w:tcBorders>
              <w:top w:val="nil"/>
              <w:left w:val="nil"/>
              <w:bottom w:val="nil"/>
              <w:right w:val="nil"/>
            </w:tcBorders>
            <w:shd w:val="clear" w:color="000000" w:fill="FFB81C"/>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2.3%</w:t>
            </w:r>
          </w:p>
        </w:tc>
        <w:tc>
          <w:tcPr>
            <w:tcW w:w="925" w:type="dxa"/>
            <w:tcBorders>
              <w:top w:val="nil"/>
              <w:left w:val="nil"/>
              <w:bottom w:val="nil"/>
              <w:right w:val="nil"/>
            </w:tcBorders>
            <w:shd w:val="clear" w:color="000000" w:fill="FFB81C"/>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 </w:t>
            </w:r>
          </w:p>
        </w:tc>
      </w:tr>
    </w:tbl>
    <w:p w:rsidR="00DD2448" w:rsidRPr="00AE49C8" w:rsidRDefault="00DD2448" w:rsidP="00DD2448">
      <w:pPr>
        <w:rPr>
          <w:b/>
        </w:rPr>
      </w:pPr>
    </w:p>
    <w:tbl>
      <w:tblPr>
        <w:tblW w:w="9371" w:type="dxa"/>
        <w:tblLook w:val="04A0" w:firstRow="1" w:lastRow="0" w:firstColumn="1" w:lastColumn="0" w:noHBand="0" w:noVBand="1"/>
        <w:tblCaption w:val="Overall representation of workforce brokendown by religion or belief (Table 2)"/>
      </w:tblPr>
      <w:tblGrid>
        <w:gridCol w:w="3058"/>
        <w:gridCol w:w="1190"/>
        <w:gridCol w:w="960"/>
        <w:gridCol w:w="1137"/>
        <w:gridCol w:w="2015"/>
        <w:gridCol w:w="150"/>
        <w:gridCol w:w="1128"/>
        <w:gridCol w:w="168"/>
      </w:tblGrid>
      <w:tr w:rsidR="00DD2448" w:rsidRPr="00AE49C8" w:rsidTr="0052092A">
        <w:trPr>
          <w:cantSplit/>
          <w:trHeight w:val="312"/>
          <w:tblHeader/>
        </w:trPr>
        <w:tc>
          <w:tcPr>
            <w:tcW w:w="3058"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p>
        </w:tc>
        <w:tc>
          <w:tcPr>
            <w:tcW w:w="1022"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b/>
                <w:bCs/>
                <w:color w:val="000000"/>
                <w:u w:val="single"/>
                <w:lang w:eastAsia="en-GB"/>
              </w:rPr>
            </w:pPr>
            <w:r w:rsidRPr="00AE49C8">
              <w:rPr>
                <w:rFonts w:eastAsia="Times New Roman"/>
                <w:b/>
                <w:bCs/>
                <w:color w:val="000000"/>
                <w:u w:val="single"/>
                <w:lang w:eastAsia="en-GB"/>
              </w:rPr>
              <w:t>Judaism</w:t>
            </w:r>
          </w:p>
        </w:tc>
        <w:tc>
          <w:tcPr>
            <w:tcW w:w="960"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b/>
                <w:bCs/>
                <w:color w:val="000000"/>
                <w:u w:val="single"/>
                <w:lang w:eastAsia="en-GB"/>
              </w:rPr>
            </w:pPr>
            <w:r w:rsidRPr="00AE49C8">
              <w:rPr>
                <w:rFonts w:eastAsia="Times New Roman"/>
                <w:b/>
                <w:bCs/>
                <w:color w:val="000000"/>
                <w:u w:val="single"/>
                <w:lang w:eastAsia="en-GB"/>
              </w:rPr>
              <w:t>Other</w:t>
            </w:r>
          </w:p>
        </w:tc>
        <w:tc>
          <w:tcPr>
            <w:tcW w:w="9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b/>
                <w:bCs/>
                <w:color w:val="000000"/>
                <w:u w:val="single"/>
                <w:lang w:eastAsia="en-GB"/>
              </w:rPr>
            </w:pPr>
            <w:r w:rsidRPr="00AE49C8">
              <w:rPr>
                <w:rFonts w:eastAsia="Times New Roman"/>
                <w:b/>
                <w:bCs/>
                <w:color w:val="000000"/>
                <w:u w:val="single"/>
                <w:lang w:eastAsia="en-GB"/>
              </w:rPr>
              <w:t>Sikhism</w:t>
            </w:r>
          </w:p>
        </w:tc>
        <w:tc>
          <w:tcPr>
            <w:tcW w:w="2165" w:type="dxa"/>
            <w:gridSpan w:val="2"/>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b/>
                <w:bCs/>
                <w:color w:val="000000"/>
                <w:u w:val="single"/>
                <w:lang w:eastAsia="en-GB"/>
              </w:rPr>
            </w:pPr>
            <w:r w:rsidRPr="00AE49C8">
              <w:rPr>
                <w:rFonts w:eastAsia="Times New Roman"/>
                <w:b/>
                <w:bCs/>
                <w:color w:val="000000"/>
                <w:u w:val="single"/>
                <w:lang w:eastAsia="en-GB"/>
              </w:rPr>
              <w:t>Declined to Specify</w:t>
            </w:r>
          </w:p>
        </w:tc>
        <w:tc>
          <w:tcPr>
            <w:tcW w:w="1183" w:type="dxa"/>
            <w:gridSpan w:val="2"/>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b/>
                <w:bCs/>
                <w:color w:val="000000"/>
                <w:u w:val="single"/>
                <w:lang w:eastAsia="en-GB"/>
              </w:rPr>
            </w:pPr>
            <w:r w:rsidRPr="00AE49C8">
              <w:rPr>
                <w:rFonts w:eastAsia="Times New Roman"/>
                <w:b/>
                <w:bCs/>
                <w:color w:val="000000"/>
                <w:u w:val="single"/>
                <w:lang w:eastAsia="en-GB"/>
              </w:rPr>
              <w:t>Unknown</w:t>
            </w:r>
          </w:p>
        </w:tc>
      </w:tr>
      <w:tr w:rsidR="00DD2448" w:rsidRPr="00AE49C8" w:rsidTr="0052092A">
        <w:trPr>
          <w:gridAfter w:val="1"/>
          <w:wAfter w:w="150" w:type="dxa"/>
          <w:cantSplit/>
          <w:trHeight w:val="312"/>
          <w:tblHeader/>
        </w:trPr>
        <w:tc>
          <w:tcPr>
            <w:tcW w:w="3058" w:type="dxa"/>
            <w:tcBorders>
              <w:top w:val="nil"/>
              <w:left w:val="nil"/>
              <w:bottom w:val="nil"/>
              <w:right w:val="nil"/>
            </w:tcBorders>
            <w:shd w:val="clear" w:color="000000" w:fill="C5D9F1"/>
            <w:noWrap/>
            <w:vAlign w:val="bottom"/>
            <w:hideMark/>
          </w:tcPr>
          <w:p w:rsidR="00DD2448" w:rsidRPr="00AE49C8" w:rsidRDefault="00DD2448" w:rsidP="00DD2448">
            <w:pPr>
              <w:spacing w:after="0" w:line="240" w:lineRule="auto"/>
              <w:rPr>
                <w:rFonts w:eastAsia="Times New Roman"/>
                <w:b/>
                <w:bCs/>
                <w:szCs w:val="24"/>
                <w:lang w:eastAsia="en-GB"/>
              </w:rPr>
            </w:pPr>
            <w:r w:rsidRPr="00AE49C8">
              <w:rPr>
                <w:rFonts w:eastAsia="Times New Roman"/>
                <w:b/>
                <w:bCs/>
                <w:szCs w:val="24"/>
                <w:lang w:eastAsia="en-GB"/>
              </w:rPr>
              <w:t>2019/20 (BSUH)</w:t>
            </w:r>
          </w:p>
        </w:tc>
        <w:tc>
          <w:tcPr>
            <w:tcW w:w="1022" w:type="dxa"/>
            <w:tcBorders>
              <w:top w:val="nil"/>
              <w:left w:val="nil"/>
              <w:bottom w:val="nil"/>
              <w:right w:val="nil"/>
            </w:tcBorders>
            <w:shd w:val="clear" w:color="000000" w:fill="C5D9F1"/>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0.2%</w:t>
            </w:r>
          </w:p>
        </w:tc>
        <w:tc>
          <w:tcPr>
            <w:tcW w:w="960" w:type="dxa"/>
            <w:tcBorders>
              <w:top w:val="nil"/>
              <w:left w:val="nil"/>
              <w:bottom w:val="nil"/>
              <w:right w:val="nil"/>
            </w:tcBorders>
            <w:shd w:val="clear" w:color="000000" w:fill="C5D9F1"/>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9.0%</w:t>
            </w:r>
          </w:p>
        </w:tc>
        <w:tc>
          <w:tcPr>
            <w:tcW w:w="983" w:type="dxa"/>
            <w:tcBorders>
              <w:top w:val="nil"/>
              <w:left w:val="nil"/>
              <w:bottom w:val="nil"/>
              <w:right w:val="nil"/>
            </w:tcBorders>
            <w:shd w:val="clear" w:color="000000" w:fill="C5D9F1"/>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0.1%</w:t>
            </w:r>
          </w:p>
        </w:tc>
        <w:tc>
          <w:tcPr>
            <w:tcW w:w="2015" w:type="dxa"/>
            <w:tcBorders>
              <w:top w:val="nil"/>
              <w:left w:val="nil"/>
              <w:bottom w:val="nil"/>
              <w:right w:val="nil"/>
            </w:tcBorders>
            <w:shd w:val="clear" w:color="000000" w:fill="C5D9F1"/>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18.0%</w:t>
            </w:r>
          </w:p>
        </w:tc>
        <w:tc>
          <w:tcPr>
            <w:tcW w:w="1183" w:type="dxa"/>
            <w:gridSpan w:val="2"/>
            <w:tcBorders>
              <w:top w:val="nil"/>
              <w:left w:val="nil"/>
              <w:bottom w:val="nil"/>
              <w:right w:val="nil"/>
            </w:tcBorders>
            <w:shd w:val="clear" w:color="000000" w:fill="C5D9F1"/>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11.3%</w:t>
            </w:r>
          </w:p>
        </w:tc>
      </w:tr>
      <w:tr w:rsidR="00DD2448" w:rsidRPr="00AE49C8" w:rsidTr="0052092A">
        <w:trPr>
          <w:gridAfter w:val="1"/>
          <w:wAfter w:w="150" w:type="dxa"/>
          <w:cantSplit/>
          <w:trHeight w:val="312"/>
          <w:tblHeader/>
        </w:trPr>
        <w:tc>
          <w:tcPr>
            <w:tcW w:w="3058" w:type="dxa"/>
            <w:tcBorders>
              <w:top w:val="nil"/>
              <w:left w:val="nil"/>
              <w:bottom w:val="nil"/>
              <w:right w:val="nil"/>
            </w:tcBorders>
            <w:shd w:val="clear" w:color="000000" w:fill="41B6E6"/>
            <w:noWrap/>
            <w:vAlign w:val="bottom"/>
            <w:hideMark/>
          </w:tcPr>
          <w:p w:rsidR="00DD2448" w:rsidRPr="00AE49C8" w:rsidRDefault="00DD2448" w:rsidP="00DD2448">
            <w:pPr>
              <w:spacing w:after="0" w:line="240" w:lineRule="auto"/>
              <w:rPr>
                <w:rFonts w:eastAsia="Times New Roman"/>
                <w:b/>
                <w:bCs/>
                <w:szCs w:val="24"/>
                <w:lang w:eastAsia="en-GB"/>
              </w:rPr>
            </w:pPr>
            <w:r w:rsidRPr="00AE49C8">
              <w:rPr>
                <w:rFonts w:eastAsia="Times New Roman"/>
                <w:b/>
                <w:bCs/>
                <w:szCs w:val="24"/>
                <w:lang w:eastAsia="en-GB"/>
              </w:rPr>
              <w:t>2020/21 (BSUH)</w:t>
            </w:r>
          </w:p>
        </w:tc>
        <w:tc>
          <w:tcPr>
            <w:tcW w:w="1022" w:type="dxa"/>
            <w:tcBorders>
              <w:top w:val="nil"/>
              <w:left w:val="nil"/>
              <w:bottom w:val="nil"/>
              <w:right w:val="nil"/>
            </w:tcBorders>
            <w:shd w:val="clear" w:color="000000" w:fill="41B6E6"/>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0.2%</w:t>
            </w:r>
          </w:p>
        </w:tc>
        <w:tc>
          <w:tcPr>
            <w:tcW w:w="960" w:type="dxa"/>
            <w:tcBorders>
              <w:top w:val="nil"/>
              <w:left w:val="nil"/>
              <w:bottom w:val="nil"/>
              <w:right w:val="nil"/>
            </w:tcBorders>
            <w:shd w:val="clear" w:color="000000" w:fill="41B6E6"/>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9.8%</w:t>
            </w:r>
          </w:p>
        </w:tc>
        <w:tc>
          <w:tcPr>
            <w:tcW w:w="983" w:type="dxa"/>
            <w:tcBorders>
              <w:top w:val="nil"/>
              <w:left w:val="nil"/>
              <w:bottom w:val="nil"/>
              <w:right w:val="nil"/>
            </w:tcBorders>
            <w:shd w:val="clear" w:color="000000" w:fill="41B6E6"/>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2015" w:type="dxa"/>
            <w:tcBorders>
              <w:top w:val="nil"/>
              <w:left w:val="nil"/>
              <w:bottom w:val="nil"/>
              <w:right w:val="nil"/>
            </w:tcBorders>
            <w:shd w:val="clear" w:color="000000" w:fill="41B6E6"/>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16.9%</w:t>
            </w:r>
          </w:p>
        </w:tc>
        <w:tc>
          <w:tcPr>
            <w:tcW w:w="1183" w:type="dxa"/>
            <w:gridSpan w:val="2"/>
            <w:tcBorders>
              <w:top w:val="nil"/>
              <w:left w:val="nil"/>
              <w:bottom w:val="nil"/>
              <w:right w:val="nil"/>
            </w:tcBorders>
            <w:shd w:val="clear" w:color="000000" w:fill="41B6E6"/>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9.5%</w:t>
            </w:r>
          </w:p>
        </w:tc>
      </w:tr>
      <w:tr w:rsidR="00DD2448" w:rsidRPr="00AE49C8" w:rsidTr="0052092A">
        <w:trPr>
          <w:gridAfter w:val="1"/>
          <w:wAfter w:w="150" w:type="dxa"/>
          <w:cantSplit/>
          <w:trHeight w:val="312"/>
          <w:tblHeader/>
        </w:trPr>
        <w:tc>
          <w:tcPr>
            <w:tcW w:w="3058" w:type="dxa"/>
            <w:tcBorders>
              <w:top w:val="nil"/>
              <w:left w:val="nil"/>
              <w:bottom w:val="nil"/>
              <w:right w:val="nil"/>
            </w:tcBorders>
            <w:shd w:val="clear" w:color="000000" w:fill="D8E4BC"/>
            <w:noWrap/>
            <w:vAlign w:val="bottom"/>
            <w:hideMark/>
          </w:tcPr>
          <w:p w:rsidR="00DD2448" w:rsidRPr="00AE49C8" w:rsidRDefault="00DD2448" w:rsidP="00DD2448">
            <w:pPr>
              <w:spacing w:after="0" w:line="240" w:lineRule="auto"/>
              <w:rPr>
                <w:rFonts w:eastAsia="Times New Roman"/>
                <w:b/>
                <w:bCs/>
                <w:szCs w:val="24"/>
                <w:lang w:eastAsia="en-GB"/>
              </w:rPr>
            </w:pPr>
            <w:r w:rsidRPr="00AE49C8">
              <w:rPr>
                <w:rFonts w:eastAsia="Times New Roman"/>
                <w:b/>
                <w:bCs/>
                <w:szCs w:val="24"/>
                <w:lang w:eastAsia="en-GB"/>
              </w:rPr>
              <w:t>2019/20 (WSHT)</w:t>
            </w:r>
          </w:p>
        </w:tc>
        <w:tc>
          <w:tcPr>
            <w:tcW w:w="1022" w:type="dxa"/>
            <w:tcBorders>
              <w:top w:val="nil"/>
              <w:left w:val="nil"/>
              <w:bottom w:val="nil"/>
              <w:right w:val="nil"/>
            </w:tcBorders>
            <w:shd w:val="clear" w:color="000000" w:fill="D8E4BC"/>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0.2%</w:t>
            </w:r>
          </w:p>
        </w:tc>
        <w:tc>
          <w:tcPr>
            <w:tcW w:w="960" w:type="dxa"/>
            <w:tcBorders>
              <w:top w:val="nil"/>
              <w:left w:val="nil"/>
              <w:bottom w:val="nil"/>
              <w:right w:val="nil"/>
            </w:tcBorders>
            <w:shd w:val="clear" w:color="000000" w:fill="D8E4BC"/>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14.1%</w:t>
            </w:r>
          </w:p>
        </w:tc>
        <w:tc>
          <w:tcPr>
            <w:tcW w:w="983" w:type="dxa"/>
            <w:tcBorders>
              <w:top w:val="nil"/>
              <w:left w:val="nil"/>
              <w:bottom w:val="nil"/>
              <w:right w:val="nil"/>
            </w:tcBorders>
            <w:shd w:val="clear" w:color="000000" w:fill="D8E4BC"/>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0.2%</w:t>
            </w:r>
          </w:p>
        </w:tc>
        <w:tc>
          <w:tcPr>
            <w:tcW w:w="2015" w:type="dxa"/>
            <w:tcBorders>
              <w:top w:val="nil"/>
              <w:left w:val="nil"/>
              <w:bottom w:val="nil"/>
              <w:right w:val="nil"/>
            </w:tcBorders>
            <w:shd w:val="clear" w:color="000000" w:fill="D8E4BC"/>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18.9%</w:t>
            </w:r>
          </w:p>
        </w:tc>
        <w:tc>
          <w:tcPr>
            <w:tcW w:w="1183" w:type="dxa"/>
            <w:gridSpan w:val="2"/>
            <w:tcBorders>
              <w:top w:val="nil"/>
              <w:left w:val="nil"/>
              <w:bottom w:val="nil"/>
              <w:right w:val="nil"/>
            </w:tcBorders>
            <w:shd w:val="clear" w:color="000000" w:fill="D8E4BC"/>
            <w:noWrap/>
            <w:vAlign w:val="bottom"/>
            <w:hideMark/>
          </w:tcPr>
          <w:p w:rsidR="00DD2448" w:rsidRPr="00AE49C8" w:rsidRDefault="00DD2448" w:rsidP="00DD2448">
            <w:pPr>
              <w:spacing w:after="0" w:line="240" w:lineRule="auto"/>
              <w:rPr>
                <w:rFonts w:eastAsia="Times New Roman"/>
                <w:szCs w:val="24"/>
                <w:lang w:eastAsia="en-GB"/>
              </w:rPr>
            </w:pPr>
            <w:r w:rsidRPr="00AE49C8">
              <w:rPr>
                <w:rFonts w:eastAsia="Times New Roman"/>
                <w:szCs w:val="24"/>
                <w:lang w:eastAsia="en-GB"/>
              </w:rPr>
              <w:t>0.7%</w:t>
            </w:r>
          </w:p>
        </w:tc>
      </w:tr>
      <w:tr w:rsidR="00DD2448" w:rsidRPr="00AE49C8" w:rsidTr="0052092A">
        <w:trPr>
          <w:gridAfter w:val="1"/>
          <w:wAfter w:w="150" w:type="dxa"/>
          <w:cantSplit/>
          <w:trHeight w:val="312"/>
          <w:tblHeader/>
        </w:trPr>
        <w:tc>
          <w:tcPr>
            <w:tcW w:w="3058" w:type="dxa"/>
            <w:tcBorders>
              <w:top w:val="nil"/>
              <w:left w:val="nil"/>
              <w:bottom w:val="nil"/>
              <w:right w:val="nil"/>
            </w:tcBorders>
            <w:shd w:val="clear" w:color="000000" w:fill="009639"/>
            <w:noWrap/>
            <w:vAlign w:val="bottom"/>
            <w:hideMark/>
          </w:tcPr>
          <w:p w:rsidR="00DD2448" w:rsidRPr="00AE49C8" w:rsidRDefault="00DD2448" w:rsidP="00DD2448">
            <w:pPr>
              <w:spacing w:after="0" w:line="240" w:lineRule="auto"/>
              <w:rPr>
                <w:rFonts w:eastAsia="Times New Roman"/>
                <w:b/>
                <w:bCs/>
                <w:color w:val="FFFFFF"/>
                <w:szCs w:val="24"/>
                <w:lang w:eastAsia="en-GB"/>
              </w:rPr>
            </w:pPr>
            <w:r w:rsidRPr="00AE49C8">
              <w:rPr>
                <w:rFonts w:eastAsia="Times New Roman"/>
                <w:b/>
                <w:bCs/>
                <w:color w:val="FFFFFF"/>
                <w:szCs w:val="24"/>
                <w:lang w:eastAsia="en-GB"/>
              </w:rPr>
              <w:t>2020/21 (WSHT)</w:t>
            </w:r>
          </w:p>
        </w:tc>
        <w:tc>
          <w:tcPr>
            <w:tcW w:w="1022" w:type="dxa"/>
            <w:tcBorders>
              <w:top w:val="nil"/>
              <w:left w:val="nil"/>
              <w:bottom w:val="nil"/>
              <w:right w:val="nil"/>
            </w:tcBorders>
            <w:shd w:val="clear" w:color="000000" w:fill="009639"/>
            <w:noWrap/>
            <w:vAlign w:val="bottom"/>
            <w:hideMark/>
          </w:tcPr>
          <w:p w:rsidR="00DD2448" w:rsidRPr="00AE49C8" w:rsidRDefault="00DD2448" w:rsidP="00DD2448">
            <w:pPr>
              <w:spacing w:after="0" w:line="240" w:lineRule="auto"/>
              <w:rPr>
                <w:rFonts w:eastAsia="Times New Roman"/>
                <w:color w:val="FFFFFF"/>
                <w:szCs w:val="24"/>
                <w:lang w:eastAsia="en-GB"/>
              </w:rPr>
            </w:pPr>
            <w:r w:rsidRPr="00AE49C8">
              <w:rPr>
                <w:rFonts w:eastAsia="Times New Roman"/>
                <w:color w:val="FFFFFF"/>
                <w:szCs w:val="24"/>
                <w:lang w:eastAsia="en-GB"/>
              </w:rPr>
              <w:t>0.2%</w:t>
            </w:r>
          </w:p>
        </w:tc>
        <w:tc>
          <w:tcPr>
            <w:tcW w:w="960" w:type="dxa"/>
            <w:tcBorders>
              <w:top w:val="nil"/>
              <w:left w:val="nil"/>
              <w:bottom w:val="nil"/>
              <w:right w:val="nil"/>
            </w:tcBorders>
            <w:shd w:val="clear" w:color="000000" w:fill="009639"/>
            <w:noWrap/>
            <w:vAlign w:val="bottom"/>
            <w:hideMark/>
          </w:tcPr>
          <w:p w:rsidR="00DD2448" w:rsidRPr="00AE49C8" w:rsidRDefault="00DD2448" w:rsidP="00DD2448">
            <w:pPr>
              <w:spacing w:after="0" w:line="240" w:lineRule="auto"/>
              <w:rPr>
                <w:rFonts w:eastAsia="Times New Roman"/>
                <w:color w:val="FFFFFF"/>
                <w:szCs w:val="24"/>
                <w:lang w:eastAsia="en-GB"/>
              </w:rPr>
            </w:pPr>
            <w:r w:rsidRPr="00AE49C8">
              <w:rPr>
                <w:rFonts w:eastAsia="Times New Roman"/>
                <w:color w:val="FFFFFF"/>
                <w:szCs w:val="24"/>
                <w:lang w:eastAsia="en-GB"/>
              </w:rPr>
              <w:t>13.8%</w:t>
            </w:r>
          </w:p>
        </w:tc>
        <w:tc>
          <w:tcPr>
            <w:tcW w:w="983" w:type="dxa"/>
            <w:tcBorders>
              <w:top w:val="nil"/>
              <w:left w:val="nil"/>
              <w:bottom w:val="nil"/>
              <w:right w:val="nil"/>
            </w:tcBorders>
            <w:shd w:val="clear" w:color="000000" w:fill="009639"/>
            <w:noWrap/>
            <w:vAlign w:val="bottom"/>
            <w:hideMark/>
          </w:tcPr>
          <w:p w:rsidR="00DD2448" w:rsidRPr="00AE49C8" w:rsidRDefault="00DD2448" w:rsidP="00DD2448">
            <w:pPr>
              <w:spacing w:after="0" w:line="240" w:lineRule="auto"/>
              <w:rPr>
                <w:rFonts w:eastAsia="Times New Roman"/>
                <w:color w:val="FFFFFF"/>
                <w:szCs w:val="24"/>
                <w:lang w:eastAsia="en-GB"/>
              </w:rPr>
            </w:pPr>
            <w:r w:rsidRPr="00AE49C8">
              <w:rPr>
                <w:rFonts w:eastAsia="Times New Roman"/>
                <w:color w:val="FFFFFF"/>
                <w:szCs w:val="24"/>
                <w:lang w:eastAsia="en-GB"/>
              </w:rPr>
              <w:t>0.2%</w:t>
            </w:r>
          </w:p>
        </w:tc>
        <w:tc>
          <w:tcPr>
            <w:tcW w:w="2015" w:type="dxa"/>
            <w:tcBorders>
              <w:top w:val="nil"/>
              <w:left w:val="nil"/>
              <w:bottom w:val="nil"/>
              <w:right w:val="nil"/>
            </w:tcBorders>
            <w:shd w:val="clear" w:color="000000" w:fill="009639"/>
            <w:noWrap/>
            <w:vAlign w:val="bottom"/>
            <w:hideMark/>
          </w:tcPr>
          <w:p w:rsidR="00DD2448" w:rsidRPr="00AE49C8" w:rsidRDefault="00DD2448" w:rsidP="00DD2448">
            <w:pPr>
              <w:spacing w:after="0" w:line="240" w:lineRule="auto"/>
              <w:rPr>
                <w:rFonts w:eastAsia="Times New Roman"/>
                <w:color w:val="FFFFFF"/>
                <w:szCs w:val="24"/>
                <w:lang w:eastAsia="en-GB"/>
              </w:rPr>
            </w:pPr>
            <w:r w:rsidRPr="00AE49C8">
              <w:rPr>
                <w:rFonts w:eastAsia="Times New Roman"/>
                <w:color w:val="FFFFFF"/>
                <w:szCs w:val="24"/>
                <w:lang w:eastAsia="en-GB"/>
              </w:rPr>
              <w:t>18.0%</w:t>
            </w:r>
          </w:p>
        </w:tc>
        <w:tc>
          <w:tcPr>
            <w:tcW w:w="1183" w:type="dxa"/>
            <w:gridSpan w:val="2"/>
            <w:tcBorders>
              <w:top w:val="nil"/>
              <w:left w:val="nil"/>
              <w:bottom w:val="nil"/>
              <w:right w:val="nil"/>
            </w:tcBorders>
            <w:shd w:val="clear" w:color="000000" w:fill="009639"/>
            <w:noWrap/>
            <w:vAlign w:val="bottom"/>
            <w:hideMark/>
          </w:tcPr>
          <w:p w:rsidR="00DD2448" w:rsidRPr="00AE49C8" w:rsidRDefault="00DD2448" w:rsidP="00DD2448">
            <w:pPr>
              <w:spacing w:after="0" w:line="240" w:lineRule="auto"/>
              <w:rPr>
                <w:rFonts w:eastAsia="Times New Roman"/>
                <w:color w:val="FFFFFF"/>
                <w:szCs w:val="24"/>
                <w:lang w:eastAsia="en-GB"/>
              </w:rPr>
            </w:pPr>
            <w:r w:rsidRPr="00AE49C8">
              <w:rPr>
                <w:rFonts w:eastAsia="Times New Roman"/>
                <w:color w:val="FFFFFF"/>
                <w:szCs w:val="24"/>
                <w:lang w:eastAsia="en-GB"/>
              </w:rPr>
              <w:t>0.6%</w:t>
            </w:r>
          </w:p>
        </w:tc>
      </w:tr>
      <w:tr w:rsidR="00DD2448" w:rsidRPr="00AE49C8" w:rsidTr="0052092A">
        <w:trPr>
          <w:gridAfter w:val="1"/>
          <w:wAfter w:w="150" w:type="dxa"/>
          <w:cantSplit/>
          <w:trHeight w:val="312"/>
          <w:tblHeader/>
        </w:trPr>
        <w:tc>
          <w:tcPr>
            <w:tcW w:w="3058" w:type="dxa"/>
            <w:tcBorders>
              <w:top w:val="nil"/>
              <w:left w:val="nil"/>
              <w:bottom w:val="nil"/>
              <w:right w:val="nil"/>
            </w:tcBorders>
            <w:shd w:val="clear" w:color="000000" w:fill="FFB81C"/>
            <w:noWrap/>
            <w:vAlign w:val="bottom"/>
            <w:hideMark/>
          </w:tcPr>
          <w:p w:rsidR="00DD2448" w:rsidRPr="00AE49C8" w:rsidRDefault="00DD2448" w:rsidP="00DD2448">
            <w:pPr>
              <w:spacing w:after="0" w:line="240" w:lineRule="auto"/>
              <w:rPr>
                <w:rFonts w:eastAsia="Times New Roman"/>
                <w:b/>
                <w:bCs/>
                <w:color w:val="000000"/>
                <w:szCs w:val="24"/>
                <w:lang w:eastAsia="en-GB"/>
              </w:rPr>
            </w:pPr>
            <w:r w:rsidRPr="00AE49C8">
              <w:rPr>
                <w:rFonts w:eastAsia="Times New Roman"/>
                <w:b/>
                <w:bCs/>
                <w:color w:val="000000"/>
                <w:szCs w:val="24"/>
                <w:lang w:eastAsia="en-GB"/>
              </w:rPr>
              <w:t>Census 2011 (SE England)</w:t>
            </w:r>
          </w:p>
        </w:tc>
        <w:tc>
          <w:tcPr>
            <w:tcW w:w="1022" w:type="dxa"/>
            <w:tcBorders>
              <w:top w:val="nil"/>
              <w:left w:val="nil"/>
              <w:bottom w:val="nil"/>
              <w:right w:val="nil"/>
            </w:tcBorders>
            <w:shd w:val="clear" w:color="000000" w:fill="FFB81C"/>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0.2%</w:t>
            </w:r>
          </w:p>
        </w:tc>
        <w:tc>
          <w:tcPr>
            <w:tcW w:w="960" w:type="dxa"/>
            <w:tcBorders>
              <w:top w:val="nil"/>
              <w:left w:val="nil"/>
              <w:bottom w:val="nil"/>
              <w:right w:val="nil"/>
            </w:tcBorders>
            <w:shd w:val="clear" w:color="000000" w:fill="FFB81C"/>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0.5%</w:t>
            </w:r>
          </w:p>
        </w:tc>
        <w:tc>
          <w:tcPr>
            <w:tcW w:w="983" w:type="dxa"/>
            <w:tcBorders>
              <w:top w:val="nil"/>
              <w:left w:val="nil"/>
              <w:bottom w:val="nil"/>
              <w:right w:val="nil"/>
            </w:tcBorders>
            <w:shd w:val="clear" w:color="000000" w:fill="FFB81C"/>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2015" w:type="dxa"/>
            <w:tcBorders>
              <w:top w:val="nil"/>
              <w:left w:val="nil"/>
              <w:bottom w:val="nil"/>
              <w:right w:val="nil"/>
            </w:tcBorders>
            <w:shd w:val="clear" w:color="000000" w:fill="FFB81C"/>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 </w:t>
            </w:r>
          </w:p>
        </w:tc>
        <w:tc>
          <w:tcPr>
            <w:tcW w:w="1183" w:type="dxa"/>
            <w:gridSpan w:val="2"/>
            <w:tcBorders>
              <w:top w:val="nil"/>
              <w:left w:val="nil"/>
              <w:bottom w:val="nil"/>
              <w:right w:val="nil"/>
            </w:tcBorders>
            <w:shd w:val="clear" w:color="000000" w:fill="FFB81C"/>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7.4%</w:t>
            </w:r>
          </w:p>
        </w:tc>
      </w:tr>
    </w:tbl>
    <w:p w:rsidR="00DD2448" w:rsidRPr="00AE49C8" w:rsidRDefault="00DD2448" w:rsidP="00DD2448">
      <w:pPr>
        <w:rPr>
          <w:b/>
        </w:rPr>
      </w:pPr>
    </w:p>
    <w:p w:rsidR="00DD2448" w:rsidRPr="00AE49C8" w:rsidRDefault="00DD2448" w:rsidP="00DD2448">
      <w:pPr>
        <w:jc w:val="center"/>
        <w:rPr>
          <w:b/>
        </w:rPr>
      </w:pPr>
      <w:r w:rsidRPr="00AE49C8">
        <w:rPr>
          <w:noProof/>
          <w:lang w:eastAsia="en-GB"/>
        </w:rPr>
        <w:drawing>
          <wp:inline distT="0" distB="0" distL="0" distR="0" wp14:anchorId="135F8124" wp14:editId="51EA04C3">
            <wp:extent cx="5731510" cy="3192745"/>
            <wp:effectExtent l="0" t="0" r="2540" b="8255"/>
            <wp:docPr id="279" name="Chart 279" title="Overall representation of workforce brokendown by religion or belief compared to the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D2448" w:rsidRPr="000D2F61" w:rsidRDefault="00DD2448" w:rsidP="00DD2448">
      <w:r w:rsidRPr="000D2F61">
        <w:t>Observations:</w:t>
      </w:r>
    </w:p>
    <w:p w:rsidR="0052092A" w:rsidRPr="00AE49C8" w:rsidRDefault="0052092A" w:rsidP="0052092A">
      <w:r w:rsidRPr="00AE49C8">
        <w:t>BSUH Workforce:</w:t>
      </w:r>
    </w:p>
    <w:p w:rsidR="0052092A" w:rsidRPr="00AE49C8" w:rsidRDefault="0052092A" w:rsidP="0052092A">
      <w:pPr>
        <w:pStyle w:val="ListParagraph"/>
      </w:pPr>
      <w:r w:rsidRPr="00AE49C8">
        <w:t>Compared to the 2011 Census, the Trust has a lower representation of Atheists, Christians and Sikhs, a higher representation of Buddhists, Hindus and others (religion or beliefs) and broadly equal representation for Jewish and Muslim staff.</w:t>
      </w:r>
    </w:p>
    <w:p w:rsidR="0052092A" w:rsidRPr="00AE49C8" w:rsidRDefault="0052092A" w:rsidP="0052092A">
      <w:pPr>
        <w:pStyle w:val="ListParagraph"/>
      </w:pPr>
      <w:r w:rsidRPr="00AE49C8">
        <w:t>Compared to the previous year, most religions or beliefs increased, except for Christians and Jains, which stayed the same.  The number of staff where their religion or belief is unknown has decreased.</w:t>
      </w:r>
    </w:p>
    <w:p w:rsidR="0052092A" w:rsidRPr="00AE49C8" w:rsidRDefault="0052092A" w:rsidP="0052092A">
      <w:r w:rsidRPr="00AE49C8">
        <w:t>WSHT Workforce:</w:t>
      </w:r>
    </w:p>
    <w:p w:rsidR="0052092A" w:rsidRPr="00AE49C8" w:rsidRDefault="0052092A" w:rsidP="0052092A">
      <w:pPr>
        <w:pStyle w:val="ListParagraph"/>
      </w:pPr>
      <w:r w:rsidRPr="00AE49C8">
        <w:t xml:space="preserve">Compared to the 2011 Census, the Trust has a lower representation of Atheists, Christians and Sikhs, a higher representation of Buddhists, Hindus, </w:t>
      </w:r>
      <w:r w:rsidRPr="00AE49C8">
        <w:lastRenderedPageBreak/>
        <w:t>Muslims and others (religion or beliefs) and broadly equal representation for Jewish staff.</w:t>
      </w:r>
    </w:p>
    <w:p w:rsidR="0052092A" w:rsidRPr="00AE49C8" w:rsidRDefault="0052092A" w:rsidP="0052092A">
      <w:pPr>
        <w:pStyle w:val="ListParagraph"/>
      </w:pPr>
      <w:r w:rsidRPr="00AE49C8">
        <w:t>Compared to the previous year, the overall representation of Atheists and Hindus increased, Buddhists, Muslims, Jains, Jewish and Sikh staff stayed the same and Christian and other religions or beliefs decreased.</w:t>
      </w:r>
    </w:p>
    <w:p w:rsidR="007673D5" w:rsidRPr="00AE49C8" w:rsidRDefault="00DD2448" w:rsidP="007673D5">
      <w:pPr>
        <w:pStyle w:val="Heading3"/>
      </w:pPr>
      <w:bookmarkStart w:id="68" w:name="_Toc88634015"/>
      <w:r w:rsidRPr="00AE49C8">
        <w:t>Breakdown of religion or belief by pay banding</w:t>
      </w:r>
      <w:bookmarkEnd w:id="68"/>
    </w:p>
    <w:p w:rsidR="00DD2448" w:rsidRPr="00AE49C8" w:rsidRDefault="007673D5" w:rsidP="00DD2448">
      <w:r w:rsidRPr="00AE49C8">
        <w:t>T</w:t>
      </w:r>
      <w:r w:rsidR="00DD2448" w:rsidRPr="00AE49C8">
        <w:t xml:space="preserve">he items in </w:t>
      </w:r>
      <w:r w:rsidRPr="00AE49C8">
        <w:t>bold show</w:t>
      </w:r>
      <w:r w:rsidR="00DD2448" w:rsidRPr="00AE49C8">
        <w:t xml:space="preserve"> there is a great representation of that particular group compared to the representation in the overall workforce</w:t>
      </w:r>
    </w:p>
    <w:p w:rsidR="00DD2448" w:rsidRPr="00AE49C8" w:rsidRDefault="00DD2448" w:rsidP="00DD2448">
      <w:pPr>
        <w:rPr>
          <w:b/>
        </w:rPr>
      </w:pPr>
      <w:r w:rsidRPr="00AE49C8">
        <w:rPr>
          <w:b/>
        </w:rPr>
        <w:t>BSUH</w:t>
      </w:r>
    </w:p>
    <w:tbl>
      <w:tblPr>
        <w:tblW w:w="9746" w:type="dxa"/>
        <w:jc w:val="center"/>
        <w:tblBorders>
          <w:insideH w:val="dotted" w:sz="4" w:space="0" w:color="auto"/>
        </w:tblBorders>
        <w:tblLook w:val="04A0" w:firstRow="1" w:lastRow="0" w:firstColumn="1" w:lastColumn="0" w:noHBand="0" w:noVBand="1"/>
        <w:tblCaption w:val="Payband brokendown by religion or belief (Table 1)"/>
      </w:tblPr>
      <w:tblGrid>
        <w:gridCol w:w="1858"/>
        <w:gridCol w:w="1163"/>
        <w:gridCol w:w="1390"/>
        <w:gridCol w:w="1537"/>
        <w:gridCol w:w="1310"/>
        <w:gridCol w:w="830"/>
        <w:gridCol w:w="1110"/>
        <w:gridCol w:w="1190"/>
        <w:gridCol w:w="1030"/>
      </w:tblGrid>
      <w:tr w:rsidR="00DD2448" w:rsidRPr="00AE49C8" w:rsidTr="00982FBA">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b/>
                <w:bCs/>
                <w:color w:val="000000"/>
                <w:szCs w:val="24"/>
                <w:lang w:eastAsia="en-GB"/>
              </w:rPr>
            </w:pPr>
            <w:r w:rsidRPr="00AE49C8">
              <w:rPr>
                <w:rFonts w:eastAsia="Times New Roman"/>
                <w:b/>
                <w:bCs/>
                <w:color w:val="000000"/>
                <w:szCs w:val="24"/>
                <w:lang w:eastAsia="en-GB"/>
              </w:rPr>
              <w:t>Pay Band</w:t>
            </w:r>
          </w:p>
        </w:tc>
        <w:tc>
          <w:tcPr>
            <w:tcW w:w="976" w:type="dxa"/>
            <w:shd w:val="clear" w:color="auto" w:fill="auto"/>
            <w:noWrap/>
            <w:vAlign w:val="bottom"/>
            <w:hideMark/>
          </w:tcPr>
          <w:p w:rsidR="00DD2448" w:rsidRPr="00AE49C8" w:rsidRDefault="00DD2448" w:rsidP="00DD2448">
            <w:pPr>
              <w:spacing w:after="0" w:line="240" w:lineRule="auto"/>
              <w:rPr>
                <w:rFonts w:eastAsia="Times New Roman"/>
                <w:b/>
                <w:bCs/>
                <w:color w:val="000000"/>
                <w:szCs w:val="24"/>
                <w:lang w:eastAsia="en-GB"/>
              </w:rPr>
            </w:pPr>
            <w:r w:rsidRPr="00AE49C8">
              <w:rPr>
                <w:rFonts w:eastAsia="Times New Roman"/>
                <w:b/>
                <w:bCs/>
                <w:color w:val="000000"/>
                <w:szCs w:val="24"/>
                <w:lang w:eastAsia="en-GB"/>
              </w:rPr>
              <w:t>Atheism</w:t>
            </w:r>
          </w:p>
        </w:tc>
        <w:tc>
          <w:tcPr>
            <w:tcW w:w="1133" w:type="dxa"/>
            <w:shd w:val="clear" w:color="auto" w:fill="auto"/>
            <w:noWrap/>
            <w:vAlign w:val="bottom"/>
            <w:hideMark/>
          </w:tcPr>
          <w:p w:rsidR="00DD2448" w:rsidRPr="00AE49C8" w:rsidRDefault="00DD2448" w:rsidP="00DD2448">
            <w:pPr>
              <w:spacing w:after="0" w:line="240" w:lineRule="auto"/>
              <w:rPr>
                <w:rFonts w:eastAsia="Times New Roman"/>
                <w:b/>
                <w:bCs/>
                <w:color w:val="000000"/>
                <w:szCs w:val="24"/>
                <w:lang w:eastAsia="en-GB"/>
              </w:rPr>
            </w:pPr>
            <w:r w:rsidRPr="00AE49C8">
              <w:rPr>
                <w:rFonts w:eastAsia="Times New Roman"/>
                <w:b/>
                <w:bCs/>
                <w:color w:val="000000"/>
                <w:szCs w:val="24"/>
                <w:lang w:eastAsia="en-GB"/>
              </w:rPr>
              <w:t>Buddhism</w:t>
            </w:r>
          </w:p>
        </w:tc>
        <w:tc>
          <w:tcPr>
            <w:tcW w:w="1262" w:type="dxa"/>
            <w:shd w:val="clear" w:color="auto" w:fill="auto"/>
            <w:noWrap/>
            <w:vAlign w:val="bottom"/>
            <w:hideMark/>
          </w:tcPr>
          <w:p w:rsidR="00DD2448" w:rsidRPr="00AE49C8" w:rsidRDefault="00DD2448" w:rsidP="00DD2448">
            <w:pPr>
              <w:spacing w:after="0" w:line="240" w:lineRule="auto"/>
              <w:rPr>
                <w:rFonts w:eastAsia="Times New Roman"/>
                <w:b/>
                <w:bCs/>
                <w:color w:val="000000"/>
                <w:szCs w:val="24"/>
                <w:lang w:eastAsia="en-GB"/>
              </w:rPr>
            </w:pPr>
            <w:r w:rsidRPr="00AE49C8">
              <w:rPr>
                <w:rFonts w:eastAsia="Times New Roman"/>
                <w:b/>
                <w:bCs/>
                <w:color w:val="000000"/>
                <w:szCs w:val="24"/>
                <w:lang w:eastAsia="en-GB"/>
              </w:rPr>
              <w:t>Christianity</w:t>
            </w:r>
          </w:p>
        </w:tc>
        <w:tc>
          <w:tcPr>
            <w:tcW w:w="1084" w:type="dxa"/>
            <w:shd w:val="clear" w:color="auto" w:fill="auto"/>
            <w:noWrap/>
            <w:vAlign w:val="bottom"/>
            <w:hideMark/>
          </w:tcPr>
          <w:p w:rsidR="00DD2448" w:rsidRPr="00AE49C8" w:rsidRDefault="00DD2448" w:rsidP="00DD2448">
            <w:pPr>
              <w:spacing w:after="0" w:line="240" w:lineRule="auto"/>
              <w:rPr>
                <w:rFonts w:eastAsia="Times New Roman"/>
                <w:b/>
                <w:bCs/>
                <w:color w:val="000000"/>
                <w:szCs w:val="24"/>
                <w:lang w:eastAsia="en-GB"/>
              </w:rPr>
            </w:pPr>
            <w:r w:rsidRPr="00AE49C8">
              <w:rPr>
                <w:rFonts w:eastAsia="Times New Roman"/>
                <w:b/>
                <w:bCs/>
                <w:color w:val="000000"/>
                <w:szCs w:val="24"/>
                <w:lang w:eastAsia="en-GB"/>
              </w:rPr>
              <w:t>Hinduism</w:t>
            </w:r>
          </w:p>
        </w:tc>
        <w:tc>
          <w:tcPr>
            <w:tcW w:w="705" w:type="dxa"/>
            <w:shd w:val="clear" w:color="auto" w:fill="auto"/>
            <w:noWrap/>
            <w:vAlign w:val="bottom"/>
            <w:hideMark/>
          </w:tcPr>
          <w:p w:rsidR="00DD2448" w:rsidRPr="00AE49C8" w:rsidRDefault="00DD2448" w:rsidP="00DD2448">
            <w:pPr>
              <w:spacing w:after="0" w:line="240" w:lineRule="auto"/>
              <w:rPr>
                <w:rFonts w:eastAsia="Times New Roman"/>
                <w:b/>
                <w:bCs/>
                <w:color w:val="000000"/>
                <w:szCs w:val="24"/>
                <w:lang w:eastAsia="en-GB"/>
              </w:rPr>
            </w:pPr>
            <w:r w:rsidRPr="00AE49C8">
              <w:rPr>
                <w:rFonts w:eastAsia="Times New Roman"/>
                <w:b/>
                <w:bCs/>
                <w:color w:val="000000"/>
                <w:szCs w:val="24"/>
                <w:lang w:eastAsia="en-GB"/>
              </w:rPr>
              <w:t>Islam</w:t>
            </w:r>
          </w:p>
        </w:tc>
        <w:tc>
          <w:tcPr>
            <w:tcW w:w="891" w:type="dxa"/>
            <w:shd w:val="clear" w:color="auto" w:fill="auto"/>
            <w:noWrap/>
            <w:vAlign w:val="bottom"/>
            <w:hideMark/>
          </w:tcPr>
          <w:p w:rsidR="00DD2448" w:rsidRPr="00AE49C8" w:rsidRDefault="00DD2448" w:rsidP="00DD2448">
            <w:pPr>
              <w:spacing w:after="0" w:line="240" w:lineRule="auto"/>
              <w:rPr>
                <w:rFonts w:eastAsia="Times New Roman"/>
                <w:b/>
                <w:bCs/>
                <w:color w:val="000000"/>
                <w:szCs w:val="24"/>
                <w:lang w:eastAsia="en-GB"/>
              </w:rPr>
            </w:pPr>
            <w:r w:rsidRPr="00AE49C8">
              <w:rPr>
                <w:rFonts w:eastAsia="Times New Roman"/>
                <w:b/>
                <w:bCs/>
                <w:color w:val="000000"/>
                <w:szCs w:val="24"/>
                <w:lang w:eastAsia="en-GB"/>
              </w:rPr>
              <w:t>Jainism</w:t>
            </w:r>
          </w:p>
        </w:tc>
        <w:tc>
          <w:tcPr>
            <w:tcW w:w="955" w:type="dxa"/>
            <w:shd w:val="clear" w:color="auto" w:fill="auto"/>
            <w:noWrap/>
            <w:vAlign w:val="bottom"/>
            <w:hideMark/>
          </w:tcPr>
          <w:p w:rsidR="00DD2448" w:rsidRPr="00AE49C8" w:rsidRDefault="00DD2448" w:rsidP="00DD2448">
            <w:pPr>
              <w:spacing w:after="0" w:line="240" w:lineRule="auto"/>
              <w:rPr>
                <w:rFonts w:eastAsia="Times New Roman"/>
                <w:b/>
                <w:bCs/>
                <w:color w:val="000000"/>
                <w:szCs w:val="24"/>
                <w:lang w:eastAsia="en-GB"/>
              </w:rPr>
            </w:pPr>
            <w:r w:rsidRPr="00AE49C8">
              <w:rPr>
                <w:rFonts w:eastAsia="Times New Roman"/>
                <w:b/>
                <w:bCs/>
                <w:color w:val="000000"/>
                <w:szCs w:val="24"/>
                <w:lang w:eastAsia="en-GB"/>
              </w:rPr>
              <w:t>Judaism</w:t>
            </w:r>
          </w:p>
        </w:tc>
        <w:tc>
          <w:tcPr>
            <w:tcW w:w="882" w:type="dxa"/>
            <w:shd w:val="clear" w:color="auto" w:fill="auto"/>
            <w:noWrap/>
            <w:vAlign w:val="bottom"/>
            <w:hideMark/>
          </w:tcPr>
          <w:p w:rsidR="00DD2448" w:rsidRPr="00AE49C8" w:rsidRDefault="00DD2448" w:rsidP="00DD2448">
            <w:pPr>
              <w:spacing w:after="0" w:line="240" w:lineRule="auto"/>
              <w:rPr>
                <w:rFonts w:eastAsia="Times New Roman"/>
                <w:b/>
                <w:bCs/>
                <w:color w:val="000000"/>
                <w:szCs w:val="24"/>
                <w:lang w:eastAsia="en-GB"/>
              </w:rPr>
            </w:pPr>
            <w:r w:rsidRPr="00AE49C8">
              <w:rPr>
                <w:rFonts w:eastAsia="Times New Roman"/>
                <w:b/>
                <w:bCs/>
                <w:color w:val="000000"/>
                <w:szCs w:val="24"/>
                <w:lang w:eastAsia="en-GB"/>
              </w:rPr>
              <w:t>Other</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1</w:t>
            </w:r>
          </w:p>
        </w:tc>
        <w:tc>
          <w:tcPr>
            <w:tcW w:w="976"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7.9%</w:t>
            </w:r>
          </w:p>
        </w:tc>
        <w:tc>
          <w:tcPr>
            <w:tcW w:w="113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1.1%</w:t>
            </w:r>
          </w:p>
        </w:tc>
        <w:tc>
          <w:tcPr>
            <w:tcW w:w="1262"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56.2%</w:t>
            </w:r>
          </w:p>
        </w:tc>
        <w:tc>
          <w:tcPr>
            <w:tcW w:w="1084"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2.2%</w:t>
            </w:r>
          </w:p>
        </w:tc>
        <w:tc>
          <w:tcPr>
            <w:tcW w:w="705"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9.0%</w:t>
            </w:r>
          </w:p>
        </w:tc>
        <w:tc>
          <w:tcPr>
            <w:tcW w:w="891"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5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88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9.0%</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2</w:t>
            </w:r>
          </w:p>
        </w:tc>
        <w:tc>
          <w:tcPr>
            <w:tcW w:w="976"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16.5%</w:t>
            </w:r>
          </w:p>
        </w:tc>
        <w:tc>
          <w:tcPr>
            <w:tcW w:w="113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0.9%</w:t>
            </w:r>
          </w:p>
        </w:tc>
        <w:tc>
          <w:tcPr>
            <w:tcW w:w="1262"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45.2%</w:t>
            </w:r>
          </w:p>
        </w:tc>
        <w:tc>
          <w:tcPr>
            <w:tcW w:w="1084"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1.6%</w:t>
            </w:r>
          </w:p>
        </w:tc>
        <w:tc>
          <w:tcPr>
            <w:tcW w:w="705"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2.5%</w:t>
            </w:r>
          </w:p>
        </w:tc>
        <w:tc>
          <w:tcPr>
            <w:tcW w:w="891"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55"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0.2%</w:t>
            </w:r>
          </w:p>
        </w:tc>
        <w:tc>
          <w:tcPr>
            <w:tcW w:w="882"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13.5%</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3</w:t>
            </w:r>
          </w:p>
        </w:tc>
        <w:tc>
          <w:tcPr>
            <w:tcW w:w="976"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17.6%</w:t>
            </w:r>
          </w:p>
        </w:tc>
        <w:tc>
          <w:tcPr>
            <w:tcW w:w="113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w:t>
            </w:r>
          </w:p>
        </w:tc>
        <w:tc>
          <w:tcPr>
            <w:tcW w:w="1262"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42.5%</w:t>
            </w:r>
          </w:p>
        </w:tc>
        <w:tc>
          <w:tcPr>
            <w:tcW w:w="1084"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70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1.7%</w:t>
            </w:r>
          </w:p>
        </w:tc>
        <w:tc>
          <w:tcPr>
            <w:tcW w:w="891" w:type="dxa"/>
            <w:shd w:val="clear" w:color="auto" w:fill="auto"/>
            <w:noWrap/>
            <w:vAlign w:val="bottom"/>
            <w:hideMark/>
          </w:tcPr>
          <w:p w:rsidR="00DD2448" w:rsidRPr="00AE49C8" w:rsidRDefault="006D1313" w:rsidP="00DD2448">
            <w:pPr>
              <w:spacing w:after="0" w:line="240" w:lineRule="auto"/>
              <w:rPr>
                <w:rFonts w:eastAsia="Times New Roman"/>
                <w:color w:val="000000"/>
                <w:szCs w:val="24"/>
                <w:lang w:eastAsia="en-GB"/>
              </w:rPr>
            </w:pPr>
            <w:r w:rsidRPr="00AE49C8">
              <w:rPr>
                <w:rFonts w:eastAsia="Times New Roman"/>
                <w:color w:val="000000"/>
                <w:szCs w:val="24"/>
                <w:lang w:eastAsia="en-GB"/>
              </w:rPr>
              <w:t>23</w:t>
            </w:r>
          </w:p>
        </w:tc>
        <w:tc>
          <w:tcPr>
            <w:tcW w:w="95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882"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12.2%</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4</w:t>
            </w:r>
          </w:p>
        </w:tc>
        <w:tc>
          <w:tcPr>
            <w:tcW w:w="976"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18.4%</w:t>
            </w:r>
          </w:p>
        </w:tc>
        <w:tc>
          <w:tcPr>
            <w:tcW w:w="113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262" w:type="dxa"/>
            <w:shd w:val="clear" w:color="auto" w:fill="auto"/>
            <w:noWrap/>
            <w:vAlign w:val="bottom"/>
            <w:hideMark/>
          </w:tcPr>
          <w:p w:rsidR="00DD2448" w:rsidRPr="00AE49C8" w:rsidRDefault="00DD2448" w:rsidP="00DD2448">
            <w:pPr>
              <w:spacing w:after="0" w:line="240" w:lineRule="auto"/>
              <w:rPr>
                <w:rFonts w:eastAsia="Times New Roman"/>
                <w:bCs/>
                <w:color w:val="000000"/>
                <w:szCs w:val="24"/>
                <w:lang w:eastAsia="en-GB"/>
              </w:rPr>
            </w:pPr>
            <w:r w:rsidRPr="00AE49C8">
              <w:rPr>
                <w:rFonts w:eastAsia="Times New Roman"/>
                <w:bCs/>
                <w:color w:val="000000"/>
                <w:szCs w:val="24"/>
                <w:lang w:eastAsia="en-GB"/>
              </w:rPr>
              <w:t>39.5%</w:t>
            </w:r>
          </w:p>
        </w:tc>
        <w:tc>
          <w:tcPr>
            <w:tcW w:w="1084"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0.7%</w:t>
            </w:r>
          </w:p>
        </w:tc>
        <w:tc>
          <w:tcPr>
            <w:tcW w:w="70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891"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55"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0.3%</w:t>
            </w:r>
          </w:p>
        </w:tc>
        <w:tc>
          <w:tcPr>
            <w:tcW w:w="882"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12.4%</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5</w:t>
            </w:r>
          </w:p>
        </w:tc>
        <w:tc>
          <w:tcPr>
            <w:tcW w:w="976"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23.1%</w:t>
            </w:r>
          </w:p>
        </w:tc>
        <w:tc>
          <w:tcPr>
            <w:tcW w:w="113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w:t>
            </w:r>
          </w:p>
        </w:tc>
        <w:tc>
          <w:tcPr>
            <w:tcW w:w="1262"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41.7%</w:t>
            </w:r>
          </w:p>
        </w:tc>
        <w:tc>
          <w:tcPr>
            <w:tcW w:w="1084"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70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0.7%</w:t>
            </w:r>
          </w:p>
        </w:tc>
        <w:tc>
          <w:tcPr>
            <w:tcW w:w="891"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5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88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9.1%</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6</w:t>
            </w:r>
          </w:p>
        </w:tc>
        <w:tc>
          <w:tcPr>
            <w:tcW w:w="976"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24.0%</w:t>
            </w:r>
          </w:p>
        </w:tc>
        <w:tc>
          <w:tcPr>
            <w:tcW w:w="113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0.7%</w:t>
            </w:r>
          </w:p>
        </w:tc>
        <w:tc>
          <w:tcPr>
            <w:tcW w:w="1262" w:type="dxa"/>
            <w:shd w:val="clear" w:color="auto" w:fill="auto"/>
            <w:noWrap/>
            <w:vAlign w:val="bottom"/>
            <w:hideMark/>
          </w:tcPr>
          <w:p w:rsidR="00DD2448" w:rsidRPr="00AE49C8" w:rsidRDefault="00DD2448" w:rsidP="00DD2448">
            <w:pPr>
              <w:spacing w:after="0" w:line="240" w:lineRule="auto"/>
              <w:rPr>
                <w:rFonts w:eastAsia="Times New Roman"/>
                <w:bCs/>
                <w:color w:val="000000"/>
                <w:szCs w:val="24"/>
                <w:lang w:eastAsia="en-GB"/>
              </w:rPr>
            </w:pPr>
            <w:r w:rsidRPr="00AE49C8">
              <w:rPr>
                <w:rFonts w:eastAsia="Times New Roman"/>
                <w:bCs/>
                <w:color w:val="000000"/>
                <w:szCs w:val="24"/>
                <w:lang w:eastAsia="en-GB"/>
              </w:rPr>
              <w:t>37.7%</w:t>
            </w:r>
          </w:p>
        </w:tc>
        <w:tc>
          <w:tcPr>
            <w:tcW w:w="1084"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0.8%</w:t>
            </w:r>
          </w:p>
        </w:tc>
        <w:tc>
          <w:tcPr>
            <w:tcW w:w="70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0.9%</w:t>
            </w:r>
          </w:p>
        </w:tc>
        <w:tc>
          <w:tcPr>
            <w:tcW w:w="891"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5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88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9.1%</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7</w:t>
            </w:r>
          </w:p>
        </w:tc>
        <w:tc>
          <w:tcPr>
            <w:tcW w:w="976"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23.0%</w:t>
            </w:r>
          </w:p>
        </w:tc>
        <w:tc>
          <w:tcPr>
            <w:tcW w:w="113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1.3%</w:t>
            </w:r>
          </w:p>
        </w:tc>
        <w:tc>
          <w:tcPr>
            <w:tcW w:w="126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34.9%</w:t>
            </w:r>
          </w:p>
        </w:tc>
        <w:tc>
          <w:tcPr>
            <w:tcW w:w="1084"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0.8%</w:t>
            </w:r>
          </w:p>
        </w:tc>
        <w:tc>
          <w:tcPr>
            <w:tcW w:w="70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0.9%</w:t>
            </w:r>
          </w:p>
        </w:tc>
        <w:tc>
          <w:tcPr>
            <w:tcW w:w="891"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0.1%</w:t>
            </w:r>
          </w:p>
        </w:tc>
        <w:tc>
          <w:tcPr>
            <w:tcW w:w="95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88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8.7%</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8a</w:t>
            </w:r>
          </w:p>
        </w:tc>
        <w:tc>
          <w:tcPr>
            <w:tcW w:w="976"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20.9%</w:t>
            </w:r>
          </w:p>
        </w:tc>
        <w:tc>
          <w:tcPr>
            <w:tcW w:w="113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0.8%</w:t>
            </w:r>
          </w:p>
        </w:tc>
        <w:tc>
          <w:tcPr>
            <w:tcW w:w="126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32.6%</w:t>
            </w:r>
          </w:p>
        </w:tc>
        <w:tc>
          <w:tcPr>
            <w:tcW w:w="1084"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2.7%</w:t>
            </w:r>
          </w:p>
        </w:tc>
        <w:tc>
          <w:tcPr>
            <w:tcW w:w="70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1.2%</w:t>
            </w:r>
          </w:p>
        </w:tc>
        <w:tc>
          <w:tcPr>
            <w:tcW w:w="891"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5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88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7.8%</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8b</w:t>
            </w:r>
          </w:p>
        </w:tc>
        <w:tc>
          <w:tcPr>
            <w:tcW w:w="976"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23.2%</w:t>
            </w:r>
          </w:p>
        </w:tc>
        <w:tc>
          <w:tcPr>
            <w:tcW w:w="113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0.9%</w:t>
            </w:r>
          </w:p>
        </w:tc>
        <w:tc>
          <w:tcPr>
            <w:tcW w:w="126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31.3%</w:t>
            </w:r>
          </w:p>
        </w:tc>
        <w:tc>
          <w:tcPr>
            <w:tcW w:w="1084"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1.8%</w:t>
            </w:r>
          </w:p>
        </w:tc>
        <w:tc>
          <w:tcPr>
            <w:tcW w:w="70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1.8%</w:t>
            </w:r>
          </w:p>
        </w:tc>
        <w:tc>
          <w:tcPr>
            <w:tcW w:w="891"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5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882"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10.7%</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8c</w:t>
            </w:r>
          </w:p>
        </w:tc>
        <w:tc>
          <w:tcPr>
            <w:tcW w:w="976"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32.5%</w:t>
            </w:r>
          </w:p>
        </w:tc>
        <w:tc>
          <w:tcPr>
            <w:tcW w:w="113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6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27.5%</w:t>
            </w:r>
          </w:p>
        </w:tc>
        <w:tc>
          <w:tcPr>
            <w:tcW w:w="1084"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70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891"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5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882"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10.0%</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8d</w:t>
            </w:r>
          </w:p>
        </w:tc>
        <w:tc>
          <w:tcPr>
            <w:tcW w:w="976"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33.3%</w:t>
            </w:r>
          </w:p>
        </w:tc>
        <w:tc>
          <w:tcPr>
            <w:tcW w:w="113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6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23.8%</w:t>
            </w:r>
          </w:p>
        </w:tc>
        <w:tc>
          <w:tcPr>
            <w:tcW w:w="1084"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70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891"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5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88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9.5%</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9</w:t>
            </w:r>
          </w:p>
        </w:tc>
        <w:tc>
          <w:tcPr>
            <w:tcW w:w="976"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6.3%</w:t>
            </w:r>
          </w:p>
        </w:tc>
        <w:tc>
          <w:tcPr>
            <w:tcW w:w="113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62"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56.3%</w:t>
            </w:r>
          </w:p>
        </w:tc>
        <w:tc>
          <w:tcPr>
            <w:tcW w:w="1084"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70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891"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5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882"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12.5%</w:t>
            </w:r>
          </w:p>
        </w:tc>
      </w:tr>
      <w:tr w:rsidR="00DD2448" w:rsidRPr="00AE49C8" w:rsidTr="00982FBA">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Directors</w:t>
            </w:r>
          </w:p>
        </w:tc>
        <w:tc>
          <w:tcPr>
            <w:tcW w:w="976"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18.2%</w:t>
            </w:r>
          </w:p>
        </w:tc>
        <w:tc>
          <w:tcPr>
            <w:tcW w:w="113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6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9.1%</w:t>
            </w:r>
          </w:p>
        </w:tc>
        <w:tc>
          <w:tcPr>
            <w:tcW w:w="1084"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70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891"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5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88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Consultant</w:t>
            </w:r>
          </w:p>
        </w:tc>
        <w:tc>
          <w:tcPr>
            <w:tcW w:w="976"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14.3%</w:t>
            </w:r>
          </w:p>
        </w:tc>
        <w:tc>
          <w:tcPr>
            <w:tcW w:w="113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26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26.6%</w:t>
            </w:r>
          </w:p>
        </w:tc>
        <w:tc>
          <w:tcPr>
            <w:tcW w:w="1084"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7.2%</w:t>
            </w:r>
          </w:p>
        </w:tc>
        <w:tc>
          <w:tcPr>
            <w:tcW w:w="705"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3.5%</w:t>
            </w:r>
          </w:p>
        </w:tc>
        <w:tc>
          <w:tcPr>
            <w:tcW w:w="891"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0.2%</w:t>
            </w:r>
          </w:p>
        </w:tc>
        <w:tc>
          <w:tcPr>
            <w:tcW w:w="955"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0.4%</w:t>
            </w:r>
          </w:p>
        </w:tc>
        <w:tc>
          <w:tcPr>
            <w:tcW w:w="88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4.5%</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Middle Grade</w:t>
            </w:r>
          </w:p>
        </w:tc>
        <w:tc>
          <w:tcPr>
            <w:tcW w:w="976"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14.5%</w:t>
            </w:r>
          </w:p>
        </w:tc>
        <w:tc>
          <w:tcPr>
            <w:tcW w:w="113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6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20.0%</w:t>
            </w:r>
          </w:p>
        </w:tc>
        <w:tc>
          <w:tcPr>
            <w:tcW w:w="1084"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1.8%</w:t>
            </w:r>
          </w:p>
        </w:tc>
        <w:tc>
          <w:tcPr>
            <w:tcW w:w="70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1.8%</w:t>
            </w:r>
          </w:p>
        </w:tc>
        <w:tc>
          <w:tcPr>
            <w:tcW w:w="891"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1.8%</w:t>
            </w:r>
          </w:p>
        </w:tc>
        <w:tc>
          <w:tcPr>
            <w:tcW w:w="95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88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1.8%</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Training</w:t>
            </w:r>
          </w:p>
        </w:tc>
        <w:tc>
          <w:tcPr>
            <w:tcW w:w="976"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28.0%</w:t>
            </w:r>
          </w:p>
        </w:tc>
        <w:tc>
          <w:tcPr>
            <w:tcW w:w="113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1.6%</w:t>
            </w:r>
          </w:p>
        </w:tc>
        <w:tc>
          <w:tcPr>
            <w:tcW w:w="126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19.0%</w:t>
            </w:r>
          </w:p>
        </w:tc>
        <w:tc>
          <w:tcPr>
            <w:tcW w:w="1084"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4.8%</w:t>
            </w:r>
          </w:p>
        </w:tc>
        <w:tc>
          <w:tcPr>
            <w:tcW w:w="705"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9.0%</w:t>
            </w:r>
          </w:p>
        </w:tc>
        <w:tc>
          <w:tcPr>
            <w:tcW w:w="891"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55"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0.7%</w:t>
            </w:r>
          </w:p>
        </w:tc>
        <w:tc>
          <w:tcPr>
            <w:tcW w:w="88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5.1%</w:t>
            </w:r>
          </w:p>
        </w:tc>
      </w:tr>
      <w:tr w:rsidR="00DD2448" w:rsidRPr="00AE49C8" w:rsidTr="00C92A79">
        <w:trPr>
          <w:cantSplit/>
          <w:trHeight w:val="288"/>
          <w:tblHeader/>
          <w:jc w:val="center"/>
        </w:trPr>
        <w:tc>
          <w:tcPr>
            <w:tcW w:w="18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Local Scale</w:t>
            </w:r>
          </w:p>
        </w:tc>
        <w:tc>
          <w:tcPr>
            <w:tcW w:w="976"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3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6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084"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70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891"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55"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882"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100.0%</w:t>
            </w:r>
          </w:p>
        </w:tc>
      </w:tr>
    </w:tbl>
    <w:p w:rsidR="00DD2448" w:rsidRPr="00AE49C8" w:rsidRDefault="00DD2448" w:rsidP="00DD2448">
      <w:pPr>
        <w:rPr>
          <w:b/>
        </w:rPr>
      </w:pPr>
    </w:p>
    <w:tbl>
      <w:tblPr>
        <w:tblW w:w="6596" w:type="dxa"/>
        <w:jc w:val="center"/>
        <w:tblBorders>
          <w:insideH w:val="dotted" w:sz="4" w:space="0" w:color="auto"/>
        </w:tblBorders>
        <w:tblLook w:val="04A0" w:firstRow="1" w:lastRow="0" w:firstColumn="1" w:lastColumn="0" w:noHBand="0" w:noVBand="1"/>
        <w:tblCaption w:val="Payband brokendown by religion or belief (Table 2)"/>
      </w:tblPr>
      <w:tblGrid>
        <w:gridCol w:w="2072"/>
        <w:gridCol w:w="1137"/>
        <w:gridCol w:w="2358"/>
        <w:gridCol w:w="1296"/>
      </w:tblGrid>
      <w:tr w:rsidR="00DD2448" w:rsidRPr="00AE49C8" w:rsidTr="00982FBA">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b/>
                <w:bCs/>
                <w:color w:val="000000"/>
                <w:szCs w:val="24"/>
                <w:lang w:eastAsia="en-GB"/>
              </w:rPr>
            </w:pPr>
            <w:r w:rsidRPr="00AE49C8">
              <w:rPr>
                <w:rFonts w:eastAsia="Times New Roman"/>
                <w:b/>
                <w:bCs/>
                <w:color w:val="000000"/>
                <w:szCs w:val="24"/>
                <w:lang w:eastAsia="en-GB"/>
              </w:rPr>
              <w:t>Pay Band</w:t>
            </w:r>
          </w:p>
        </w:tc>
        <w:tc>
          <w:tcPr>
            <w:tcW w:w="983" w:type="dxa"/>
            <w:shd w:val="clear" w:color="auto" w:fill="auto"/>
            <w:noWrap/>
            <w:vAlign w:val="bottom"/>
            <w:hideMark/>
          </w:tcPr>
          <w:p w:rsidR="00DD2448" w:rsidRPr="00AE49C8" w:rsidRDefault="00DD2448" w:rsidP="00DD2448">
            <w:pPr>
              <w:spacing w:after="0" w:line="240" w:lineRule="auto"/>
              <w:rPr>
                <w:rFonts w:eastAsia="Times New Roman"/>
                <w:b/>
                <w:bCs/>
                <w:color w:val="000000"/>
                <w:szCs w:val="24"/>
                <w:lang w:eastAsia="en-GB"/>
              </w:rPr>
            </w:pPr>
            <w:r w:rsidRPr="00AE49C8">
              <w:rPr>
                <w:rFonts w:eastAsia="Times New Roman"/>
                <w:b/>
                <w:bCs/>
                <w:color w:val="000000"/>
                <w:szCs w:val="24"/>
                <w:lang w:eastAsia="en-GB"/>
              </w:rPr>
              <w:t>Sikhism</w:t>
            </w:r>
          </w:p>
        </w:tc>
        <w:tc>
          <w:tcPr>
            <w:tcW w:w="2358" w:type="dxa"/>
            <w:shd w:val="clear" w:color="auto" w:fill="auto"/>
            <w:noWrap/>
            <w:vAlign w:val="bottom"/>
            <w:hideMark/>
          </w:tcPr>
          <w:p w:rsidR="00DD2448" w:rsidRPr="00AE49C8" w:rsidRDefault="00DD2448" w:rsidP="00DD2448">
            <w:pPr>
              <w:spacing w:after="0" w:line="240" w:lineRule="auto"/>
              <w:rPr>
                <w:rFonts w:eastAsia="Times New Roman"/>
                <w:b/>
                <w:bCs/>
                <w:color w:val="000000"/>
                <w:szCs w:val="24"/>
                <w:lang w:eastAsia="en-GB"/>
              </w:rPr>
            </w:pPr>
            <w:r w:rsidRPr="00AE49C8">
              <w:rPr>
                <w:rFonts w:eastAsia="Times New Roman"/>
                <w:b/>
                <w:bCs/>
                <w:color w:val="000000"/>
                <w:szCs w:val="24"/>
                <w:lang w:eastAsia="en-GB"/>
              </w:rPr>
              <w:t>Declined to Specify</w:t>
            </w:r>
          </w:p>
        </w:tc>
        <w:tc>
          <w:tcPr>
            <w:tcW w:w="1183" w:type="dxa"/>
            <w:shd w:val="clear" w:color="auto" w:fill="auto"/>
            <w:noWrap/>
            <w:vAlign w:val="bottom"/>
            <w:hideMark/>
          </w:tcPr>
          <w:p w:rsidR="00DD2448" w:rsidRPr="00AE49C8" w:rsidRDefault="00DD2448" w:rsidP="00DD2448">
            <w:pPr>
              <w:spacing w:after="0" w:line="240" w:lineRule="auto"/>
              <w:rPr>
                <w:rFonts w:eastAsia="Times New Roman"/>
                <w:b/>
                <w:bCs/>
                <w:color w:val="000000"/>
                <w:szCs w:val="24"/>
                <w:lang w:eastAsia="en-GB"/>
              </w:rPr>
            </w:pPr>
            <w:r w:rsidRPr="00AE49C8">
              <w:rPr>
                <w:rFonts w:eastAsia="Times New Roman"/>
                <w:b/>
                <w:bCs/>
                <w:color w:val="000000"/>
                <w:szCs w:val="24"/>
                <w:lang w:eastAsia="en-GB"/>
              </w:rPr>
              <w:t>Unknown</w:t>
            </w:r>
          </w:p>
        </w:tc>
      </w:tr>
      <w:tr w:rsidR="00DD2448" w:rsidRPr="00AE49C8" w:rsidTr="00982FBA">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1</w:t>
            </w:r>
          </w:p>
        </w:tc>
        <w:tc>
          <w:tcPr>
            <w:tcW w:w="9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23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14.6%</w:t>
            </w:r>
          </w:p>
        </w:tc>
        <w:tc>
          <w:tcPr>
            <w:tcW w:w="11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DD2448" w:rsidRPr="00AE49C8" w:rsidTr="00982FBA">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2</w:t>
            </w:r>
          </w:p>
        </w:tc>
        <w:tc>
          <w:tcPr>
            <w:tcW w:w="9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23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14.1%</w:t>
            </w:r>
          </w:p>
        </w:tc>
        <w:tc>
          <w:tcPr>
            <w:tcW w:w="11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5.4%</w:t>
            </w:r>
          </w:p>
        </w:tc>
      </w:tr>
      <w:tr w:rsidR="00DD2448" w:rsidRPr="00AE49C8" w:rsidTr="00C92A79">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3</w:t>
            </w:r>
          </w:p>
        </w:tc>
        <w:tc>
          <w:tcPr>
            <w:tcW w:w="98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0.2%</w:t>
            </w:r>
          </w:p>
        </w:tc>
        <w:tc>
          <w:tcPr>
            <w:tcW w:w="23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11.0%</w:t>
            </w:r>
          </w:p>
        </w:tc>
        <w:tc>
          <w:tcPr>
            <w:tcW w:w="118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12.5%</w:t>
            </w:r>
          </w:p>
        </w:tc>
      </w:tr>
      <w:tr w:rsidR="00DD2448" w:rsidRPr="00AE49C8" w:rsidTr="00C92A79">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4</w:t>
            </w:r>
          </w:p>
        </w:tc>
        <w:tc>
          <w:tcPr>
            <w:tcW w:w="9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23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14.2%</w:t>
            </w:r>
          </w:p>
        </w:tc>
        <w:tc>
          <w:tcPr>
            <w:tcW w:w="118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13.2%</w:t>
            </w:r>
          </w:p>
        </w:tc>
      </w:tr>
      <w:tr w:rsidR="00DD2448" w:rsidRPr="00AE49C8" w:rsidTr="00982FBA">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5</w:t>
            </w:r>
          </w:p>
        </w:tc>
        <w:tc>
          <w:tcPr>
            <w:tcW w:w="9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23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13.9%</w:t>
            </w:r>
          </w:p>
        </w:tc>
        <w:tc>
          <w:tcPr>
            <w:tcW w:w="11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8.9%</w:t>
            </w:r>
          </w:p>
        </w:tc>
      </w:tr>
      <w:tr w:rsidR="00DD2448" w:rsidRPr="00AE49C8" w:rsidTr="00C92A79">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6</w:t>
            </w:r>
          </w:p>
        </w:tc>
        <w:tc>
          <w:tcPr>
            <w:tcW w:w="9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23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13.2%</w:t>
            </w:r>
          </w:p>
        </w:tc>
        <w:tc>
          <w:tcPr>
            <w:tcW w:w="118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13.4%</w:t>
            </w:r>
          </w:p>
        </w:tc>
      </w:tr>
      <w:tr w:rsidR="00DD2448" w:rsidRPr="00AE49C8" w:rsidTr="00C92A79">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7</w:t>
            </w:r>
          </w:p>
        </w:tc>
        <w:tc>
          <w:tcPr>
            <w:tcW w:w="9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23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14.0%</w:t>
            </w:r>
          </w:p>
        </w:tc>
        <w:tc>
          <w:tcPr>
            <w:tcW w:w="118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16.2%</w:t>
            </w:r>
          </w:p>
        </w:tc>
      </w:tr>
      <w:tr w:rsidR="00DD2448" w:rsidRPr="00AE49C8" w:rsidTr="00C92A79">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8a</w:t>
            </w:r>
          </w:p>
        </w:tc>
        <w:tc>
          <w:tcPr>
            <w:tcW w:w="98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0.4%</w:t>
            </w:r>
          </w:p>
        </w:tc>
        <w:tc>
          <w:tcPr>
            <w:tcW w:w="23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15.9%</w:t>
            </w:r>
          </w:p>
        </w:tc>
        <w:tc>
          <w:tcPr>
            <w:tcW w:w="118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17.8%</w:t>
            </w:r>
          </w:p>
        </w:tc>
      </w:tr>
      <w:tr w:rsidR="00DD2448" w:rsidRPr="00AE49C8" w:rsidTr="00C92A79">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lastRenderedPageBreak/>
              <w:t>Band 8b</w:t>
            </w:r>
          </w:p>
        </w:tc>
        <w:tc>
          <w:tcPr>
            <w:tcW w:w="9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23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14.3%</w:t>
            </w:r>
          </w:p>
        </w:tc>
        <w:tc>
          <w:tcPr>
            <w:tcW w:w="118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16.1%</w:t>
            </w:r>
          </w:p>
        </w:tc>
      </w:tr>
      <w:tr w:rsidR="00DD2448" w:rsidRPr="00AE49C8" w:rsidTr="00C92A79">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8c</w:t>
            </w:r>
          </w:p>
        </w:tc>
        <w:tc>
          <w:tcPr>
            <w:tcW w:w="9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2358"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17.5%</w:t>
            </w:r>
          </w:p>
        </w:tc>
        <w:tc>
          <w:tcPr>
            <w:tcW w:w="118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12.5%</w:t>
            </w:r>
          </w:p>
        </w:tc>
      </w:tr>
      <w:tr w:rsidR="00DD2448" w:rsidRPr="00AE49C8" w:rsidTr="00C92A79">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8d</w:t>
            </w:r>
          </w:p>
        </w:tc>
        <w:tc>
          <w:tcPr>
            <w:tcW w:w="9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23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4.8%</w:t>
            </w:r>
          </w:p>
        </w:tc>
        <w:tc>
          <w:tcPr>
            <w:tcW w:w="118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28.6%</w:t>
            </w:r>
          </w:p>
        </w:tc>
      </w:tr>
      <w:tr w:rsidR="00DD2448" w:rsidRPr="00AE49C8" w:rsidTr="00C92A79">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Band 9</w:t>
            </w:r>
          </w:p>
        </w:tc>
        <w:tc>
          <w:tcPr>
            <w:tcW w:w="9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23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6.3%</w:t>
            </w:r>
          </w:p>
        </w:tc>
        <w:tc>
          <w:tcPr>
            <w:tcW w:w="118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18.8%</w:t>
            </w:r>
          </w:p>
        </w:tc>
      </w:tr>
      <w:tr w:rsidR="00DD2448" w:rsidRPr="00AE49C8" w:rsidTr="00C92A79">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Directors</w:t>
            </w:r>
          </w:p>
        </w:tc>
        <w:tc>
          <w:tcPr>
            <w:tcW w:w="9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2358"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72.7%</w:t>
            </w:r>
          </w:p>
        </w:tc>
        <w:tc>
          <w:tcPr>
            <w:tcW w:w="11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DD2448" w:rsidRPr="00AE49C8" w:rsidTr="00C92A79">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Consultant</w:t>
            </w:r>
          </w:p>
        </w:tc>
        <w:tc>
          <w:tcPr>
            <w:tcW w:w="98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0.4%</w:t>
            </w:r>
          </w:p>
        </w:tc>
        <w:tc>
          <w:tcPr>
            <w:tcW w:w="2358"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41.9%</w:t>
            </w:r>
          </w:p>
        </w:tc>
        <w:tc>
          <w:tcPr>
            <w:tcW w:w="11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0.4%</w:t>
            </w:r>
          </w:p>
        </w:tc>
      </w:tr>
      <w:tr w:rsidR="00DD2448" w:rsidRPr="00AE49C8" w:rsidTr="00C92A79">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Middle Grade</w:t>
            </w:r>
          </w:p>
        </w:tc>
        <w:tc>
          <w:tcPr>
            <w:tcW w:w="9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2358"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56.4%</w:t>
            </w:r>
          </w:p>
        </w:tc>
        <w:tc>
          <w:tcPr>
            <w:tcW w:w="11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1.8%</w:t>
            </w:r>
          </w:p>
        </w:tc>
      </w:tr>
      <w:tr w:rsidR="00DD2448" w:rsidRPr="00AE49C8" w:rsidTr="00C92A79">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Training</w:t>
            </w:r>
          </w:p>
        </w:tc>
        <w:tc>
          <w:tcPr>
            <w:tcW w:w="983"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0.7%</w:t>
            </w:r>
          </w:p>
        </w:tc>
        <w:tc>
          <w:tcPr>
            <w:tcW w:w="2358" w:type="dxa"/>
            <w:shd w:val="clear" w:color="auto" w:fill="41B6E6"/>
            <w:noWrap/>
            <w:vAlign w:val="bottom"/>
            <w:hideMark/>
          </w:tcPr>
          <w:p w:rsidR="00DD2448" w:rsidRPr="00C92A79" w:rsidRDefault="00DD2448" w:rsidP="00DD2448">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30.5%</w:t>
            </w:r>
          </w:p>
        </w:tc>
        <w:tc>
          <w:tcPr>
            <w:tcW w:w="11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0.5%</w:t>
            </w:r>
          </w:p>
        </w:tc>
      </w:tr>
      <w:tr w:rsidR="00DD2448" w:rsidRPr="00AE49C8" w:rsidTr="00982FBA">
        <w:trPr>
          <w:cantSplit/>
          <w:trHeight w:val="288"/>
          <w:tblHeader/>
          <w:jc w:val="center"/>
        </w:trPr>
        <w:tc>
          <w:tcPr>
            <w:tcW w:w="2072"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Local Scale</w:t>
            </w:r>
          </w:p>
        </w:tc>
        <w:tc>
          <w:tcPr>
            <w:tcW w:w="9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2358"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auto"/>
            <w:noWrap/>
            <w:vAlign w:val="bottom"/>
            <w:hideMark/>
          </w:tcPr>
          <w:p w:rsidR="00DD2448" w:rsidRPr="00AE49C8" w:rsidRDefault="00DD2448" w:rsidP="00DD2448">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bl>
    <w:p w:rsidR="00DD2448" w:rsidRPr="00AE49C8" w:rsidRDefault="00DD2448" w:rsidP="00DD2448">
      <w:pPr>
        <w:rPr>
          <w:b/>
        </w:rPr>
      </w:pPr>
    </w:p>
    <w:p w:rsidR="00DD2448" w:rsidRPr="000D2F61" w:rsidRDefault="00DD2448" w:rsidP="00DD2448">
      <w:r w:rsidRPr="000D2F61">
        <w:t>Observations</w:t>
      </w:r>
    </w:p>
    <w:p w:rsidR="00DD2448" w:rsidRPr="00AE49C8" w:rsidRDefault="00982FBA" w:rsidP="00DD2448">
      <w:pPr>
        <w:widowControl w:val="0"/>
      </w:pPr>
      <w:r w:rsidRPr="00AE49C8">
        <w:t xml:space="preserve">Compared to the </w:t>
      </w:r>
      <w:r w:rsidR="00EC77C1" w:rsidRPr="00AE49C8">
        <w:t>overall representation</w:t>
      </w:r>
      <w:r w:rsidR="00BD51AE" w:rsidRPr="00AE49C8">
        <w:t xml:space="preserve"> </w:t>
      </w:r>
      <w:r w:rsidR="00EC77C1" w:rsidRPr="00AE49C8">
        <w:t>in the workforce</w:t>
      </w:r>
      <w:r w:rsidRPr="00AE49C8">
        <w:t>:</w:t>
      </w:r>
    </w:p>
    <w:p w:rsidR="00982FBA" w:rsidRPr="00AE49C8" w:rsidRDefault="00982FBA" w:rsidP="00982FBA">
      <w:pPr>
        <w:pStyle w:val="ListParagraph"/>
      </w:pPr>
      <w:r w:rsidRPr="00AE49C8">
        <w:t>Atheists have a higher than expected representation in bands 5-8d and medical trainees.  All other bands/grades have a lower representation than expected.</w:t>
      </w:r>
    </w:p>
    <w:p w:rsidR="00982FBA" w:rsidRPr="00AE49C8" w:rsidRDefault="00982FBA" w:rsidP="00982FBA">
      <w:pPr>
        <w:pStyle w:val="ListParagraph"/>
      </w:pPr>
      <w:r w:rsidRPr="00AE49C8">
        <w:t>Buddhists have a fair to good representation in bands 1-8b and medical consultants and trainees.  (In bands/grades 1-3, 5, 7, 8b and medics trainee have a higher than expected represented).  All other bands/grades do not have any representation.</w:t>
      </w:r>
    </w:p>
    <w:p w:rsidR="00982FBA" w:rsidRPr="00AE49C8" w:rsidRDefault="00982FBA" w:rsidP="00982FBA">
      <w:pPr>
        <w:pStyle w:val="ListParagraph"/>
      </w:pPr>
      <w:r w:rsidRPr="00AE49C8">
        <w:t>Christians have a higher than expected representation in bands 1-3, 5 and 9, but a lower than expected representation in all other bands/grades.</w:t>
      </w:r>
    </w:p>
    <w:p w:rsidR="00982FBA" w:rsidRPr="00AE49C8" w:rsidRDefault="00982FBA" w:rsidP="00982FBA">
      <w:pPr>
        <w:pStyle w:val="ListParagraph"/>
      </w:pPr>
      <w:r w:rsidRPr="00AE49C8">
        <w:t>Hindus have a fair to higher than expected representation in bands 1-2, 5, 8a-b and all medical grades.  There is no representation at (very) senior manager level.</w:t>
      </w:r>
    </w:p>
    <w:p w:rsidR="00982FBA" w:rsidRPr="00AE49C8" w:rsidRDefault="00982FBA" w:rsidP="00982FBA">
      <w:pPr>
        <w:pStyle w:val="ListParagraph"/>
      </w:pPr>
      <w:r w:rsidRPr="00AE49C8">
        <w:t>Muslims have a higher than expected representation in bands 1-2, medical consultants and trainees, a fair representation in bands/grades 3, 8b and medical middle grade.  There is a lower than expected representation in bands 4-8a and no representation in (very) senior manager level.</w:t>
      </w:r>
    </w:p>
    <w:p w:rsidR="00136DC0" w:rsidRPr="00AE49C8" w:rsidRDefault="00136DC0" w:rsidP="00982FBA">
      <w:pPr>
        <w:pStyle w:val="ListParagraph"/>
      </w:pPr>
      <w:r w:rsidRPr="00AE49C8">
        <w:t>Jains have a higher than expected representation in band 7 and medical consultants and middle grades.  There is no representation in any other grades/bands.</w:t>
      </w:r>
    </w:p>
    <w:p w:rsidR="00136DC0" w:rsidRPr="00AE49C8" w:rsidRDefault="00136DC0" w:rsidP="00136DC0">
      <w:pPr>
        <w:pStyle w:val="ListParagraph"/>
      </w:pPr>
      <w:r w:rsidRPr="00AE49C8">
        <w:t>Judaism has a fair to higher than expected representation in bands 2-7 and medical consultants and trainees.  There is no representation in any other grades/bands.</w:t>
      </w:r>
    </w:p>
    <w:p w:rsidR="00136DC0" w:rsidRPr="00AE49C8" w:rsidRDefault="00136DC0" w:rsidP="00982FBA">
      <w:pPr>
        <w:pStyle w:val="ListParagraph"/>
      </w:pPr>
      <w:r w:rsidRPr="00AE49C8">
        <w:t>Other religions or beliefs have a good to higher than expected representation in the vast majority of pay bands, a lower than expected representation in 7, 8a and medical roles, and there is no representation in directors.</w:t>
      </w:r>
    </w:p>
    <w:p w:rsidR="00EC77C1" w:rsidRPr="00AE49C8" w:rsidRDefault="00EC77C1" w:rsidP="00982FBA">
      <w:pPr>
        <w:pStyle w:val="ListParagraph"/>
      </w:pPr>
      <w:r w:rsidRPr="00AE49C8">
        <w:lastRenderedPageBreak/>
        <w:t>Sikhs have a good to higher than expected representation in 2, n3, 8a and medical consultants and trainees.  There is no representation in any other bands/grades.</w:t>
      </w:r>
    </w:p>
    <w:p w:rsidR="00EC77C1" w:rsidRPr="00AE49C8" w:rsidRDefault="00EC77C1" w:rsidP="00982FBA">
      <w:pPr>
        <w:pStyle w:val="ListParagraph"/>
      </w:pPr>
      <w:r w:rsidRPr="00AE49C8">
        <w:t>Prefer not to say – a high proportion of staff in pay bands have elected not to provide their religion or belief.  Proportionally, directors and medical staff have the highest rates of declining to specify their religion or belief.</w:t>
      </w:r>
    </w:p>
    <w:p w:rsidR="00EC77C1" w:rsidRPr="00AE49C8" w:rsidRDefault="00EC77C1" w:rsidP="00982FBA">
      <w:pPr>
        <w:pStyle w:val="ListParagraph"/>
      </w:pPr>
      <w:r w:rsidRPr="00AE49C8">
        <w:t>Most unknowns (no information in the religion or belief field on Electronic Staff Records) are in pay bands 3-9.</w:t>
      </w:r>
    </w:p>
    <w:p w:rsidR="00DD2448" w:rsidRPr="00AE49C8" w:rsidRDefault="00DD2448" w:rsidP="00DD2448">
      <w:pPr>
        <w:rPr>
          <w:b/>
        </w:rPr>
      </w:pPr>
      <w:r w:rsidRPr="00AE49C8">
        <w:rPr>
          <w:b/>
        </w:rPr>
        <w:t>WSHT</w:t>
      </w:r>
    </w:p>
    <w:tbl>
      <w:tblPr>
        <w:tblW w:w="10314" w:type="dxa"/>
        <w:jc w:val="center"/>
        <w:tblBorders>
          <w:insideH w:val="dotted" w:sz="4" w:space="0" w:color="auto"/>
        </w:tblBorders>
        <w:tblLook w:val="04A0" w:firstRow="1" w:lastRow="0" w:firstColumn="1" w:lastColumn="0" w:noHBand="0" w:noVBand="1"/>
        <w:tblCaption w:val="Payband brokendown by religion or belief (Table 1)"/>
      </w:tblPr>
      <w:tblGrid>
        <w:gridCol w:w="1918"/>
        <w:gridCol w:w="1163"/>
        <w:gridCol w:w="1390"/>
        <w:gridCol w:w="1537"/>
        <w:gridCol w:w="1310"/>
        <w:gridCol w:w="897"/>
        <w:gridCol w:w="1110"/>
        <w:gridCol w:w="1190"/>
        <w:gridCol w:w="897"/>
      </w:tblGrid>
      <w:tr w:rsidR="00DD2448" w:rsidRPr="00AE49C8" w:rsidTr="00982FBA">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b/>
                <w:bCs/>
                <w:color w:val="000000"/>
                <w:lang w:eastAsia="en-GB"/>
              </w:rPr>
            </w:pPr>
            <w:r w:rsidRPr="00AE49C8">
              <w:rPr>
                <w:rFonts w:eastAsia="Times New Roman"/>
                <w:b/>
                <w:bCs/>
                <w:color w:val="000000"/>
                <w:lang w:eastAsia="en-GB"/>
              </w:rPr>
              <w:t>Pay Band</w:t>
            </w:r>
          </w:p>
        </w:tc>
        <w:tc>
          <w:tcPr>
            <w:tcW w:w="1045" w:type="dxa"/>
            <w:shd w:val="clear" w:color="auto" w:fill="auto"/>
            <w:noWrap/>
            <w:vAlign w:val="bottom"/>
            <w:hideMark/>
          </w:tcPr>
          <w:p w:rsidR="00DD2448" w:rsidRPr="00AE49C8" w:rsidRDefault="00DD2448" w:rsidP="00DD2448">
            <w:pPr>
              <w:spacing w:after="0" w:line="240" w:lineRule="auto"/>
              <w:rPr>
                <w:rFonts w:eastAsia="Times New Roman"/>
                <w:b/>
                <w:bCs/>
                <w:color w:val="000000"/>
                <w:lang w:eastAsia="en-GB"/>
              </w:rPr>
            </w:pPr>
            <w:r w:rsidRPr="00AE49C8">
              <w:rPr>
                <w:rFonts w:eastAsia="Times New Roman"/>
                <w:b/>
                <w:bCs/>
                <w:color w:val="000000"/>
                <w:lang w:eastAsia="en-GB"/>
              </w:rPr>
              <w:t>Atheism</w:t>
            </w:r>
          </w:p>
        </w:tc>
        <w:tc>
          <w:tcPr>
            <w:tcW w:w="1216" w:type="dxa"/>
            <w:shd w:val="clear" w:color="auto" w:fill="auto"/>
            <w:noWrap/>
            <w:vAlign w:val="bottom"/>
            <w:hideMark/>
          </w:tcPr>
          <w:p w:rsidR="00DD2448" w:rsidRPr="00AE49C8" w:rsidRDefault="00DD2448" w:rsidP="00DD2448">
            <w:pPr>
              <w:spacing w:after="0" w:line="240" w:lineRule="auto"/>
              <w:rPr>
                <w:rFonts w:eastAsia="Times New Roman"/>
                <w:b/>
                <w:bCs/>
                <w:color w:val="000000"/>
                <w:lang w:eastAsia="en-GB"/>
              </w:rPr>
            </w:pPr>
            <w:r w:rsidRPr="00AE49C8">
              <w:rPr>
                <w:rFonts w:eastAsia="Times New Roman"/>
                <w:b/>
                <w:bCs/>
                <w:color w:val="000000"/>
                <w:lang w:eastAsia="en-GB"/>
              </w:rPr>
              <w:t>Buddhism</w:t>
            </w:r>
          </w:p>
        </w:tc>
        <w:tc>
          <w:tcPr>
            <w:tcW w:w="1358" w:type="dxa"/>
            <w:shd w:val="clear" w:color="auto" w:fill="auto"/>
            <w:noWrap/>
            <w:vAlign w:val="bottom"/>
            <w:hideMark/>
          </w:tcPr>
          <w:p w:rsidR="00DD2448" w:rsidRPr="00AE49C8" w:rsidRDefault="00DD2448" w:rsidP="00DD2448">
            <w:pPr>
              <w:spacing w:after="0" w:line="240" w:lineRule="auto"/>
              <w:rPr>
                <w:rFonts w:eastAsia="Times New Roman"/>
                <w:b/>
                <w:bCs/>
                <w:color w:val="000000"/>
                <w:lang w:eastAsia="en-GB"/>
              </w:rPr>
            </w:pPr>
            <w:r w:rsidRPr="00AE49C8">
              <w:rPr>
                <w:rFonts w:eastAsia="Times New Roman"/>
                <w:b/>
                <w:bCs/>
                <w:color w:val="000000"/>
                <w:lang w:eastAsia="en-GB"/>
              </w:rPr>
              <w:t>Christianity</w:t>
            </w:r>
          </w:p>
        </w:tc>
        <w:tc>
          <w:tcPr>
            <w:tcW w:w="1163" w:type="dxa"/>
            <w:shd w:val="clear" w:color="auto" w:fill="auto"/>
            <w:noWrap/>
            <w:vAlign w:val="bottom"/>
            <w:hideMark/>
          </w:tcPr>
          <w:p w:rsidR="00DD2448" w:rsidRPr="00AE49C8" w:rsidRDefault="00DD2448" w:rsidP="00DD2448">
            <w:pPr>
              <w:spacing w:after="0" w:line="240" w:lineRule="auto"/>
              <w:rPr>
                <w:rFonts w:eastAsia="Times New Roman"/>
                <w:b/>
                <w:bCs/>
                <w:color w:val="000000"/>
                <w:lang w:eastAsia="en-GB"/>
              </w:rPr>
            </w:pPr>
            <w:r w:rsidRPr="00AE49C8">
              <w:rPr>
                <w:rFonts w:eastAsia="Times New Roman"/>
                <w:b/>
                <w:bCs/>
                <w:color w:val="000000"/>
                <w:lang w:eastAsia="en-GB"/>
              </w:rPr>
              <w:t>Hinduism</w:t>
            </w:r>
          </w:p>
        </w:tc>
        <w:tc>
          <w:tcPr>
            <w:tcW w:w="820" w:type="dxa"/>
            <w:shd w:val="clear" w:color="auto" w:fill="auto"/>
            <w:noWrap/>
            <w:vAlign w:val="bottom"/>
            <w:hideMark/>
          </w:tcPr>
          <w:p w:rsidR="00DD2448" w:rsidRPr="00AE49C8" w:rsidRDefault="00DD2448" w:rsidP="00DD2448">
            <w:pPr>
              <w:spacing w:after="0" w:line="240" w:lineRule="auto"/>
              <w:rPr>
                <w:rFonts w:eastAsia="Times New Roman"/>
                <w:b/>
                <w:bCs/>
                <w:color w:val="000000"/>
                <w:lang w:eastAsia="en-GB"/>
              </w:rPr>
            </w:pPr>
            <w:r w:rsidRPr="00AE49C8">
              <w:rPr>
                <w:rFonts w:eastAsia="Times New Roman"/>
                <w:b/>
                <w:bCs/>
                <w:color w:val="000000"/>
                <w:lang w:eastAsia="en-GB"/>
              </w:rPr>
              <w:t>Islam</w:t>
            </w:r>
          </w:p>
        </w:tc>
        <w:tc>
          <w:tcPr>
            <w:tcW w:w="952" w:type="dxa"/>
            <w:shd w:val="clear" w:color="auto" w:fill="auto"/>
            <w:noWrap/>
            <w:vAlign w:val="bottom"/>
            <w:hideMark/>
          </w:tcPr>
          <w:p w:rsidR="00DD2448" w:rsidRPr="00AE49C8" w:rsidRDefault="00DD2448" w:rsidP="00DD2448">
            <w:pPr>
              <w:spacing w:after="0" w:line="240" w:lineRule="auto"/>
              <w:rPr>
                <w:rFonts w:eastAsia="Times New Roman"/>
                <w:b/>
                <w:bCs/>
                <w:color w:val="000000"/>
                <w:lang w:eastAsia="en-GB"/>
              </w:rPr>
            </w:pPr>
            <w:r w:rsidRPr="00AE49C8">
              <w:rPr>
                <w:rFonts w:eastAsia="Times New Roman"/>
                <w:b/>
                <w:bCs/>
                <w:color w:val="000000"/>
                <w:lang w:eastAsia="en-GB"/>
              </w:rPr>
              <w:t>Jainism</w:t>
            </w:r>
          </w:p>
        </w:tc>
        <w:tc>
          <w:tcPr>
            <w:tcW w:w="1022" w:type="dxa"/>
            <w:shd w:val="clear" w:color="auto" w:fill="auto"/>
            <w:noWrap/>
            <w:vAlign w:val="bottom"/>
            <w:hideMark/>
          </w:tcPr>
          <w:p w:rsidR="00DD2448" w:rsidRPr="00AE49C8" w:rsidRDefault="00DD2448" w:rsidP="00DD2448">
            <w:pPr>
              <w:spacing w:after="0" w:line="240" w:lineRule="auto"/>
              <w:rPr>
                <w:rFonts w:eastAsia="Times New Roman"/>
                <w:b/>
                <w:bCs/>
                <w:color w:val="000000"/>
                <w:lang w:eastAsia="en-GB"/>
              </w:rPr>
            </w:pPr>
            <w:r w:rsidRPr="00AE49C8">
              <w:rPr>
                <w:rFonts w:eastAsia="Times New Roman"/>
                <w:b/>
                <w:bCs/>
                <w:color w:val="000000"/>
                <w:lang w:eastAsia="en-GB"/>
              </w:rPr>
              <w:t>Judaism</w:t>
            </w:r>
          </w:p>
        </w:tc>
        <w:tc>
          <w:tcPr>
            <w:tcW w:w="820" w:type="dxa"/>
            <w:shd w:val="clear" w:color="auto" w:fill="auto"/>
            <w:noWrap/>
            <w:vAlign w:val="bottom"/>
            <w:hideMark/>
          </w:tcPr>
          <w:p w:rsidR="00DD2448" w:rsidRPr="00AE49C8" w:rsidRDefault="00DD2448" w:rsidP="00DD2448">
            <w:pPr>
              <w:spacing w:after="0" w:line="240" w:lineRule="auto"/>
              <w:rPr>
                <w:rFonts w:eastAsia="Times New Roman"/>
                <w:b/>
                <w:bCs/>
                <w:color w:val="000000"/>
                <w:lang w:eastAsia="en-GB"/>
              </w:rPr>
            </w:pPr>
            <w:r w:rsidRPr="00AE49C8">
              <w:rPr>
                <w:rFonts w:eastAsia="Times New Roman"/>
                <w:b/>
                <w:bCs/>
                <w:color w:val="000000"/>
                <w:lang w:eastAsia="en-GB"/>
              </w:rPr>
              <w:t>Other</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1</w:t>
            </w:r>
          </w:p>
        </w:tc>
        <w:tc>
          <w:tcPr>
            <w:tcW w:w="1045"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12.2%</w:t>
            </w:r>
          </w:p>
        </w:tc>
        <w:tc>
          <w:tcPr>
            <w:tcW w:w="1216"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4.9%</w:t>
            </w:r>
          </w:p>
        </w:tc>
        <w:tc>
          <w:tcPr>
            <w:tcW w:w="135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34.1%</w:t>
            </w:r>
          </w:p>
        </w:tc>
        <w:tc>
          <w:tcPr>
            <w:tcW w:w="1163"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4.9%</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95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02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9.8%</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2</w:t>
            </w:r>
          </w:p>
        </w:tc>
        <w:tc>
          <w:tcPr>
            <w:tcW w:w="1045"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11.6%</w:t>
            </w:r>
          </w:p>
        </w:tc>
        <w:tc>
          <w:tcPr>
            <w:tcW w:w="1216"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0.8%</w:t>
            </w:r>
          </w:p>
        </w:tc>
        <w:tc>
          <w:tcPr>
            <w:tcW w:w="1358"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48.7%</w:t>
            </w:r>
          </w:p>
        </w:tc>
        <w:tc>
          <w:tcPr>
            <w:tcW w:w="1163"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1.3%</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0.6%</w:t>
            </w:r>
          </w:p>
        </w:tc>
        <w:tc>
          <w:tcPr>
            <w:tcW w:w="95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02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0.2%</w:t>
            </w:r>
          </w:p>
        </w:tc>
        <w:tc>
          <w:tcPr>
            <w:tcW w:w="820"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17.1%</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3</w:t>
            </w:r>
          </w:p>
        </w:tc>
        <w:tc>
          <w:tcPr>
            <w:tcW w:w="1045"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16.6%</w:t>
            </w:r>
          </w:p>
        </w:tc>
        <w:tc>
          <w:tcPr>
            <w:tcW w:w="1216"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0.3%</w:t>
            </w:r>
          </w:p>
        </w:tc>
        <w:tc>
          <w:tcPr>
            <w:tcW w:w="1358"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49.3%</w:t>
            </w:r>
          </w:p>
        </w:tc>
        <w:tc>
          <w:tcPr>
            <w:tcW w:w="1163"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1.3%</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1.0%</w:t>
            </w:r>
          </w:p>
        </w:tc>
        <w:tc>
          <w:tcPr>
            <w:tcW w:w="95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02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0.1%</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12.6%</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4</w:t>
            </w:r>
          </w:p>
        </w:tc>
        <w:tc>
          <w:tcPr>
            <w:tcW w:w="1045"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18.8%</w:t>
            </w:r>
          </w:p>
        </w:tc>
        <w:tc>
          <w:tcPr>
            <w:tcW w:w="1216"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0.2%</w:t>
            </w:r>
          </w:p>
        </w:tc>
        <w:tc>
          <w:tcPr>
            <w:tcW w:w="1358"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48.0%</w:t>
            </w:r>
          </w:p>
        </w:tc>
        <w:tc>
          <w:tcPr>
            <w:tcW w:w="1163"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0.8%</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0.4%</w:t>
            </w:r>
          </w:p>
        </w:tc>
        <w:tc>
          <w:tcPr>
            <w:tcW w:w="95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02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11.0%</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5</w:t>
            </w:r>
          </w:p>
        </w:tc>
        <w:tc>
          <w:tcPr>
            <w:tcW w:w="1045"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12.6%</w:t>
            </w:r>
          </w:p>
        </w:tc>
        <w:tc>
          <w:tcPr>
            <w:tcW w:w="1216"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0.5%</w:t>
            </w:r>
          </w:p>
        </w:tc>
        <w:tc>
          <w:tcPr>
            <w:tcW w:w="1358"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51.5%</w:t>
            </w:r>
          </w:p>
        </w:tc>
        <w:tc>
          <w:tcPr>
            <w:tcW w:w="1163"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0.6%</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0.5%</w:t>
            </w:r>
          </w:p>
        </w:tc>
        <w:tc>
          <w:tcPr>
            <w:tcW w:w="95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02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0.1%</w:t>
            </w:r>
          </w:p>
        </w:tc>
        <w:tc>
          <w:tcPr>
            <w:tcW w:w="820"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19.5%</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6</w:t>
            </w:r>
          </w:p>
        </w:tc>
        <w:tc>
          <w:tcPr>
            <w:tcW w:w="1045"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16.8%</w:t>
            </w:r>
          </w:p>
        </w:tc>
        <w:tc>
          <w:tcPr>
            <w:tcW w:w="1216"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0.2%</w:t>
            </w:r>
          </w:p>
        </w:tc>
        <w:tc>
          <w:tcPr>
            <w:tcW w:w="1358"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51.6%</w:t>
            </w:r>
          </w:p>
        </w:tc>
        <w:tc>
          <w:tcPr>
            <w:tcW w:w="1163"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0.7%</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0.6%</w:t>
            </w:r>
          </w:p>
        </w:tc>
        <w:tc>
          <w:tcPr>
            <w:tcW w:w="95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02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0.1%</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11.3%</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7</w:t>
            </w:r>
          </w:p>
        </w:tc>
        <w:tc>
          <w:tcPr>
            <w:tcW w:w="1045"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16.3%</w:t>
            </w:r>
          </w:p>
        </w:tc>
        <w:tc>
          <w:tcPr>
            <w:tcW w:w="1216"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0.3%</w:t>
            </w:r>
          </w:p>
        </w:tc>
        <w:tc>
          <w:tcPr>
            <w:tcW w:w="1358"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48.1%</w:t>
            </w:r>
          </w:p>
        </w:tc>
        <w:tc>
          <w:tcPr>
            <w:tcW w:w="1163"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0.7%</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0.7%</w:t>
            </w:r>
          </w:p>
        </w:tc>
        <w:tc>
          <w:tcPr>
            <w:tcW w:w="95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02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0.1%</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11.3%</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8a</w:t>
            </w:r>
          </w:p>
        </w:tc>
        <w:tc>
          <w:tcPr>
            <w:tcW w:w="1045"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13.1%</w:t>
            </w:r>
          </w:p>
        </w:tc>
        <w:tc>
          <w:tcPr>
            <w:tcW w:w="1216"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358"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56.0%</w:t>
            </w:r>
          </w:p>
        </w:tc>
        <w:tc>
          <w:tcPr>
            <w:tcW w:w="1163"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1.8%</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952"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0.6%</w:t>
            </w:r>
          </w:p>
        </w:tc>
        <w:tc>
          <w:tcPr>
            <w:tcW w:w="102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7.1%</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8b</w:t>
            </w:r>
          </w:p>
        </w:tc>
        <w:tc>
          <w:tcPr>
            <w:tcW w:w="1045"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9.9%</w:t>
            </w:r>
          </w:p>
        </w:tc>
        <w:tc>
          <w:tcPr>
            <w:tcW w:w="1216" w:type="dxa"/>
            <w:shd w:val="clear" w:color="auto" w:fill="auto"/>
            <w:noWrap/>
            <w:vAlign w:val="bottom"/>
            <w:hideMark/>
          </w:tcPr>
          <w:p w:rsidR="00DD2448" w:rsidRPr="00AE49C8" w:rsidRDefault="00DD2448" w:rsidP="00DD2448">
            <w:pPr>
              <w:spacing w:after="0" w:line="240" w:lineRule="auto"/>
              <w:rPr>
                <w:rFonts w:eastAsia="Times New Roman"/>
                <w:bCs/>
                <w:color w:val="000000"/>
                <w:lang w:eastAsia="en-GB"/>
              </w:rPr>
            </w:pPr>
            <w:r w:rsidRPr="00AE49C8">
              <w:rPr>
                <w:rFonts w:eastAsia="Times New Roman"/>
                <w:bCs/>
                <w:color w:val="000000"/>
                <w:lang w:eastAsia="en-GB"/>
              </w:rPr>
              <w:t>0.0%</w:t>
            </w:r>
          </w:p>
        </w:tc>
        <w:tc>
          <w:tcPr>
            <w:tcW w:w="1358"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57.7%</w:t>
            </w:r>
          </w:p>
        </w:tc>
        <w:tc>
          <w:tcPr>
            <w:tcW w:w="1163" w:type="dxa"/>
            <w:shd w:val="clear" w:color="auto" w:fill="auto"/>
            <w:noWrap/>
            <w:vAlign w:val="bottom"/>
            <w:hideMark/>
          </w:tcPr>
          <w:p w:rsidR="00DD2448" w:rsidRPr="00AE49C8" w:rsidRDefault="00DD2448" w:rsidP="00DD2448">
            <w:pPr>
              <w:spacing w:after="0" w:line="240" w:lineRule="auto"/>
              <w:rPr>
                <w:rFonts w:eastAsia="Times New Roman"/>
                <w:bCs/>
                <w:color w:val="000000"/>
                <w:lang w:eastAsia="en-GB"/>
              </w:rPr>
            </w:pPr>
            <w:r w:rsidRPr="00AE49C8">
              <w:rPr>
                <w:rFonts w:eastAsia="Times New Roman"/>
                <w:bCs/>
                <w:color w:val="000000"/>
                <w:lang w:eastAsia="en-GB"/>
              </w:rPr>
              <w:t>0.0%</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95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022"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1.4%</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4.2%</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8c</w:t>
            </w:r>
          </w:p>
        </w:tc>
        <w:tc>
          <w:tcPr>
            <w:tcW w:w="1045"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30.0%</w:t>
            </w:r>
          </w:p>
        </w:tc>
        <w:tc>
          <w:tcPr>
            <w:tcW w:w="1216"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35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43.3%</w:t>
            </w:r>
          </w:p>
        </w:tc>
        <w:tc>
          <w:tcPr>
            <w:tcW w:w="1163"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95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02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6.7%</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8d</w:t>
            </w:r>
          </w:p>
        </w:tc>
        <w:tc>
          <w:tcPr>
            <w:tcW w:w="1045"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216"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358"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50.0%</w:t>
            </w:r>
          </w:p>
        </w:tc>
        <w:tc>
          <w:tcPr>
            <w:tcW w:w="1163"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95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02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820"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25.0%</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9</w:t>
            </w:r>
          </w:p>
        </w:tc>
        <w:tc>
          <w:tcPr>
            <w:tcW w:w="1045"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28.6%</w:t>
            </w:r>
          </w:p>
        </w:tc>
        <w:tc>
          <w:tcPr>
            <w:tcW w:w="1216"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35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42.9%</w:t>
            </w:r>
          </w:p>
        </w:tc>
        <w:tc>
          <w:tcPr>
            <w:tcW w:w="1163"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95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02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820"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28.6%</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Directors</w:t>
            </w:r>
          </w:p>
        </w:tc>
        <w:tc>
          <w:tcPr>
            <w:tcW w:w="1045"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4.8%</w:t>
            </w:r>
          </w:p>
        </w:tc>
        <w:tc>
          <w:tcPr>
            <w:tcW w:w="1216"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4.8%</w:t>
            </w:r>
          </w:p>
        </w:tc>
        <w:tc>
          <w:tcPr>
            <w:tcW w:w="135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47.6%</w:t>
            </w:r>
          </w:p>
        </w:tc>
        <w:tc>
          <w:tcPr>
            <w:tcW w:w="1163"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95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02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820"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19.0%</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Medical &amp; Dental - Consultant</w:t>
            </w:r>
          </w:p>
        </w:tc>
        <w:tc>
          <w:tcPr>
            <w:tcW w:w="1045"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15.5%</w:t>
            </w:r>
          </w:p>
        </w:tc>
        <w:tc>
          <w:tcPr>
            <w:tcW w:w="1216"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0.8%</w:t>
            </w:r>
          </w:p>
        </w:tc>
        <w:tc>
          <w:tcPr>
            <w:tcW w:w="135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43.1%</w:t>
            </w:r>
          </w:p>
        </w:tc>
        <w:tc>
          <w:tcPr>
            <w:tcW w:w="1163"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7.0%</w:t>
            </w:r>
          </w:p>
        </w:tc>
        <w:tc>
          <w:tcPr>
            <w:tcW w:w="820"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5.4%</w:t>
            </w:r>
          </w:p>
        </w:tc>
        <w:tc>
          <w:tcPr>
            <w:tcW w:w="95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022"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0.6%</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6.5%</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Medical &amp; Dental - Middle Grade</w:t>
            </w:r>
          </w:p>
        </w:tc>
        <w:tc>
          <w:tcPr>
            <w:tcW w:w="1045"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25.6%</w:t>
            </w:r>
          </w:p>
        </w:tc>
        <w:tc>
          <w:tcPr>
            <w:tcW w:w="1216"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3.5%</w:t>
            </w:r>
          </w:p>
        </w:tc>
        <w:tc>
          <w:tcPr>
            <w:tcW w:w="135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26.3%</w:t>
            </w:r>
          </w:p>
        </w:tc>
        <w:tc>
          <w:tcPr>
            <w:tcW w:w="1163"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8.2%</w:t>
            </w:r>
          </w:p>
        </w:tc>
        <w:tc>
          <w:tcPr>
            <w:tcW w:w="820"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12.6%</w:t>
            </w:r>
          </w:p>
        </w:tc>
        <w:tc>
          <w:tcPr>
            <w:tcW w:w="952"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0.2%</w:t>
            </w:r>
          </w:p>
        </w:tc>
        <w:tc>
          <w:tcPr>
            <w:tcW w:w="1022"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0.2%</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9.6%</w:t>
            </w:r>
          </w:p>
        </w:tc>
      </w:tr>
      <w:tr w:rsidR="00DD2448" w:rsidRPr="00AE49C8" w:rsidTr="00C92A79">
        <w:trPr>
          <w:cantSplit/>
          <w:trHeight w:val="288"/>
          <w:tblHeader/>
          <w:jc w:val="center"/>
        </w:trPr>
        <w:tc>
          <w:tcPr>
            <w:tcW w:w="191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Medical &amp; Dental - Training</w:t>
            </w:r>
          </w:p>
        </w:tc>
        <w:tc>
          <w:tcPr>
            <w:tcW w:w="1045"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39.0%</w:t>
            </w:r>
          </w:p>
        </w:tc>
        <w:tc>
          <w:tcPr>
            <w:tcW w:w="1216"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0.8%</w:t>
            </w:r>
          </w:p>
        </w:tc>
        <w:tc>
          <w:tcPr>
            <w:tcW w:w="1358"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23.7%</w:t>
            </w:r>
          </w:p>
        </w:tc>
        <w:tc>
          <w:tcPr>
            <w:tcW w:w="1163"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5.1%</w:t>
            </w:r>
          </w:p>
        </w:tc>
        <w:tc>
          <w:tcPr>
            <w:tcW w:w="820"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7.6%</w:t>
            </w:r>
          </w:p>
        </w:tc>
        <w:tc>
          <w:tcPr>
            <w:tcW w:w="952"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022" w:type="dxa"/>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0.8%</w:t>
            </w:r>
          </w:p>
        </w:tc>
        <w:tc>
          <w:tcPr>
            <w:tcW w:w="820" w:type="dxa"/>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4.2%</w:t>
            </w:r>
          </w:p>
        </w:tc>
      </w:tr>
    </w:tbl>
    <w:p w:rsidR="00DD2448" w:rsidRPr="00AE49C8" w:rsidRDefault="00DD2448" w:rsidP="00DD2448">
      <w:pPr>
        <w:jc w:val="center"/>
        <w:rPr>
          <w:b/>
        </w:rPr>
      </w:pPr>
    </w:p>
    <w:tbl>
      <w:tblPr>
        <w:tblW w:w="7577" w:type="dxa"/>
        <w:jc w:val="center"/>
        <w:tblLook w:val="04A0" w:firstRow="1" w:lastRow="0" w:firstColumn="1" w:lastColumn="0" w:noHBand="0" w:noVBand="1"/>
        <w:tblCaption w:val="Payband brokendown by religion or belief (Table 2)"/>
      </w:tblPr>
      <w:tblGrid>
        <w:gridCol w:w="2975"/>
        <w:gridCol w:w="1137"/>
        <w:gridCol w:w="2436"/>
        <w:gridCol w:w="1296"/>
      </w:tblGrid>
      <w:tr w:rsidR="00DD2448" w:rsidRPr="00AE49C8" w:rsidTr="00982FBA">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jc w:val="both"/>
              <w:rPr>
                <w:rFonts w:eastAsia="Times New Roman"/>
                <w:b/>
                <w:bCs/>
                <w:color w:val="000000"/>
                <w:lang w:eastAsia="en-GB"/>
              </w:rPr>
            </w:pPr>
            <w:r w:rsidRPr="00AE49C8">
              <w:rPr>
                <w:rFonts w:eastAsia="Times New Roman"/>
                <w:b/>
                <w:bCs/>
                <w:color w:val="000000"/>
                <w:lang w:eastAsia="en-GB"/>
              </w:rPr>
              <w:t>Pay Band</w:t>
            </w:r>
          </w:p>
        </w:tc>
        <w:tc>
          <w:tcPr>
            <w:tcW w:w="9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jc w:val="both"/>
              <w:rPr>
                <w:rFonts w:eastAsia="Times New Roman"/>
                <w:b/>
                <w:bCs/>
                <w:color w:val="000000"/>
                <w:lang w:eastAsia="en-GB"/>
              </w:rPr>
            </w:pPr>
            <w:r w:rsidRPr="00AE49C8">
              <w:rPr>
                <w:rFonts w:eastAsia="Times New Roman"/>
                <w:b/>
                <w:bCs/>
                <w:color w:val="000000"/>
                <w:lang w:eastAsia="en-GB"/>
              </w:rPr>
              <w:t>Sikhism</w:t>
            </w:r>
          </w:p>
        </w:tc>
        <w:tc>
          <w:tcPr>
            <w:tcW w:w="2436"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jc w:val="both"/>
              <w:rPr>
                <w:rFonts w:eastAsia="Times New Roman"/>
                <w:b/>
                <w:bCs/>
                <w:color w:val="000000"/>
                <w:lang w:eastAsia="en-GB"/>
              </w:rPr>
            </w:pPr>
            <w:r w:rsidRPr="00AE49C8">
              <w:rPr>
                <w:rFonts w:eastAsia="Times New Roman"/>
                <w:b/>
                <w:bCs/>
                <w:color w:val="000000"/>
                <w:lang w:eastAsia="en-GB"/>
              </w:rPr>
              <w:t>Declined to Specify</w:t>
            </w:r>
          </w:p>
        </w:tc>
        <w:tc>
          <w:tcPr>
            <w:tcW w:w="11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jc w:val="both"/>
              <w:rPr>
                <w:rFonts w:eastAsia="Times New Roman"/>
                <w:b/>
                <w:bCs/>
                <w:color w:val="000000"/>
                <w:lang w:eastAsia="en-GB"/>
              </w:rPr>
            </w:pPr>
            <w:r w:rsidRPr="00AE49C8">
              <w:rPr>
                <w:rFonts w:eastAsia="Times New Roman"/>
                <w:b/>
                <w:bCs/>
                <w:color w:val="000000"/>
                <w:lang w:eastAsia="en-GB"/>
              </w:rPr>
              <w:t>Unknown</w:t>
            </w:r>
          </w:p>
        </w:tc>
      </w:tr>
      <w:tr w:rsidR="00DD2448" w:rsidRPr="00AE49C8" w:rsidTr="00C92A79">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1</w:t>
            </w:r>
          </w:p>
        </w:tc>
        <w:tc>
          <w:tcPr>
            <w:tcW w:w="9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2436"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31.7%</w:t>
            </w:r>
          </w:p>
        </w:tc>
        <w:tc>
          <w:tcPr>
            <w:tcW w:w="1183"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2.4%</w:t>
            </w:r>
          </w:p>
        </w:tc>
      </w:tr>
      <w:tr w:rsidR="00DD2448" w:rsidRPr="00AE49C8" w:rsidTr="00C92A79">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2</w:t>
            </w:r>
          </w:p>
        </w:tc>
        <w:tc>
          <w:tcPr>
            <w:tcW w:w="983"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0.3%</w:t>
            </w:r>
          </w:p>
        </w:tc>
        <w:tc>
          <w:tcPr>
            <w:tcW w:w="2436"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18.3%</w:t>
            </w:r>
          </w:p>
        </w:tc>
        <w:tc>
          <w:tcPr>
            <w:tcW w:w="1183"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1.1%</w:t>
            </w:r>
          </w:p>
        </w:tc>
      </w:tr>
      <w:tr w:rsidR="00DD2448" w:rsidRPr="00AE49C8" w:rsidTr="00C92A79">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3</w:t>
            </w:r>
          </w:p>
        </w:tc>
        <w:tc>
          <w:tcPr>
            <w:tcW w:w="9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0.1%</w:t>
            </w:r>
          </w:p>
        </w:tc>
        <w:tc>
          <w:tcPr>
            <w:tcW w:w="2436"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18.3%</w:t>
            </w:r>
          </w:p>
        </w:tc>
        <w:tc>
          <w:tcPr>
            <w:tcW w:w="11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0.4%</w:t>
            </w:r>
          </w:p>
        </w:tc>
      </w:tr>
      <w:tr w:rsidR="00DD2448" w:rsidRPr="00AE49C8" w:rsidTr="00C92A79">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4</w:t>
            </w:r>
          </w:p>
        </w:tc>
        <w:tc>
          <w:tcPr>
            <w:tcW w:w="983"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0.2%</w:t>
            </w:r>
          </w:p>
        </w:tc>
        <w:tc>
          <w:tcPr>
            <w:tcW w:w="2436"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19.6%</w:t>
            </w:r>
          </w:p>
        </w:tc>
        <w:tc>
          <w:tcPr>
            <w:tcW w:w="1183"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1.0%</w:t>
            </w:r>
          </w:p>
        </w:tc>
      </w:tr>
      <w:tr w:rsidR="00DD2448" w:rsidRPr="00AE49C8" w:rsidTr="00982FBA">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5</w:t>
            </w:r>
          </w:p>
        </w:tc>
        <w:tc>
          <w:tcPr>
            <w:tcW w:w="9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0.1%</w:t>
            </w:r>
          </w:p>
        </w:tc>
        <w:tc>
          <w:tcPr>
            <w:tcW w:w="2436"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14.1%</w:t>
            </w:r>
          </w:p>
        </w:tc>
        <w:tc>
          <w:tcPr>
            <w:tcW w:w="11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0.5%</w:t>
            </w:r>
          </w:p>
        </w:tc>
      </w:tr>
      <w:tr w:rsidR="00DD2448" w:rsidRPr="00AE49C8" w:rsidTr="00C92A79">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6</w:t>
            </w:r>
          </w:p>
        </w:tc>
        <w:tc>
          <w:tcPr>
            <w:tcW w:w="9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0.1%</w:t>
            </w:r>
          </w:p>
        </w:tc>
        <w:tc>
          <w:tcPr>
            <w:tcW w:w="2436"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18.4%</w:t>
            </w:r>
          </w:p>
        </w:tc>
        <w:tc>
          <w:tcPr>
            <w:tcW w:w="11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0.3%</w:t>
            </w:r>
          </w:p>
        </w:tc>
      </w:tr>
      <w:tr w:rsidR="00DD2448" w:rsidRPr="00AE49C8" w:rsidTr="00C92A79">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7</w:t>
            </w:r>
          </w:p>
        </w:tc>
        <w:tc>
          <w:tcPr>
            <w:tcW w:w="9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0.1%</w:t>
            </w:r>
          </w:p>
        </w:tc>
        <w:tc>
          <w:tcPr>
            <w:tcW w:w="2436"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21.8%</w:t>
            </w:r>
          </w:p>
        </w:tc>
        <w:tc>
          <w:tcPr>
            <w:tcW w:w="11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0.4%</w:t>
            </w:r>
          </w:p>
        </w:tc>
      </w:tr>
      <w:tr w:rsidR="00DD2448" w:rsidRPr="00AE49C8" w:rsidTr="00C92A79">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8a</w:t>
            </w:r>
          </w:p>
        </w:tc>
        <w:tc>
          <w:tcPr>
            <w:tcW w:w="9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2436"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21.4%</w:t>
            </w:r>
          </w:p>
        </w:tc>
        <w:tc>
          <w:tcPr>
            <w:tcW w:w="11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r>
      <w:tr w:rsidR="00DD2448" w:rsidRPr="00AE49C8" w:rsidTr="00C92A79">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8b</w:t>
            </w:r>
          </w:p>
        </w:tc>
        <w:tc>
          <w:tcPr>
            <w:tcW w:w="9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2436"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25.4%</w:t>
            </w:r>
          </w:p>
        </w:tc>
        <w:tc>
          <w:tcPr>
            <w:tcW w:w="1183"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1.4%</w:t>
            </w:r>
          </w:p>
        </w:tc>
      </w:tr>
      <w:tr w:rsidR="00DD2448" w:rsidRPr="00AE49C8" w:rsidTr="00C92A79">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8c</w:t>
            </w:r>
          </w:p>
        </w:tc>
        <w:tc>
          <w:tcPr>
            <w:tcW w:w="9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2436"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20.0%</w:t>
            </w:r>
          </w:p>
        </w:tc>
        <w:tc>
          <w:tcPr>
            <w:tcW w:w="11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r>
      <w:tr w:rsidR="00DD2448" w:rsidRPr="00AE49C8" w:rsidTr="00C92A79">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Band 8d</w:t>
            </w:r>
          </w:p>
        </w:tc>
        <w:tc>
          <w:tcPr>
            <w:tcW w:w="983"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12.5%</w:t>
            </w:r>
          </w:p>
        </w:tc>
        <w:tc>
          <w:tcPr>
            <w:tcW w:w="2436"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12.5%</w:t>
            </w:r>
          </w:p>
        </w:tc>
        <w:tc>
          <w:tcPr>
            <w:tcW w:w="11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r>
      <w:tr w:rsidR="00DD2448" w:rsidRPr="00AE49C8" w:rsidTr="00982FBA">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lastRenderedPageBreak/>
              <w:t>Band 9</w:t>
            </w:r>
          </w:p>
        </w:tc>
        <w:tc>
          <w:tcPr>
            <w:tcW w:w="9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2436"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11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r>
      <w:tr w:rsidR="00DD2448" w:rsidRPr="00AE49C8" w:rsidTr="00C92A79">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Directors</w:t>
            </w:r>
          </w:p>
        </w:tc>
        <w:tc>
          <w:tcPr>
            <w:tcW w:w="9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c>
          <w:tcPr>
            <w:tcW w:w="2436"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23.8%</w:t>
            </w:r>
          </w:p>
        </w:tc>
        <w:tc>
          <w:tcPr>
            <w:tcW w:w="11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r>
      <w:tr w:rsidR="00DD2448" w:rsidRPr="00AE49C8" w:rsidTr="00C92A79">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Medical &amp; Dental - Consultant</w:t>
            </w:r>
          </w:p>
        </w:tc>
        <w:tc>
          <w:tcPr>
            <w:tcW w:w="983"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0.3%</w:t>
            </w:r>
          </w:p>
        </w:tc>
        <w:tc>
          <w:tcPr>
            <w:tcW w:w="2436"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20.0%</w:t>
            </w:r>
          </w:p>
        </w:tc>
        <w:tc>
          <w:tcPr>
            <w:tcW w:w="1183"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0.8%</w:t>
            </w:r>
          </w:p>
        </w:tc>
      </w:tr>
      <w:tr w:rsidR="00DD2448" w:rsidRPr="00AE49C8" w:rsidTr="00C92A79">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Medical &amp; Dental - Middle Grade</w:t>
            </w:r>
          </w:p>
        </w:tc>
        <w:tc>
          <w:tcPr>
            <w:tcW w:w="983"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0.2%</w:t>
            </w:r>
          </w:p>
        </w:tc>
        <w:tc>
          <w:tcPr>
            <w:tcW w:w="2436"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13.5%</w:t>
            </w:r>
          </w:p>
        </w:tc>
        <w:tc>
          <w:tcPr>
            <w:tcW w:w="11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r>
      <w:tr w:rsidR="00DD2448" w:rsidRPr="00AE49C8" w:rsidTr="00C92A79">
        <w:trPr>
          <w:cantSplit/>
          <w:trHeight w:val="288"/>
          <w:tblHeader/>
          <w:jc w:val="center"/>
        </w:trPr>
        <w:tc>
          <w:tcPr>
            <w:tcW w:w="2975"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Medical &amp; Dental - Training</w:t>
            </w:r>
          </w:p>
        </w:tc>
        <w:tc>
          <w:tcPr>
            <w:tcW w:w="983" w:type="dxa"/>
            <w:tcBorders>
              <w:top w:val="nil"/>
              <w:left w:val="nil"/>
              <w:bottom w:val="nil"/>
              <w:right w:val="nil"/>
            </w:tcBorders>
            <w:shd w:val="clear" w:color="auto" w:fill="009639"/>
            <w:noWrap/>
            <w:vAlign w:val="bottom"/>
            <w:hideMark/>
          </w:tcPr>
          <w:p w:rsidR="00DD2448" w:rsidRPr="00C92A79" w:rsidRDefault="00DD2448" w:rsidP="00DD2448">
            <w:pPr>
              <w:spacing w:after="0" w:line="240" w:lineRule="auto"/>
              <w:rPr>
                <w:rFonts w:eastAsia="Times New Roman"/>
                <w:b/>
                <w:bCs/>
                <w:color w:val="FFFFFF" w:themeColor="background1"/>
                <w:lang w:eastAsia="en-GB"/>
              </w:rPr>
            </w:pPr>
            <w:r w:rsidRPr="00C92A79">
              <w:rPr>
                <w:rFonts w:eastAsia="Times New Roman"/>
                <w:b/>
                <w:bCs/>
                <w:color w:val="FFFFFF" w:themeColor="background1"/>
                <w:lang w:eastAsia="en-GB"/>
              </w:rPr>
              <w:t>0.8%</w:t>
            </w:r>
          </w:p>
        </w:tc>
        <w:tc>
          <w:tcPr>
            <w:tcW w:w="2436"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17.8%</w:t>
            </w:r>
          </w:p>
        </w:tc>
        <w:tc>
          <w:tcPr>
            <w:tcW w:w="1183" w:type="dxa"/>
            <w:tcBorders>
              <w:top w:val="nil"/>
              <w:left w:val="nil"/>
              <w:bottom w:val="nil"/>
              <w:right w:val="nil"/>
            </w:tcBorders>
            <w:shd w:val="clear" w:color="auto" w:fill="auto"/>
            <w:noWrap/>
            <w:vAlign w:val="bottom"/>
            <w:hideMark/>
          </w:tcPr>
          <w:p w:rsidR="00DD2448" w:rsidRPr="00AE49C8" w:rsidRDefault="00DD2448" w:rsidP="00DD2448">
            <w:pPr>
              <w:spacing w:after="0" w:line="240" w:lineRule="auto"/>
              <w:rPr>
                <w:rFonts w:eastAsia="Times New Roman"/>
                <w:color w:val="000000"/>
                <w:lang w:eastAsia="en-GB"/>
              </w:rPr>
            </w:pPr>
            <w:r w:rsidRPr="00AE49C8">
              <w:rPr>
                <w:rFonts w:eastAsia="Times New Roman"/>
                <w:color w:val="000000"/>
                <w:lang w:eastAsia="en-GB"/>
              </w:rPr>
              <w:t>0.0%</w:t>
            </w:r>
          </w:p>
        </w:tc>
      </w:tr>
    </w:tbl>
    <w:p w:rsidR="00DD2448" w:rsidRPr="00AE49C8" w:rsidRDefault="00DD2448" w:rsidP="00DD2448">
      <w:pPr>
        <w:jc w:val="center"/>
        <w:rPr>
          <w:b/>
        </w:rPr>
      </w:pPr>
    </w:p>
    <w:p w:rsidR="00DD2448" w:rsidRPr="000D2F61" w:rsidRDefault="00DD2448" w:rsidP="00DD2448">
      <w:r w:rsidRPr="000D2F61">
        <w:t>Observations</w:t>
      </w:r>
    </w:p>
    <w:p w:rsidR="002E5330" w:rsidRPr="00AE49C8" w:rsidRDefault="002E5330" w:rsidP="002E5330">
      <w:pPr>
        <w:widowControl w:val="0"/>
      </w:pPr>
      <w:r w:rsidRPr="00AE49C8">
        <w:t>Compared to the overall  representation in the workforce:</w:t>
      </w:r>
    </w:p>
    <w:p w:rsidR="002E5330" w:rsidRPr="00AE49C8" w:rsidRDefault="002E5330" w:rsidP="002E5330">
      <w:pPr>
        <w:pStyle w:val="ListParagraph"/>
      </w:pPr>
      <w:r w:rsidRPr="00AE49C8">
        <w:t>Atheists have a higher than expected representation in bands 3-4, 6-7, 8c, 9 and all medical roles; there is a lower than expected representation in 1-2, 5, 8a-b and directors and no representation in 8d.</w:t>
      </w:r>
    </w:p>
    <w:p w:rsidR="002E5330" w:rsidRPr="00AE49C8" w:rsidRDefault="002E5330" w:rsidP="002E5330">
      <w:pPr>
        <w:pStyle w:val="ListParagraph"/>
      </w:pPr>
      <w:r w:rsidRPr="00AE49C8">
        <w:t>Buddhists have a higher than expected representation in 1-2, directors and all medical roles).  There is a fair representation 3-7 and no representation in any other bands.</w:t>
      </w:r>
    </w:p>
    <w:p w:rsidR="002E5330" w:rsidRPr="00AE49C8" w:rsidRDefault="002E5330" w:rsidP="002E5330">
      <w:pPr>
        <w:pStyle w:val="ListParagraph"/>
      </w:pPr>
      <w:r w:rsidRPr="00AE49C8">
        <w:t>Christians have a higher than expected representation in most bands. In 1 and all medical roles, there is a lower than expected representation.</w:t>
      </w:r>
    </w:p>
    <w:p w:rsidR="002E5330" w:rsidRPr="00AE49C8" w:rsidRDefault="002E5330" w:rsidP="002E5330">
      <w:pPr>
        <w:pStyle w:val="ListParagraph"/>
      </w:pPr>
      <w:r w:rsidRPr="00AE49C8">
        <w:t>Hindus have a higher than expected representation in 1, 8a and all medical roles, a low to fair representation in 2-7, and no representation in 8b-9 and directors.</w:t>
      </w:r>
    </w:p>
    <w:p w:rsidR="002E5330" w:rsidRPr="00AE49C8" w:rsidRDefault="002E5330" w:rsidP="002E5330">
      <w:pPr>
        <w:pStyle w:val="ListParagraph"/>
      </w:pPr>
      <w:r w:rsidRPr="00AE49C8">
        <w:t>Muslims have a higher than expected representation in all medical roles; in 2-7, there is a low to fair representation, and there is no representation in 1, 8a-9 and directors.</w:t>
      </w:r>
    </w:p>
    <w:p w:rsidR="002E5330" w:rsidRPr="00AE49C8" w:rsidRDefault="002E5330" w:rsidP="002E5330">
      <w:pPr>
        <w:pStyle w:val="ListParagraph"/>
      </w:pPr>
      <w:r w:rsidRPr="00AE49C8">
        <w:t>Jains have a higher than expected representation in band</w:t>
      </w:r>
      <w:r w:rsidR="00DD1B01" w:rsidRPr="00AE49C8">
        <w:t xml:space="preserve"> 8a</w:t>
      </w:r>
      <w:r w:rsidRPr="00AE49C8">
        <w:t xml:space="preserve"> and medical middle grades.  There is no representation in any other grades/bands.</w:t>
      </w:r>
    </w:p>
    <w:p w:rsidR="002E5330" w:rsidRPr="00AE49C8" w:rsidRDefault="002E5330" w:rsidP="002E5330">
      <w:pPr>
        <w:pStyle w:val="ListParagraph"/>
      </w:pPr>
      <w:r w:rsidRPr="00AE49C8">
        <w:t xml:space="preserve">Judaism </w:t>
      </w:r>
      <w:r w:rsidR="00DD1B01" w:rsidRPr="00AE49C8">
        <w:t>there is</w:t>
      </w:r>
      <w:r w:rsidRPr="00AE49C8">
        <w:t xml:space="preserve"> higher than expected representation in band</w:t>
      </w:r>
      <w:r w:rsidR="00DD1B01" w:rsidRPr="00AE49C8">
        <w:t xml:space="preserve"> 8b</w:t>
      </w:r>
      <w:r w:rsidRPr="00AE49C8">
        <w:t xml:space="preserve"> and</w:t>
      </w:r>
      <w:r w:rsidR="00DD1B01" w:rsidRPr="00AE49C8">
        <w:t xml:space="preserve"> all </w:t>
      </w:r>
      <w:r w:rsidRPr="00AE49C8">
        <w:t xml:space="preserve">medical </w:t>
      </w:r>
      <w:r w:rsidR="00DD1B01" w:rsidRPr="00AE49C8">
        <w:t>roles, a fair to good representation in bands 2-7</w:t>
      </w:r>
      <w:r w:rsidRPr="00AE49C8">
        <w:t>.  There is no representation in any other grades/bands.</w:t>
      </w:r>
    </w:p>
    <w:p w:rsidR="002E5330" w:rsidRPr="00AE49C8" w:rsidRDefault="002E5330" w:rsidP="002E5330">
      <w:pPr>
        <w:pStyle w:val="ListParagraph"/>
      </w:pPr>
      <w:r w:rsidRPr="00AE49C8">
        <w:t xml:space="preserve">Other religions or beliefs have higher than expected representation in </w:t>
      </w:r>
      <w:r w:rsidR="00DD1B01" w:rsidRPr="00AE49C8">
        <w:t>2, 5, 8d, 9 and directors; in all other bands/grades, there is a lower than expected representation (ranging from low to fair representation)</w:t>
      </w:r>
      <w:r w:rsidRPr="00AE49C8">
        <w:t>.</w:t>
      </w:r>
    </w:p>
    <w:p w:rsidR="002E5330" w:rsidRPr="00AE49C8" w:rsidRDefault="002E5330" w:rsidP="002E5330">
      <w:pPr>
        <w:pStyle w:val="ListParagraph"/>
      </w:pPr>
      <w:r w:rsidRPr="00AE49C8">
        <w:t xml:space="preserve">Sikhs </w:t>
      </w:r>
      <w:r w:rsidR="00DD1B01" w:rsidRPr="00AE49C8">
        <w:t>have a higher than expected representation in 2, 4, 8d and all medical grades.  There is a lower than expected representation in 3, 5 and 7 and no representation in other bands/grades.</w:t>
      </w:r>
    </w:p>
    <w:p w:rsidR="002E5330" w:rsidRPr="00AE49C8" w:rsidRDefault="002E5330" w:rsidP="00DD1B01">
      <w:pPr>
        <w:pStyle w:val="ListParagraph"/>
      </w:pPr>
      <w:r w:rsidRPr="00AE49C8">
        <w:t xml:space="preserve">Prefer not to say – </w:t>
      </w:r>
      <w:r w:rsidR="00DD1B01" w:rsidRPr="00AE49C8">
        <w:t>the rate of staff declining to state their religion or belief is prev</w:t>
      </w:r>
      <w:r w:rsidR="000D2F61">
        <w:t>ale</w:t>
      </w:r>
      <w:r w:rsidR="00DD1B01" w:rsidRPr="00AE49C8">
        <w:t>nt across all bands/grades. An exceptionally high proportion of staff in 1, 7-8c, directors and medical consultants, elect not to provide this information.</w:t>
      </w:r>
    </w:p>
    <w:p w:rsidR="00DD1B01" w:rsidRPr="00AE49C8" w:rsidRDefault="00DD2448" w:rsidP="00DD1B01">
      <w:pPr>
        <w:pStyle w:val="Heading3"/>
      </w:pPr>
      <w:bookmarkStart w:id="69" w:name="_Toc88634016"/>
      <w:r w:rsidRPr="00AE49C8">
        <w:lastRenderedPageBreak/>
        <w:t>Breakdown of religion or belief in recruitment processes</w:t>
      </w:r>
      <w:bookmarkEnd w:id="69"/>
    </w:p>
    <w:p w:rsidR="00DD2448" w:rsidRPr="00AE49C8" w:rsidRDefault="00DD1B01" w:rsidP="00DD2448">
      <w:r w:rsidRPr="00AE49C8">
        <w:t>T</w:t>
      </w:r>
      <w:r w:rsidR="00DD2448" w:rsidRPr="00AE49C8">
        <w:t>he data compares the three stages of recruitment compared to the workforce representation within the organisation.</w:t>
      </w:r>
    </w:p>
    <w:p w:rsidR="00DD2448" w:rsidRPr="00AE49C8" w:rsidRDefault="00DD2448" w:rsidP="00DD2448">
      <w:pPr>
        <w:spacing w:line="240" w:lineRule="auto"/>
        <w:rPr>
          <w:b/>
        </w:rPr>
      </w:pPr>
      <w:r w:rsidRPr="00AE49C8">
        <w:rPr>
          <w:b/>
        </w:rPr>
        <w:t>BSUH</w:t>
      </w:r>
    </w:p>
    <w:tbl>
      <w:tblPr>
        <w:tblW w:w="9850" w:type="dxa"/>
        <w:jc w:val="center"/>
        <w:tblInd w:w="93" w:type="dxa"/>
        <w:tblBorders>
          <w:insideH w:val="dotted" w:sz="4" w:space="0" w:color="auto"/>
        </w:tblBorders>
        <w:tblLook w:val="04A0" w:firstRow="1" w:lastRow="0" w:firstColumn="1" w:lastColumn="0" w:noHBand="0" w:noVBand="1"/>
        <w:tblCaption w:val="Representation of religion or belief in recruitment processes"/>
      </w:tblPr>
      <w:tblGrid>
        <w:gridCol w:w="4551"/>
        <w:gridCol w:w="1657"/>
        <w:gridCol w:w="1470"/>
        <w:gridCol w:w="1403"/>
        <w:gridCol w:w="1403"/>
      </w:tblGrid>
      <w:tr w:rsidR="00A175C6" w:rsidRPr="00AE49C8" w:rsidTr="00C92A79">
        <w:trPr>
          <w:cantSplit/>
          <w:trHeight w:val="1032"/>
          <w:tblHeader/>
          <w:jc w:val="center"/>
        </w:trPr>
        <w:tc>
          <w:tcPr>
            <w:tcW w:w="4551" w:type="dxa"/>
            <w:shd w:val="clear" w:color="auto" w:fill="auto"/>
            <w:vAlign w:val="bottom"/>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Religion or Belief</w:t>
            </w:r>
          </w:p>
        </w:tc>
        <w:tc>
          <w:tcPr>
            <w:tcW w:w="1452" w:type="dxa"/>
            <w:shd w:val="clear" w:color="auto" w:fill="auto"/>
            <w:vAlign w:val="bottom"/>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Applications</w:t>
            </w:r>
          </w:p>
        </w:tc>
        <w:tc>
          <w:tcPr>
            <w:tcW w:w="1303" w:type="dxa"/>
            <w:shd w:val="clear" w:color="auto" w:fill="auto"/>
            <w:vAlign w:val="bottom"/>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Shortlisted</w:t>
            </w:r>
          </w:p>
        </w:tc>
        <w:tc>
          <w:tcPr>
            <w:tcW w:w="1269" w:type="dxa"/>
            <w:shd w:val="clear" w:color="auto" w:fill="auto"/>
            <w:vAlign w:val="bottom"/>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Appointed</w:t>
            </w:r>
          </w:p>
        </w:tc>
        <w:tc>
          <w:tcPr>
            <w:tcW w:w="1275" w:type="dxa"/>
            <w:shd w:val="clear" w:color="auto" w:fill="auto"/>
            <w:vAlign w:val="bottom"/>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Workforce</w:t>
            </w:r>
          </w:p>
        </w:tc>
      </w:tr>
      <w:tr w:rsidR="00A175C6" w:rsidRPr="00AE49C8" w:rsidTr="00C92A79">
        <w:trPr>
          <w:cantSplit/>
          <w:trHeight w:val="312"/>
          <w:tblHeader/>
          <w:jc w:val="center"/>
        </w:trPr>
        <w:tc>
          <w:tcPr>
            <w:tcW w:w="4551"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Atheism</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18.8%</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23.0%</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24.3%</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20.8%</w:t>
            </w:r>
          </w:p>
        </w:tc>
      </w:tr>
      <w:tr w:rsidR="00A175C6" w:rsidRPr="00AE49C8" w:rsidTr="00C92A79">
        <w:trPr>
          <w:cantSplit/>
          <w:trHeight w:val="312"/>
          <w:tblHeader/>
          <w:jc w:val="center"/>
        </w:trPr>
        <w:tc>
          <w:tcPr>
            <w:tcW w:w="4551"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Buddhism</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1.4%</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1.3%</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0.9%</w:t>
            </w:r>
          </w:p>
        </w:tc>
      </w:tr>
      <w:tr w:rsidR="00A175C6" w:rsidRPr="00AE49C8" w:rsidTr="00C92A79">
        <w:trPr>
          <w:cantSplit/>
          <w:trHeight w:val="312"/>
          <w:tblHeader/>
          <w:jc w:val="center"/>
        </w:trPr>
        <w:tc>
          <w:tcPr>
            <w:tcW w:w="4551"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Christianity</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41.8%</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37.5%</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30.2%</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37.6%</w:t>
            </w:r>
          </w:p>
        </w:tc>
      </w:tr>
      <w:tr w:rsidR="00A175C6" w:rsidRPr="00AE49C8" w:rsidTr="00C92A79">
        <w:trPr>
          <w:cantSplit/>
          <w:trHeight w:val="312"/>
          <w:tblHeader/>
          <w:jc w:val="center"/>
        </w:trPr>
        <w:tc>
          <w:tcPr>
            <w:tcW w:w="4551"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Hinduism</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4.6%</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2.4%</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1.6%</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1.8%</w:t>
            </w:r>
          </w:p>
        </w:tc>
      </w:tr>
      <w:tr w:rsidR="00A175C6" w:rsidRPr="00AE49C8" w:rsidTr="00C92A79">
        <w:trPr>
          <w:cantSplit/>
          <w:trHeight w:val="312"/>
          <w:tblHeader/>
          <w:jc w:val="center"/>
        </w:trPr>
        <w:tc>
          <w:tcPr>
            <w:tcW w:w="4551"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Islam</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12.0%</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5.1%</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2.4%</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2.2%</w:t>
            </w:r>
          </w:p>
        </w:tc>
      </w:tr>
      <w:tr w:rsidR="00A175C6" w:rsidRPr="00AE49C8" w:rsidTr="00C92A79">
        <w:trPr>
          <w:cantSplit/>
          <w:trHeight w:val="312"/>
          <w:tblHeader/>
          <w:jc w:val="center"/>
        </w:trPr>
        <w:tc>
          <w:tcPr>
            <w:tcW w:w="4551"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Jainism</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A175C6" w:rsidRPr="00AE49C8" w:rsidTr="00C92A79">
        <w:trPr>
          <w:cantSplit/>
          <w:trHeight w:val="312"/>
          <w:tblHeader/>
          <w:jc w:val="center"/>
        </w:trPr>
        <w:tc>
          <w:tcPr>
            <w:tcW w:w="4551"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Judaism</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0.2%</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0.2%</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0.3%</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0.2%</w:t>
            </w:r>
          </w:p>
        </w:tc>
      </w:tr>
      <w:tr w:rsidR="00A175C6" w:rsidRPr="00AE49C8" w:rsidTr="00C92A79">
        <w:trPr>
          <w:cantSplit/>
          <w:trHeight w:val="312"/>
          <w:tblHeader/>
          <w:jc w:val="center"/>
        </w:trPr>
        <w:tc>
          <w:tcPr>
            <w:tcW w:w="4551"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9.3%</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11.7%</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9.5%</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9.8%</w:t>
            </w:r>
          </w:p>
        </w:tc>
      </w:tr>
      <w:tr w:rsidR="00A175C6" w:rsidRPr="00AE49C8" w:rsidTr="00C92A79">
        <w:trPr>
          <w:cantSplit/>
          <w:trHeight w:val="312"/>
          <w:tblHeader/>
          <w:jc w:val="center"/>
        </w:trPr>
        <w:tc>
          <w:tcPr>
            <w:tcW w:w="4551"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Sikhism</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0.2%</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0.1%</w:t>
            </w:r>
          </w:p>
        </w:tc>
      </w:tr>
      <w:tr w:rsidR="00A175C6" w:rsidRPr="00AE49C8" w:rsidTr="00C92A79">
        <w:trPr>
          <w:cantSplit/>
          <w:trHeight w:val="312"/>
          <w:tblHeader/>
          <w:jc w:val="center"/>
        </w:trPr>
        <w:tc>
          <w:tcPr>
            <w:tcW w:w="4551"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I do not wish to disclose my religion/belief</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9.4%</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11.0%</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7.5%</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16.9%</w:t>
            </w:r>
          </w:p>
        </w:tc>
      </w:tr>
      <w:tr w:rsidR="00A175C6" w:rsidRPr="00AE49C8" w:rsidTr="00C92A79">
        <w:trPr>
          <w:cantSplit/>
          <w:trHeight w:val="312"/>
          <w:tblHeader/>
          <w:jc w:val="center"/>
        </w:trPr>
        <w:tc>
          <w:tcPr>
            <w:tcW w:w="4551"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Not stated</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2.2%</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7.4%</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22.9%</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9.5%</w:t>
            </w:r>
          </w:p>
        </w:tc>
      </w:tr>
      <w:tr w:rsidR="00A175C6" w:rsidRPr="00AE49C8" w:rsidTr="00C92A79">
        <w:trPr>
          <w:cantSplit/>
          <w:trHeight w:val="312"/>
          <w:tblHeader/>
          <w:jc w:val="center"/>
        </w:trPr>
        <w:tc>
          <w:tcPr>
            <w:tcW w:w="4551"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Total</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DD2448" w:rsidRPr="00AE49C8" w:rsidRDefault="00DD2448" w:rsidP="00A175C6">
      <w:pPr>
        <w:spacing w:line="240" w:lineRule="auto"/>
        <w:jc w:val="center"/>
        <w:rPr>
          <w:b/>
        </w:rPr>
      </w:pPr>
    </w:p>
    <w:p w:rsidR="00DD2448" w:rsidRPr="00AE49C8" w:rsidRDefault="00A175C6" w:rsidP="00DD2448">
      <w:pPr>
        <w:jc w:val="center"/>
        <w:rPr>
          <w:b/>
        </w:rPr>
      </w:pPr>
      <w:r w:rsidRPr="00AE49C8">
        <w:rPr>
          <w:noProof/>
          <w:lang w:eastAsia="en-GB"/>
        </w:rPr>
        <w:drawing>
          <wp:inline distT="0" distB="0" distL="0" distR="0" wp14:anchorId="19C5A002" wp14:editId="4D98272C">
            <wp:extent cx="5731510" cy="3385103"/>
            <wp:effectExtent l="0" t="0" r="2540" b="6350"/>
            <wp:docPr id="280" name="Chart 280" title="Representation of religion or belief in recruitment processes compared to the overall workforce represen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D2448" w:rsidRPr="000D2F61" w:rsidRDefault="00DD2448" w:rsidP="00DD2448">
      <w:r w:rsidRPr="000D2F61">
        <w:t>Observations</w:t>
      </w:r>
    </w:p>
    <w:p w:rsidR="00DD2448" w:rsidRPr="00AE49C8" w:rsidRDefault="00BD51AE" w:rsidP="00BD51AE">
      <w:pPr>
        <w:pStyle w:val="ListParagraph"/>
      </w:pPr>
      <w:r w:rsidRPr="00AE49C8">
        <w:t>When comparing against workforce representation, there is generally a good representation for all-known religions or belief groups.</w:t>
      </w:r>
    </w:p>
    <w:p w:rsidR="00BD51AE" w:rsidRPr="00AE49C8" w:rsidRDefault="00BD51AE" w:rsidP="00BD51AE">
      <w:pPr>
        <w:pStyle w:val="ListParagraph"/>
      </w:pPr>
      <w:r w:rsidRPr="00AE49C8">
        <w:lastRenderedPageBreak/>
        <w:t>From the application to the shortlisting stage, the representation of Jains and Jewish candidates stayed broadly the same, whilst all other groups decreased.</w:t>
      </w:r>
    </w:p>
    <w:p w:rsidR="006650FE" w:rsidRPr="00AE49C8" w:rsidRDefault="006650FE" w:rsidP="00BD51AE">
      <w:pPr>
        <w:pStyle w:val="ListParagraph"/>
      </w:pPr>
      <w:r w:rsidRPr="00AE49C8">
        <w:t>From the shortlisting to the appointment stage, representation of Atheists, Jewish and not stated.  All other groups saw a decrease in representation.</w:t>
      </w:r>
    </w:p>
    <w:p w:rsidR="00C831A7" w:rsidRPr="00AE49C8" w:rsidRDefault="00C831A7" w:rsidP="00BD51AE">
      <w:pPr>
        <w:pStyle w:val="ListParagraph"/>
      </w:pPr>
      <w:r w:rsidRPr="00AE49C8">
        <w:t>As an overview of the process, Christian, Hindu, Muslim and Sikh candidates appear to experience a possible disadvantage within the recruitment processes. In contrast, Atheist candidates appear to benefit from the processes.</w:t>
      </w:r>
    </w:p>
    <w:p w:rsidR="00C831A7" w:rsidRPr="00AE49C8" w:rsidRDefault="00C831A7" w:rsidP="00BD51AE">
      <w:pPr>
        <w:pStyle w:val="ListParagraph"/>
      </w:pPr>
      <w:r w:rsidRPr="00AE49C8">
        <w:t>Compared to the workforce representation, fewer candidates who did not want to declare their religion or belief were appointed.  A much more significant percentage where their religion or belief was ‘not stated’ was also appointed.</w:t>
      </w:r>
    </w:p>
    <w:p w:rsidR="00DD2448" w:rsidRPr="00AE49C8" w:rsidRDefault="00DD2448" w:rsidP="00DD2448">
      <w:pPr>
        <w:spacing w:line="240" w:lineRule="auto"/>
        <w:rPr>
          <w:b/>
        </w:rPr>
      </w:pPr>
      <w:r w:rsidRPr="00AE49C8">
        <w:rPr>
          <w:b/>
        </w:rPr>
        <w:t>WSHT</w:t>
      </w:r>
    </w:p>
    <w:tbl>
      <w:tblPr>
        <w:tblW w:w="9992" w:type="dxa"/>
        <w:jc w:val="center"/>
        <w:tblInd w:w="93" w:type="dxa"/>
        <w:tblBorders>
          <w:insideH w:val="dotted" w:sz="4" w:space="0" w:color="auto"/>
        </w:tblBorders>
        <w:tblLook w:val="04A0" w:firstRow="1" w:lastRow="0" w:firstColumn="1" w:lastColumn="0" w:noHBand="0" w:noVBand="1"/>
        <w:tblCaption w:val="Representation of religion or belief in recruitment processes"/>
      </w:tblPr>
      <w:tblGrid>
        <w:gridCol w:w="4693"/>
        <w:gridCol w:w="1657"/>
        <w:gridCol w:w="1470"/>
        <w:gridCol w:w="1403"/>
        <w:gridCol w:w="1403"/>
      </w:tblGrid>
      <w:tr w:rsidR="00A175C6" w:rsidRPr="00AE49C8" w:rsidTr="00C92A79">
        <w:trPr>
          <w:cantSplit/>
          <w:trHeight w:val="936"/>
          <w:tblHeader/>
          <w:jc w:val="center"/>
        </w:trPr>
        <w:tc>
          <w:tcPr>
            <w:tcW w:w="4693" w:type="dxa"/>
            <w:shd w:val="clear" w:color="auto" w:fill="auto"/>
            <w:vAlign w:val="bottom"/>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Religion or Belief</w:t>
            </w:r>
          </w:p>
        </w:tc>
        <w:tc>
          <w:tcPr>
            <w:tcW w:w="1452" w:type="dxa"/>
            <w:shd w:val="clear" w:color="auto" w:fill="auto"/>
            <w:vAlign w:val="bottom"/>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Applications</w:t>
            </w:r>
          </w:p>
        </w:tc>
        <w:tc>
          <w:tcPr>
            <w:tcW w:w="1303" w:type="dxa"/>
            <w:shd w:val="clear" w:color="auto" w:fill="auto"/>
            <w:vAlign w:val="bottom"/>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Shortlisted</w:t>
            </w:r>
          </w:p>
        </w:tc>
        <w:tc>
          <w:tcPr>
            <w:tcW w:w="1269" w:type="dxa"/>
            <w:shd w:val="clear" w:color="auto" w:fill="auto"/>
            <w:vAlign w:val="bottom"/>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Appointed</w:t>
            </w:r>
          </w:p>
        </w:tc>
        <w:tc>
          <w:tcPr>
            <w:tcW w:w="1275" w:type="dxa"/>
            <w:shd w:val="clear" w:color="auto" w:fill="auto"/>
            <w:vAlign w:val="bottom"/>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Workforce</w:t>
            </w:r>
          </w:p>
        </w:tc>
      </w:tr>
      <w:tr w:rsidR="00A175C6" w:rsidRPr="00AE49C8" w:rsidTr="00C92A79">
        <w:trPr>
          <w:cantSplit/>
          <w:trHeight w:val="312"/>
          <w:tblHeader/>
          <w:jc w:val="center"/>
        </w:trPr>
        <w:tc>
          <w:tcPr>
            <w:tcW w:w="469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Atheism</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14.3%</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22.1%</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27.9%</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15.4%</w:t>
            </w:r>
          </w:p>
        </w:tc>
      </w:tr>
      <w:tr w:rsidR="00A175C6" w:rsidRPr="00AE49C8" w:rsidTr="00C92A79">
        <w:trPr>
          <w:cantSplit/>
          <w:trHeight w:val="312"/>
          <w:tblHeader/>
          <w:jc w:val="center"/>
        </w:trPr>
        <w:tc>
          <w:tcPr>
            <w:tcW w:w="469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Buddhism</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1.1%</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0.9%</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0.7%</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0.7%</w:t>
            </w:r>
          </w:p>
        </w:tc>
      </w:tr>
      <w:tr w:rsidR="00A175C6" w:rsidRPr="00AE49C8" w:rsidTr="00C92A79">
        <w:trPr>
          <w:cantSplit/>
          <w:trHeight w:val="312"/>
          <w:tblHeader/>
          <w:jc w:val="center"/>
        </w:trPr>
        <w:tc>
          <w:tcPr>
            <w:tcW w:w="469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Christianity</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49.6%</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46.1%</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42.9%</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47.8%</w:t>
            </w:r>
          </w:p>
        </w:tc>
      </w:tr>
      <w:tr w:rsidR="00A175C6" w:rsidRPr="00AE49C8" w:rsidTr="00C92A79">
        <w:trPr>
          <w:cantSplit/>
          <w:trHeight w:val="312"/>
          <w:tblHeader/>
          <w:jc w:val="center"/>
        </w:trPr>
        <w:tc>
          <w:tcPr>
            <w:tcW w:w="469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Hinduism</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4.5%</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2.4%</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2.1%</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1.7%</w:t>
            </w:r>
          </w:p>
        </w:tc>
      </w:tr>
      <w:tr w:rsidR="00A175C6" w:rsidRPr="00AE49C8" w:rsidTr="00C92A79">
        <w:trPr>
          <w:cantSplit/>
          <w:trHeight w:val="312"/>
          <w:tblHeader/>
          <w:jc w:val="center"/>
        </w:trPr>
        <w:tc>
          <w:tcPr>
            <w:tcW w:w="469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Islam</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12.9%</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4.1%</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1.3%</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1.6%</w:t>
            </w:r>
          </w:p>
        </w:tc>
      </w:tr>
      <w:tr w:rsidR="00A175C6" w:rsidRPr="00AE49C8" w:rsidTr="00C92A79">
        <w:trPr>
          <w:cantSplit/>
          <w:trHeight w:val="312"/>
          <w:tblHeader/>
          <w:jc w:val="center"/>
        </w:trPr>
        <w:tc>
          <w:tcPr>
            <w:tcW w:w="469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Jainism</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A175C6" w:rsidRPr="00AE49C8" w:rsidTr="00C92A79">
        <w:trPr>
          <w:cantSplit/>
          <w:trHeight w:val="312"/>
          <w:tblHeader/>
          <w:jc w:val="center"/>
        </w:trPr>
        <w:tc>
          <w:tcPr>
            <w:tcW w:w="469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Judaism</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0.2%</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0.2%</w:t>
            </w:r>
          </w:p>
        </w:tc>
      </w:tr>
      <w:tr w:rsidR="00A175C6" w:rsidRPr="00AE49C8" w:rsidTr="00C92A79">
        <w:trPr>
          <w:cantSplit/>
          <w:trHeight w:val="312"/>
          <w:tblHeader/>
          <w:jc w:val="center"/>
        </w:trPr>
        <w:tc>
          <w:tcPr>
            <w:tcW w:w="469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Sikhism</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0.3%</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0.2%</w:t>
            </w:r>
          </w:p>
        </w:tc>
      </w:tr>
      <w:tr w:rsidR="00A175C6" w:rsidRPr="00AE49C8" w:rsidTr="00C92A79">
        <w:trPr>
          <w:cantSplit/>
          <w:trHeight w:val="312"/>
          <w:tblHeader/>
          <w:jc w:val="center"/>
        </w:trPr>
        <w:tc>
          <w:tcPr>
            <w:tcW w:w="469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7.9%</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10.6%</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10.2%</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13.8%</w:t>
            </w:r>
          </w:p>
        </w:tc>
      </w:tr>
      <w:tr w:rsidR="00A175C6" w:rsidRPr="00AE49C8" w:rsidTr="00C92A79">
        <w:trPr>
          <w:cantSplit/>
          <w:trHeight w:val="312"/>
          <w:tblHeader/>
          <w:jc w:val="center"/>
        </w:trPr>
        <w:tc>
          <w:tcPr>
            <w:tcW w:w="469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I do not wish to disclose my religion/belief</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8.8%</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11.8%</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10.4%</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18.0%</w:t>
            </w:r>
          </w:p>
        </w:tc>
      </w:tr>
      <w:tr w:rsidR="00A175C6" w:rsidRPr="00AE49C8" w:rsidTr="00C92A79">
        <w:trPr>
          <w:cantSplit/>
          <w:trHeight w:val="312"/>
          <w:tblHeader/>
          <w:jc w:val="center"/>
        </w:trPr>
        <w:tc>
          <w:tcPr>
            <w:tcW w:w="469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Not stated</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3.9%</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0.6%</w:t>
            </w:r>
          </w:p>
        </w:tc>
      </w:tr>
      <w:tr w:rsidR="00A175C6" w:rsidRPr="00AE49C8" w:rsidTr="00C92A79">
        <w:trPr>
          <w:cantSplit/>
          <w:trHeight w:val="312"/>
          <w:tblHeader/>
          <w:jc w:val="center"/>
        </w:trPr>
        <w:tc>
          <w:tcPr>
            <w:tcW w:w="469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Total</w:t>
            </w:r>
          </w:p>
        </w:tc>
        <w:tc>
          <w:tcPr>
            <w:tcW w:w="145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303"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26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275"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DD2448" w:rsidRPr="00AE49C8" w:rsidRDefault="00DD2448" w:rsidP="00DD2448">
      <w:pPr>
        <w:spacing w:line="240" w:lineRule="auto"/>
        <w:jc w:val="center"/>
        <w:rPr>
          <w:b/>
        </w:rPr>
      </w:pPr>
    </w:p>
    <w:p w:rsidR="00DD2448" w:rsidRPr="00AE49C8" w:rsidRDefault="00A175C6" w:rsidP="00DD2448">
      <w:pPr>
        <w:jc w:val="center"/>
        <w:rPr>
          <w:b/>
        </w:rPr>
      </w:pPr>
      <w:r w:rsidRPr="00AE49C8">
        <w:rPr>
          <w:noProof/>
          <w:lang w:eastAsia="en-GB"/>
        </w:rPr>
        <w:lastRenderedPageBreak/>
        <w:drawing>
          <wp:inline distT="0" distB="0" distL="0" distR="0" wp14:anchorId="61239089" wp14:editId="2C6CB189">
            <wp:extent cx="5731510" cy="3773680"/>
            <wp:effectExtent l="0" t="0" r="2540" b="0"/>
            <wp:docPr id="281" name="Chart 281" title="Representation of religion or belief in recruitment processes compared to the overall workforce represen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DD2448" w:rsidRPr="000D2F61" w:rsidRDefault="00DD2448" w:rsidP="00DD2448">
      <w:r w:rsidRPr="000D2F61">
        <w:t>Observations</w:t>
      </w:r>
    </w:p>
    <w:p w:rsidR="00DD2448" w:rsidRPr="00AE49C8" w:rsidRDefault="004D110C" w:rsidP="004D110C">
      <w:pPr>
        <w:pStyle w:val="ListParagraph"/>
      </w:pPr>
      <w:r w:rsidRPr="00AE49C8">
        <w:t>Compared to the workforce representation, there is a good to higher than an expected representation of Atheist, Buddhist, Christian, Hindu, Muslim and Sikh candidates in the recruitment processes.</w:t>
      </w:r>
    </w:p>
    <w:p w:rsidR="004D110C" w:rsidRPr="00AE49C8" w:rsidRDefault="004D110C" w:rsidP="004D110C">
      <w:pPr>
        <w:pStyle w:val="ListParagraph"/>
      </w:pPr>
      <w:r w:rsidRPr="00AE49C8">
        <w:t>From the application to the shortlisting stage, there was an increase in representation of Atheist, Sikh, other (religion or belief) and those who declined to declare/not stated.  Jain and Jewish candidates remained broadly the same, and all other groups decreased.</w:t>
      </w:r>
    </w:p>
    <w:p w:rsidR="004D110C" w:rsidRPr="00AE49C8" w:rsidRDefault="004D110C" w:rsidP="004D110C">
      <w:pPr>
        <w:pStyle w:val="ListParagraph"/>
      </w:pPr>
      <w:r w:rsidRPr="00AE49C8">
        <w:t>From shortlisting to the appointment stage, there were increases in representation in Atheist, Jewish, and candidates whose religion or belief was not stated.  Decreases were seen in most other groups except for Sikhs which remained broadly the same.</w:t>
      </w:r>
    </w:p>
    <w:p w:rsidR="004D110C" w:rsidRPr="00AE49C8" w:rsidRDefault="004D110C" w:rsidP="004D110C">
      <w:pPr>
        <w:pStyle w:val="ListParagraph"/>
      </w:pPr>
      <w:r w:rsidRPr="00AE49C8">
        <w:t>As an overview of the process, In contrast, Atheist, Jewish, Sikhs, other (religion or belief) and unknown status candidates appear to benefit from the processes.</w:t>
      </w:r>
    </w:p>
    <w:p w:rsidR="004D110C" w:rsidRPr="00AE49C8" w:rsidRDefault="00B32BDE" w:rsidP="004D110C">
      <w:pPr>
        <w:pStyle w:val="ListParagraph"/>
      </w:pPr>
      <w:r w:rsidRPr="00AE49C8">
        <w:t>Compared to the current workforce,  a small proportion of ‘prefer not to say was appointed, but a larger proportion of ‘not stated’ was appointed.</w:t>
      </w:r>
    </w:p>
    <w:p w:rsidR="00C92A79" w:rsidRDefault="00C92A79">
      <w:pPr>
        <w:widowControl w:val="0"/>
        <w:rPr>
          <w:rFonts w:eastAsiaTheme="majorEastAsia"/>
          <w:b/>
          <w:bCs/>
          <w:color w:val="0070C0"/>
        </w:rPr>
      </w:pPr>
      <w:r>
        <w:br w:type="page"/>
      </w:r>
    </w:p>
    <w:p w:rsidR="00DD2448" w:rsidRPr="00AE49C8" w:rsidRDefault="00DD2448" w:rsidP="00B32BDE">
      <w:pPr>
        <w:pStyle w:val="Heading3"/>
      </w:pPr>
      <w:bookmarkStart w:id="70" w:name="_Toc88634017"/>
      <w:r w:rsidRPr="00AE49C8">
        <w:lastRenderedPageBreak/>
        <w:t>Uptake of non-mandatory training or continuing professional development</w:t>
      </w:r>
      <w:bookmarkEnd w:id="70"/>
    </w:p>
    <w:p w:rsidR="00DD2448" w:rsidRPr="00AE49C8" w:rsidRDefault="00DD2448" w:rsidP="00DD2448">
      <w:pPr>
        <w:rPr>
          <w:b/>
        </w:rPr>
      </w:pPr>
      <w:r w:rsidRPr="00AE49C8">
        <w:rPr>
          <w:b/>
        </w:rPr>
        <w:t>BSUH</w:t>
      </w:r>
    </w:p>
    <w:tbl>
      <w:tblPr>
        <w:tblW w:w="8753" w:type="dxa"/>
        <w:jc w:val="center"/>
        <w:tblBorders>
          <w:insideH w:val="dotted" w:sz="4" w:space="0" w:color="auto"/>
        </w:tblBorders>
        <w:tblLook w:val="04A0" w:firstRow="1" w:lastRow="0" w:firstColumn="1" w:lastColumn="0" w:noHBand="0" w:noVBand="1"/>
        <w:tblCaption w:val="Non-mandatory/CPD training brokendown by religion or belief"/>
      </w:tblPr>
      <w:tblGrid>
        <w:gridCol w:w="2442"/>
        <w:gridCol w:w="2237"/>
        <w:gridCol w:w="2356"/>
        <w:gridCol w:w="1964"/>
      </w:tblGrid>
      <w:tr w:rsidR="00A175C6" w:rsidRPr="00AE49C8" w:rsidTr="00773797">
        <w:trPr>
          <w:cantSplit/>
          <w:trHeight w:val="312"/>
          <w:tblHeader/>
          <w:jc w:val="center"/>
        </w:trPr>
        <w:tc>
          <w:tcPr>
            <w:tcW w:w="2442" w:type="dxa"/>
            <w:shd w:val="clear" w:color="auto" w:fill="auto"/>
            <w:noWrap/>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Religion or Belief</w:t>
            </w:r>
          </w:p>
        </w:tc>
        <w:tc>
          <w:tcPr>
            <w:tcW w:w="2237" w:type="dxa"/>
            <w:shd w:val="clear" w:color="auto" w:fill="auto"/>
            <w:noWrap/>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Number of staff attending training</w:t>
            </w:r>
          </w:p>
        </w:tc>
        <w:tc>
          <w:tcPr>
            <w:tcW w:w="2356" w:type="dxa"/>
            <w:shd w:val="clear" w:color="auto" w:fill="auto"/>
            <w:noWrap/>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 of staff attending training</w:t>
            </w:r>
          </w:p>
        </w:tc>
        <w:tc>
          <w:tcPr>
            <w:tcW w:w="1718" w:type="dxa"/>
            <w:shd w:val="clear" w:color="auto" w:fill="auto"/>
            <w:noWrap/>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Workforce Representation</w:t>
            </w:r>
          </w:p>
        </w:tc>
      </w:tr>
      <w:tr w:rsidR="00A175C6" w:rsidRPr="00AE49C8" w:rsidTr="00773797">
        <w:trPr>
          <w:cantSplit/>
          <w:trHeight w:val="312"/>
          <w:tblHeader/>
          <w:jc w:val="center"/>
        </w:trPr>
        <w:tc>
          <w:tcPr>
            <w:tcW w:w="244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Atheism</w:t>
            </w:r>
          </w:p>
        </w:tc>
        <w:tc>
          <w:tcPr>
            <w:tcW w:w="2237"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94</w:t>
            </w:r>
          </w:p>
        </w:tc>
        <w:tc>
          <w:tcPr>
            <w:tcW w:w="2356"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28.1%</w:t>
            </w:r>
          </w:p>
        </w:tc>
        <w:tc>
          <w:tcPr>
            <w:tcW w:w="1718"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20.8%</w:t>
            </w:r>
          </w:p>
        </w:tc>
      </w:tr>
      <w:tr w:rsidR="00A175C6" w:rsidRPr="00AE49C8" w:rsidTr="00773797">
        <w:trPr>
          <w:cantSplit/>
          <w:trHeight w:val="312"/>
          <w:tblHeader/>
          <w:jc w:val="center"/>
        </w:trPr>
        <w:tc>
          <w:tcPr>
            <w:tcW w:w="244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Buddhism</w:t>
            </w:r>
          </w:p>
        </w:tc>
        <w:tc>
          <w:tcPr>
            <w:tcW w:w="2237"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2356"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718"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0.9%</w:t>
            </w:r>
          </w:p>
        </w:tc>
      </w:tr>
      <w:tr w:rsidR="00A175C6" w:rsidRPr="00AE49C8" w:rsidTr="00773797">
        <w:trPr>
          <w:cantSplit/>
          <w:trHeight w:val="312"/>
          <w:tblHeader/>
          <w:jc w:val="center"/>
        </w:trPr>
        <w:tc>
          <w:tcPr>
            <w:tcW w:w="244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Christian</w:t>
            </w:r>
          </w:p>
        </w:tc>
        <w:tc>
          <w:tcPr>
            <w:tcW w:w="2237"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166</w:t>
            </w:r>
          </w:p>
        </w:tc>
        <w:tc>
          <w:tcPr>
            <w:tcW w:w="2356"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49.7%</w:t>
            </w:r>
          </w:p>
        </w:tc>
        <w:tc>
          <w:tcPr>
            <w:tcW w:w="1718"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37.6%</w:t>
            </w:r>
          </w:p>
        </w:tc>
      </w:tr>
      <w:tr w:rsidR="00A175C6" w:rsidRPr="00AE49C8" w:rsidTr="00773797">
        <w:trPr>
          <w:cantSplit/>
          <w:trHeight w:val="312"/>
          <w:tblHeader/>
          <w:jc w:val="center"/>
        </w:trPr>
        <w:tc>
          <w:tcPr>
            <w:tcW w:w="244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Hinduism</w:t>
            </w:r>
          </w:p>
        </w:tc>
        <w:tc>
          <w:tcPr>
            <w:tcW w:w="2237"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2356"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718"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1.8%</w:t>
            </w:r>
          </w:p>
        </w:tc>
      </w:tr>
      <w:tr w:rsidR="00A175C6" w:rsidRPr="00AE49C8" w:rsidTr="00773797">
        <w:trPr>
          <w:cantSplit/>
          <w:trHeight w:val="312"/>
          <w:tblHeader/>
          <w:jc w:val="center"/>
        </w:trPr>
        <w:tc>
          <w:tcPr>
            <w:tcW w:w="244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Islam</w:t>
            </w:r>
          </w:p>
        </w:tc>
        <w:tc>
          <w:tcPr>
            <w:tcW w:w="2237"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2356"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718"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2.2%</w:t>
            </w:r>
          </w:p>
        </w:tc>
      </w:tr>
      <w:tr w:rsidR="00A175C6" w:rsidRPr="00AE49C8" w:rsidTr="00773797">
        <w:trPr>
          <w:cantSplit/>
          <w:trHeight w:val="312"/>
          <w:tblHeader/>
          <w:jc w:val="center"/>
        </w:trPr>
        <w:tc>
          <w:tcPr>
            <w:tcW w:w="244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Jainism</w:t>
            </w:r>
          </w:p>
        </w:tc>
        <w:tc>
          <w:tcPr>
            <w:tcW w:w="2237"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p>
        </w:tc>
        <w:tc>
          <w:tcPr>
            <w:tcW w:w="2356"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p>
        </w:tc>
        <w:tc>
          <w:tcPr>
            <w:tcW w:w="1718"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A175C6" w:rsidRPr="00AE49C8" w:rsidTr="00773797">
        <w:trPr>
          <w:cantSplit/>
          <w:trHeight w:val="312"/>
          <w:tblHeader/>
          <w:jc w:val="center"/>
        </w:trPr>
        <w:tc>
          <w:tcPr>
            <w:tcW w:w="244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Judaism</w:t>
            </w:r>
          </w:p>
        </w:tc>
        <w:tc>
          <w:tcPr>
            <w:tcW w:w="2237"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p>
        </w:tc>
        <w:tc>
          <w:tcPr>
            <w:tcW w:w="2356"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p>
        </w:tc>
        <w:tc>
          <w:tcPr>
            <w:tcW w:w="1718"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0.2%</w:t>
            </w:r>
          </w:p>
        </w:tc>
      </w:tr>
      <w:tr w:rsidR="00A175C6" w:rsidRPr="00AE49C8" w:rsidTr="00773797">
        <w:trPr>
          <w:cantSplit/>
          <w:trHeight w:val="312"/>
          <w:tblHeader/>
          <w:jc w:val="center"/>
        </w:trPr>
        <w:tc>
          <w:tcPr>
            <w:tcW w:w="244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2237"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29</w:t>
            </w:r>
          </w:p>
        </w:tc>
        <w:tc>
          <w:tcPr>
            <w:tcW w:w="2356"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8.7%</w:t>
            </w:r>
          </w:p>
        </w:tc>
        <w:tc>
          <w:tcPr>
            <w:tcW w:w="1718"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9.8%</w:t>
            </w:r>
          </w:p>
        </w:tc>
      </w:tr>
      <w:tr w:rsidR="00A175C6" w:rsidRPr="00AE49C8" w:rsidTr="00773797">
        <w:trPr>
          <w:cantSplit/>
          <w:trHeight w:val="312"/>
          <w:tblHeader/>
          <w:jc w:val="center"/>
        </w:trPr>
        <w:tc>
          <w:tcPr>
            <w:tcW w:w="244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Sikhism</w:t>
            </w:r>
          </w:p>
        </w:tc>
        <w:tc>
          <w:tcPr>
            <w:tcW w:w="2237"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p>
        </w:tc>
        <w:tc>
          <w:tcPr>
            <w:tcW w:w="2356"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p>
        </w:tc>
        <w:tc>
          <w:tcPr>
            <w:tcW w:w="1718"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0.1%</w:t>
            </w:r>
          </w:p>
        </w:tc>
      </w:tr>
      <w:tr w:rsidR="00A175C6" w:rsidRPr="00AE49C8" w:rsidTr="00773797">
        <w:trPr>
          <w:cantSplit/>
          <w:trHeight w:val="312"/>
          <w:tblHeader/>
          <w:jc w:val="center"/>
        </w:trPr>
        <w:tc>
          <w:tcPr>
            <w:tcW w:w="244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2237"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36</w:t>
            </w:r>
          </w:p>
        </w:tc>
        <w:tc>
          <w:tcPr>
            <w:tcW w:w="2356"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10.8%</w:t>
            </w:r>
          </w:p>
        </w:tc>
        <w:tc>
          <w:tcPr>
            <w:tcW w:w="1718"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16.9%</w:t>
            </w:r>
          </w:p>
        </w:tc>
      </w:tr>
      <w:tr w:rsidR="00A175C6" w:rsidRPr="00AE49C8" w:rsidTr="00773797">
        <w:trPr>
          <w:cantSplit/>
          <w:trHeight w:val="312"/>
          <w:tblHeader/>
          <w:jc w:val="center"/>
        </w:trPr>
        <w:tc>
          <w:tcPr>
            <w:tcW w:w="4679" w:type="dxa"/>
            <w:gridSpan w:val="2"/>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2356"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p>
        </w:tc>
        <w:tc>
          <w:tcPr>
            <w:tcW w:w="1718"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9.5%</w:t>
            </w:r>
          </w:p>
        </w:tc>
      </w:tr>
      <w:tr w:rsidR="00A175C6" w:rsidRPr="00AE49C8" w:rsidTr="00773797">
        <w:trPr>
          <w:cantSplit/>
          <w:trHeight w:val="312"/>
          <w:tblHeader/>
          <w:jc w:val="center"/>
        </w:trPr>
        <w:tc>
          <w:tcPr>
            <w:tcW w:w="244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Grand Total</w:t>
            </w:r>
          </w:p>
        </w:tc>
        <w:tc>
          <w:tcPr>
            <w:tcW w:w="2237"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334</w:t>
            </w:r>
          </w:p>
        </w:tc>
        <w:tc>
          <w:tcPr>
            <w:tcW w:w="2356"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718"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A175C6" w:rsidRPr="00AE49C8" w:rsidRDefault="00A175C6" w:rsidP="00A175C6">
      <w:pPr>
        <w:jc w:val="center"/>
        <w:rPr>
          <w:b/>
        </w:rPr>
      </w:pPr>
    </w:p>
    <w:p w:rsidR="00DD2448" w:rsidRPr="00AE49C8" w:rsidRDefault="00A175C6" w:rsidP="00DD2448">
      <w:pPr>
        <w:jc w:val="center"/>
        <w:rPr>
          <w:b/>
        </w:rPr>
      </w:pPr>
      <w:r w:rsidRPr="00AE49C8">
        <w:rPr>
          <w:noProof/>
          <w:lang w:eastAsia="en-GB"/>
        </w:rPr>
        <w:drawing>
          <wp:inline distT="0" distB="0" distL="0" distR="0" wp14:anchorId="60E39F79" wp14:editId="1769C278">
            <wp:extent cx="4572000" cy="2971800"/>
            <wp:effectExtent l="0" t="0" r="0" b="0"/>
            <wp:docPr id="282" name="Chart 282" title="Non-mandatory/CPD training brokendown by religion or belief"/>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D2448" w:rsidRPr="000D2F61" w:rsidRDefault="00DD2448" w:rsidP="00DD2448">
      <w:r w:rsidRPr="000D2F61">
        <w:t>Observations</w:t>
      </w:r>
    </w:p>
    <w:p w:rsidR="00DD2448" w:rsidRPr="00AE49C8" w:rsidRDefault="00773797" w:rsidP="00773797">
      <w:pPr>
        <w:pStyle w:val="ListParagraph"/>
      </w:pPr>
      <w:r w:rsidRPr="00AE49C8">
        <w:t>More Atheist and Christian staff are undertaking non-mandatory/CPD training compared to the overall workforce representation.</w:t>
      </w:r>
    </w:p>
    <w:p w:rsidR="00773797" w:rsidRPr="00AE49C8" w:rsidRDefault="00773797" w:rsidP="00773797">
      <w:pPr>
        <w:pStyle w:val="ListParagraph"/>
      </w:pPr>
      <w:r w:rsidRPr="00AE49C8">
        <w:t>Compared to the overall workforce representation, there is a lower than expected representation for Buddhist, Hindu, Muslim, other (religion or belief) and those that prefer not to say.</w:t>
      </w:r>
    </w:p>
    <w:p w:rsidR="00773797" w:rsidRPr="00AE49C8" w:rsidRDefault="00773797" w:rsidP="00773797">
      <w:pPr>
        <w:pStyle w:val="ListParagraph"/>
      </w:pPr>
      <w:r w:rsidRPr="00AE49C8">
        <w:t>There were no Jain or Jewish staff that undertook non-mandatory/CPD training.</w:t>
      </w:r>
    </w:p>
    <w:p w:rsidR="00DD2448" w:rsidRPr="00AE49C8" w:rsidRDefault="00DD2448" w:rsidP="00DD2448">
      <w:pPr>
        <w:rPr>
          <w:b/>
        </w:rPr>
      </w:pPr>
      <w:r w:rsidRPr="00AE49C8">
        <w:rPr>
          <w:b/>
        </w:rPr>
        <w:lastRenderedPageBreak/>
        <w:t>WSHT</w:t>
      </w:r>
    </w:p>
    <w:tbl>
      <w:tblPr>
        <w:tblW w:w="8170" w:type="dxa"/>
        <w:jc w:val="center"/>
        <w:tblLook w:val="04A0" w:firstRow="1" w:lastRow="0" w:firstColumn="1" w:lastColumn="0" w:noHBand="0" w:noVBand="1"/>
        <w:tblCaption w:val="Non-mandatory/CPD training brokendown by religion or belief"/>
      </w:tblPr>
      <w:tblGrid>
        <w:gridCol w:w="2286"/>
        <w:gridCol w:w="2043"/>
        <w:gridCol w:w="2123"/>
        <w:gridCol w:w="1964"/>
      </w:tblGrid>
      <w:tr w:rsidR="00A175C6" w:rsidRPr="00AE49C8" w:rsidTr="00773797">
        <w:trPr>
          <w:cantSplit/>
          <w:trHeight w:val="312"/>
          <w:tblHeader/>
          <w:jc w:val="center"/>
        </w:trPr>
        <w:tc>
          <w:tcPr>
            <w:tcW w:w="2286" w:type="dxa"/>
            <w:tcBorders>
              <w:top w:val="nil"/>
              <w:left w:val="nil"/>
              <w:bottom w:val="nil"/>
              <w:right w:val="nil"/>
            </w:tcBorders>
            <w:shd w:val="clear" w:color="auto" w:fill="auto"/>
            <w:noWrap/>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Religion or Belief</w:t>
            </w:r>
          </w:p>
        </w:tc>
        <w:tc>
          <w:tcPr>
            <w:tcW w:w="2043" w:type="dxa"/>
            <w:tcBorders>
              <w:top w:val="nil"/>
              <w:left w:val="nil"/>
              <w:bottom w:val="nil"/>
              <w:right w:val="nil"/>
            </w:tcBorders>
            <w:shd w:val="clear" w:color="auto" w:fill="auto"/>
            <w:noWrap/>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Number  of staff attending training</w:t>
            </w:r>
          </w:p>
        </w:tc>
        <w:tc>
          <w:tcPr>
            <w:tcW w:w="2123" w:type="dxa"/>
            <w:tcBorders>
              <w:top w:val="nil"/>
              <w:left w:val="nil"/>
              <w:bottom w:val="nil"/>
              <w:right w:val="nil"/>
            </w:tcBorders>
            <w:shd w:val="clear" w:color="auto" w:fill="auto"/>
            <w:noWrap/>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 of staff attending training</w:t>
            </w:r>
          </w:p>
        </w:tc>
        <w:tc>
          <w:tcPr>
            <w:tcW w:w="1718" w:type="dxa"/>
            <w:tcBorders>
              <w:top w:val="nil"/>
              <w:left w:val="nil"/>
              <w:bottom w:val="nil"/>
              <w:right w:val="nil"/>
            </w:tcBorders>
            <w:shd w:val="clear" w:color="auto" w:fill="auto"/>
            <w:noWrap/>
            <w:hideMark/>
          </w:tcPr>
          <w:p w:rsidR="00A175C6" w:rsidRPr="00AE49C8" w:rsidRDefault="00A175C6" w:rsidP="00A175C6">
            <w:pPr>
              <w:spacing w:after="0" w:line="240" w:lineRule="auto"/>
              <w:rPr>
                <w:rFonts w:eastAsia="Times New Roman"/>
                <w:b/>
                <w:color w:val="000000"/>
                <w:szCs w:val="24"/>
                <w:lang w:eastAsia="en-GB"/>
              </w:rPr>
            </w:pPr>
            <w:r w:rsidRPr="00AE49C8">
              <w:rPr>
                <w:rFonts w:eastAsia="Times New Roman"/>
                <w:b/>
                <w:color w:val="000000"/>
                <w:szCs w:val="24"/>
                <w:lang w:eastAsia="en-GB"/>
              </w:rPr>
              <w:t>Workforce Representation</w:t>
            </w:r>
          </w:p>
        </w:tc>
      </w:tr>
      <w:tr w:rsidR="00A175C6" w:rsidRPr="00AE49C8" w:rsidTr="00773797">
        <w:trPr>
          <w:cantSplit/>
          <w:trHeight w:val="312"/>
          <w:tblHeader/>
          <w:jc w:val="center"/>
        </w:trPr>
        <w:tc>
          <w:tcPr>
            <w:tcW w:w="2286"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Atheism</w:t>
            </w:r>
          </w:p>
        </w:tc>
        <w:tc>
          <w:tcPr>
            <w:tcW w:w="204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474</w:t>
            </w:r>
          </w:p>
        </w:tc>
        <w:tc>
          <w:tcPr>
            <w:tcW w:w="212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17.3%</w:t>
            </w:r>
          </w:p>
        </w:tc>
        <w:tc>
          <w:tcPr>
            <w:tcW w:w="1718"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15.4%</w:t>
            </w:r>
          </w:p>
        </w:tc>
      </w:tr>
      <w:tr w:rsidR="00A175C6" w:rsidRPr="00AE49C8" w:rsidTr="00773797">
        <w:trPr>
          <w:cantSplit/>
          <w:trHeight w:val="312"/>
          <w:tblHeader/>
          <w:jc w:val="center"/>
        </w:trPr>
        <w:tc>
          <w:tcPr>
            <w:tcW w:w="2286"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Buddhism</w:t>
            </w:r>
          </w:p>
        </w:tc>
        <w:tc>
          <w:tcPr>
            <w:tcW w:w="204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20</w:t>
            </w:r>
          </w:p>
        </w:tc>
        <w:tc>
          <w:tcPr>
            <w:tcW w:w="212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0.7%</w:t>
            </w:r>
          </w:p>
        </w:tc>
        <w:tc>
          <w:tcPr>
            <w:tcW w:w="1718"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0.7%</w:t>
            </w:r>
          </w:p>
        </w:tc>
      </w:tr>
      <w:tr w:rsidR="00A175C6" w:rsidRPr="00AE49C8" w:rsidTr="00773797">
        <w:trPr>
          <w:cantSplit/>
          <w:trHeight w:val="312"/>
          <w:tblHeader/>
          <w:jc w:val="center"/>
        </w:trPr>
        <w:tc>
          <w:tcPr>
            <w:tcW w:w="2286"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Christian</w:t>
            </w:r>
          </w:p>
        </w:tc>
        <w:tc>
          <w:tcPr>
            <w:tcW w:w="204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1290</w:t>
            </w:r>
          </w:p>
        </w:tc>
        <w:tc>
          <w:tcPr>
            <w:tcW w:w="212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47.1%</w:t>
            </w:r>
          </w:p>
        </w:tc>
        <w:tc>
          <w:tcPr>
            <w:tcW w:w="1718"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47.8%</w:t>
            </w:r>
          </w:p>
        </w:tc>
      </w:tr>
      <w:tr w:rsidR="00A175C6" w:rsidRPr="00AE49C8" w:rsidTr="00773797">
        <w:trPr>
          <w:cantSplit/>
          <w:trHeight w:val="312"/>
          <w:tblHeader/>
          <w:jc w:val="center"/>
        </w:trPr>
        <w:tc>
          <w:tcPr>
            <w:tcW w:w="2286"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Hinduism</w:t>
            </w:r>
          </w:p>
        </w:tc>
        <w:tc>
          <w:tcPr>
            <w:tcW w:w="204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53</w:t>
            </w:r>
          </w:p>
        </w:tc>
        <w:tc>
          <w:tcPr>
            <w:tcW w:w="212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1.9%</w:t>
            </w:r>
          </w:p>
        </w:tc>
        <w:tc>
          <w:tcPr>
            <w:tcW w:w="1718"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1.7%</w:t>
            </w:r>
          </w:p>
        </w:tc>
      </w:tr>
      <w:tr w:rsidR="00A175C6" w:rsidRPr="00AE49C8" w:rsidTr="00773797">
        <w:trPr>
          <w:cantSplit/>
          <w:trHeight w:val="312"/>
          <w:tblHeader/>
          <w:jc w:val="center"/>
        </w:trPr>
        <w:tc>
          <w:tcPr>
            <w:tcW w:w="2286"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Islam</w:t>
            </w:r>
          </w:p>
        </w:tc>
        <w:tc>
          <w:tcPr>
            <w:tcW w:w="204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33</w:t>
            </w:r>
          </w:p>
        </w:tc>
        <w:tc>
          <w:tcPr>
            <w:tcW w:w="212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1.2%</w:t>
            </w:r>
          </w:p>
        </w:tc>
        <w:tc>
          <w:tcPr>
            <w:tcW w:w="1718"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1.6%</w:t>
            </w:r>
          </w:p>
        </w:tc>
      </w:tr>
      <w:tr w:rsidR="00A175C6" w:rsidRPr="00AE49C8" w:rsidTr="00773797">
        <w:trPr>
          <w:cantSplit/>
          <w:trHeight w:val="312"/>
          <w:tblHeader/>
          <w:jc w:val="center"/>
        </w:trPr>
        <w:tc>
          <w:tcPr>
            <w:tcW w:w="2286"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Jainism</w:t>
            </w:r>
          </w:p>
        </w:tc>
        <w:tc>
          <w:tcPr>
            <w:tcW w:w="204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212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718"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A175C6" w:rsidRPr="00AE49C8" w:rsidTr="00773797">
        <w:trPr>
          <w:cantSplit/>
          <w:trHeight w:val="312"/>
          <w:tblHeader/>
          <w:jc w:val="center"/>
        </w:trPr>
        <w:tc>
          <w:tcPr>
            <w:tcW w:w="2286"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Judaism</w:t>
            </w:r>
          </w:p>
        </w:tc>
        <w:tc>
          <w:tcPr>
            <w:tcW w:w="204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212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0.2%</w:t>
            </w:r>
          </w:p>
        </w:tc>
        <w:tc>
          <w:tcPr>
            <w:tcW w:w="1718"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0.2%</w:t>
            </w:r>
          </w:p>
        </w:tc>
      </w:tr>
      <w:tr w:rsidR="00A175C6" w:rsidRPr="00AE49C8" w:rsidTr="00773797">
        <w:trPr>
          <w:cantSplit/>
          <w:trHeight w:val="312"/>
          <w:tblHeader/>
          <w:jc w:val="center"/>
        </w:trPr>
        <w:tc>
          <w:tcPr>
            <w:tcW w:w="2286"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204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429</w:t>
            </w:r>
          </w:p>
        </w:tc>
        <w:tc>
          <w:tcPr>
            <w:tcW w:w="212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15.7%</w:t>
            </w:r>
          </w:p>
        </w:tc>
        <w:tc>
          <w:tcPr>
            <w:tcW w:w="1718"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13.8%</w:t>
            </w:r>
          </w:p>
        </w:tc>
      </w:tr>
      <w:tr w:rsidR="00A175C6" w:rsidRPr="00AE49C8" w:rsidTr="00773797">
        <w:trPr>
          <w:cantSplit/>
          <w:trHeight w:val="312"/>
          <w:tblHeader/>
          <w:jc w:val="center"/>
        </w:trPr>
        <w:tc>
          <w:tcPr>
            <w:tcW w:w="2286"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Sikhism</w:t>
            </w:r>
          </w:p>
        </w:tc>
        <w:tc>
          <w:tcPr>
            <w:tcW w:w="204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212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1718"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0.2%</w:t>
            </w:r>
          </w:p>
        </w:tc>
      </w:tr>
      <w:tr w:rsidR="00A175C6" w:rsidRPr="00AE49C8" w:rsidTr="00773797">
        <w:trPr>
          <w:cantSplit/>
          <w:trHeight w:val="312"/>
          <w:tblHeader/>
          <w:jc w:val="center"/>
        </w:trPr>
        <w:tc>
          <w:tcPr>
            <w:tcW w:w="2286"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204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419</w:t>
            </w:r>
          </w:p>
        </w:tc>
        <w:tc>
          <w:tcPr>
            <w:tcW w:w="212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15.3%</w:t>
            </w:r>
          </w:p>
        </w:tc>
        <w:tc>
          <w:tcPr>
            <w:tcW w:w="1718"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18.0%</w:t>
            </w:r>
          </w:p>
        </w:tc>
      </w:tr>
      <w:tr w:rsidR="00A175C6" w:rsidRPr="00AE49C8" w:rsidTr="00773797">
        <w:trPr>
          <w:cantSplit/>
          <w:trHeight w:val="312"/>
          <w:tblHeader/>
          <w:jc w:val="center"/>
        </w:trPr>
        <w:tc>
          <w:tcPr>
            <w:tcW w:w="2286"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204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13</w:t>
            </w:r>
          </w:p>
        </w:tc>
        <w:tc>
          <w:tcPr>
            <w:tcW w:w="212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0.5%</w:t>
            </w:r>
          </w:p>
        </w:tc>
        <w:tc>
          <w:tcPr>
            <w:tcW w:w="1718"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0.6%</w:t>
            </w:r>
          </w:p>
        </w:tc>
      </w:tr>
      <w:tr w:rsidR="00A175C6" w:rsidRPr="00AE49C8" w:rsidTr="00773797">
        <w:trPr>
          <w:cantSplit/>
          <w:trHeight w:val="312"/>
          <w:tblHeader/>
          <w:jc w:val="center"/>
        </w:trPr>
        <w:tc>
          <w:tcPr>
            <w:tcW w:w="2286"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Grand Total</w:t>
            </w:r>
          </w:p>
        </w:tc>
        <w:tc>
          <w:tcPr>
            <w:tcW w:w="204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2741</w:t>
            </w:r>
          </w:p>
        </w:tc>
        <w:tc>
          <w:tcPr>
            <w:tcW w:w="2123"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718" w:type="dxa"/>
            <w:tcBorders>
              <w:top w:val="nil"/>
              <w:left w:val="nil"/>
              <w:bottom w:val="nil"/>
              <w:right w:val="nil"/>
            </w:tcBorders>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DD2448" w:rsidRPr="00AE49C8" w:rsidRDefault="00DD2448" w:rsidP="00DD2448">
      <w:pPr>
        <w:jc w:val="center"/>
        <w:rPr>
          <w:b/>
        </w:rPr>
      </w:pPr>
    </w:p>
    <w:p w:rsidR="00DD2448" w:rsidRPr="00AE49C8" w:rsidRDefault="00A175C6" w:rsidP="00DD2448">
      <w:pPr>
        <w:jc w:val="center"/>
        <w:rPr>
          <w:b/>
        </w:rPr>
      </w:pPr>
      <w:r w:rsidRPr="00AE49C8">
        <w:rPr>
          <w:noProof/>
          <w:lang w:eastAsia="en-GB"/>
        </w:rPr>
        <w:drawing>
          <wp:inline distT="0" distB="0" distL="0" distR="0" wp14:anchorId="4F564372" wp14:editId="3B663BB0">
            <wp:extent cx="4572000" cy="2971800"/>
            <wp:effectExtent l="0" t="0" r="0" b="0"/>
            <wp:docPr id="283" name="Chart 283" title="Non-mandatory/CPD training brokendown by religion or belief"/>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D2448" w:rsidRPr="00AE49C8" w:rsidRDefault="00DD2448" w:rsidP="00DD2448">
      <w:pPr>
        <w:jc w:val="center"/>
        <w:rPr>
          <w:b/>
        </w:rPr>
      </w:pPr>
    </w:p>
    <w:p w:rsidR="00DD2448" w:rsidRPr="000D2F61" w:rsidRDefault="00DD2448" w:rsidP="00DD2448">
      <w:r w:rsidRPr="000D2F61">
        <w:t>Observations</w:t>
      </w:r>
    </w:p>
    <w:p w:rsidR="00DD2448" w:rsidRPr="00AE49C8" w:rsidRDefault="00773797" w:rsidP="00773797">
      <w:r w:rsidRPr="00AE49C8">
        <w:t>Compared to the overall workforce representation:</w:t>
      </w:r>
    </w:p>
    <w:p w:rsidR="00773797" w:rsidRPr="00AE49C8" w:rsidRDefault="00773797" w:rsidP="00773797">
      <w:pPr>
        <w:pStyle w:val="ListParagraph"/>
      </w:pPr>
      <w:r w:rsidRPr="00AE49C8">
        <w:t xml:space="preserve">A higher proportion of staff that are </w:t>
      </w:r>
      <w:r w:rsidR="008E6F14" w:rsidRPr="00AE49C8">
        <w:t>Atheist</w:t>
      </w:r>
      <w:r w:rsidRPr="00AE49C8">
        <w:t>, Hindu, and other (religion or belief).</w:t>
      </w:r>
    </w:p>
    <w:p w:rsidR="00773797" w:rsidRPr="00AE49C8" w:rsidRDefault="00773797" w:rsidP="00773797">
      <w:pPr>
        <w:pStyle w:val="ListParagraph"/>
      </w:pPr>
      <w:r w:rsidRPr="00AE49C8">
        <w:t xml:space="preserve">Broadly similar representation in staff that are Buddhist, Christian, Jain and Jewish. </w:t>
      </w:r>
    </w:p>
    <w:p w:rsidR="00773797" w:rsidRPr="00AE49C8" w:rsidRDefault="00DA0B31" w:rsidP="00773797">
      <w:pPr>
        <w:pStyle w:val="ListParagraph"/>
      </w:pPr>
      <w:r w:rsidRPr="00AE49C8">
        <w:t>In a</w:t>
      </w:r>
      <w:r w:rsidR="00773797" w:rsidRPr="00AE49C8">
        <w:t>ll other groups, there is a lower proportion of representation.</w:t>
      </w:r>
    </w:p>
    <w:p w:rsidR="00DD2448" w:rsidRPr="00AE49C8" w:rsidRDefault="00DD2448" w:rsidP="00DD2448">
      <w:pPr>
        <w:rPr>
          <w:b/>
        </w:rPr>
      </w:pPr>
    </w:p>
    <w:p w:rsidR="00DD2448" w:rsidRPr="00AE49C8" w:rsidRDefault="00DD2448" w:rsidP="00257BF1">
      <w:pPr>
        <w:pStyle w:val="Heading3"/>
      </w:pPr>
      <w:bookmarkStart w:id="71" w:name="_Toc88634018"/>
      <w:r w:rsidRPr="00AE49C8">
        <w:t xml:space="preserve">Employee relations processes broken down by </w:t>
      </w:r>
      <w:r w:rsidR="00A175C6" w:rsidRPr="00AE49C8">
        <w:t>religion or belief</w:t>
      </w:r>
      <w:bookmarkEnd w:id="71"/>
    </w:p>
    <w:p w:rsidR="00DD2448" w:rsidRPr="00AE49C8" w:rsidRDefault="00DD2448" w:rsidP="00DD2448">
      <w:pPr>
        <w:rPr>
          <w:b/>
        </w:rPr>
      </w:pPr>
      <w:r w:rsidRPr="00AE49C8">
        <w:rPr>
          <w:b/>
        </w:rPr>
        <w:t>BSUH</w:t>
      </w:r>
    </w:p>
    <w:tbl>
      <w:tblPr>
        <w:tblW w:w="9764" w:type="dxa"/>
        <w:jc w:val="center"/>
        <w:tblBorders>
          <w:insideH w:val="dotted" w:sz="4" w:space="0" w:color="auto"/>
        </w:tblBorders>
        <w:tblLook w:val="04A0" w:firstRow="1" w:lastRow="0" w:firstColumn="1" w:lastColumn="0" w:noHBand="0" w:noVBand="1"/>
        <w:tblCaption w:val="Breakdown of capability process by religion or belief"/>
      </w:tblPr>
      <w:tblGrid>
        <w:gridCol w:w="2047"/>
        <w:gridCol w:w="1622"/>
        <w:gridCol w:w="1559"/>
        <w:gridCol w:w="1363"/>
        <w:gridCol w:w="1363"/>
        <w:gridCol w:w="2112"/>
      </w:tblGrid>
      <w:tr w:rsidR="00A175C6" w:rsidRPr="00AE49C8" w:rsidTr="00F47C67">
        <w:trPr>
          <w:cantSplit/>
          <w:trHeight w:val="312"/>
          <w:tblHeader/>
          <w:jc w:val="center"/>
        </w:trPr>
        <w:tc>
          <w:tcPr>
            <w:tcW w:w="2047" w:type="dxa"/>
            <w:shd w:val="clear" w:color="auto" w:fill="auto"/>
            <w:noWrap/>
            <w:hideMark/>
          </w:tcPr>
          <w:p w:rsidR="00A175C6" w:rsidRPr="00AE49C8" w:rsidRDefault="00A175C6"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Religion or Belief</w:t>
            </w:r>
          </w:p>
        </w:tc>
        <w:tc>
          <w:tcPr>
            <w:tcW w:w="1622" w:type="dxa"/>
            <w:shd w:val="clear" w:color="auto" w:fill="auto"/>
            <w:noWrap/>
            <w:hideMark/>
          </w:tcPr>
          <w:p w:rsidR="00A175C6" w:rsidRPr="00AE49C8" w:rsidRDefault="00A175C6"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(Non-UHR)</w:t>
            </w:r>
          </w:p>
        </w:tc>
        <w:tc>
          <w:tcPr>
            <w:tcW w:w="1559" w:type="dxa"/>
            <w:shd w:val="clear" w:color="auto" w:fill="auto"/>
            <w:noWrap/>
            <w:hideMark/>
          </w:tcPr>
          <w:p w:rsidR="00A175C6" w:rsidRPr="00AE49C8" w:rsidRDefault="00A175C6"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(Non-UHR) %</w:t>
            </w:r>
          </w:p>
        </w:tc>
        <w:tc>
          <w:tcPr>
            <w:tcW w:w="1212" w:type="dxa"/>
            <w:shd w:val="clear" w:color="auto" w:fill="auto"/>
            <w:noWrap/>
            <w:hideMark/>
          </w:tcPr>
          <w:p w:rsidR="00A175C6" w:rsidRPr="00AE49C8" w:rsidRDefault="00A175C6"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(UHR)</w:t>
            </w:r>
          </w:p>
        </w:tc>
        <w:tc>
          <w:tcPr>
            <w:tcW w:w="1212" w:type="dxa"/>
            <w:shd w:val="clear" w:color="auto" w:fill="auto"/>
            <w:noWrap/>
            <w:hideMark/>
          </w:tcPr>
          <w:p w:rsidR="00A175C6" w:rsidRPr="00AE49C8" w:rsidRDefault="00A175C6"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(UHR) %</w:t>
            </w:r>
          </w:p>
        </w:tc>
        <w:tc>
          <w:tcPr>
            <w:tcW w:w="2112" w:type="dxa"/>
            <w:shd w:val="clear" w:color="auto" w:fill="auto"/>
            <w:noWrap/>
            <w:hideMark/>
          </w:tcPr>
          <w:p w:rsidR="00A175C6" w:rsidRPr="00AE49C8" w:rsidRDefault="00A175C6"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Representation %</w:t>
            </w:r>
          </w:p>
        </w:tc>
      </w:tr>
      <w:tr w:rsidR="00A175C6" w:rsidRPr="00AE49C8" w:rsidTr="00F47C67">
        <w:trPr>
          <w:cantSplit/>
          <w:trHeight w:val="312"/>
          <w:tblHeader/>
          <w:jc w:val="center"/>
        </w:trPr>
        <w:tc>
          <w:tcPr>
            <w:tcW w:w="2047"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Atheism</w:t>
            </w:r>
          </w:p>
        </w:tc>
        <w:tc>
          <w:tcPr>
            <w:tcW w:w="162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155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21%</w:t>
            </w:r>
          </w:p>
        </w:tc>
        <w:tc>
          <w:tcPr>
            <w:tcW w:w="121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21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211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20.8%</w:t>
            </w:r>
          </w:p>
        </w:tc>
      </w:tr>
      <w:tr w:rsidR="00A175C6" w:rsidRPr="00AE49C8" w:rsidTr="00F47C67">
        <w:trPr>
          <w:cantSplit/>
          <w:trHeight w:val="312"/>
          <w:tblHeader/>
          <w:jc w:val="center"/>
        </w:trPr>
        <w:tc>
          <w:tcPr>
            <w:tcW w:w="2047"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Christianity</w:t>
            </w:r>
          </w:p>
        </w:tc>
        <w:tc>
          <w:tcPr>
            <w:tcW w:w="162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55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63%</w:t>
            </w:r>
          </w:p>
        </w:tc>
        <w:tc>
          <w:tcPr>
            <w:tcW w:w="121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121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211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37.6%</w:t>
            </w:r>
          </w:p>
        </w:tc>
      </w:tr>
      <w:tr w:rsidR="00A175C6" w:rsidRPr="00AE49C8" w:rsidTr="00F47C67">
        <w:trPr>
          <w:cantSplit/>
          <w:trHeight w:val="312"/>
          <w:tblHeader/>
          <w:jc w:val="center"/>
        </w:trPr>
        <w:tc>
          <w:tcPr>
            <w:tcW w:w="2047"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162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155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17%</w:t>
            </w:r>
          </w:p>
        </w:tc>
        <w:tc>
          <w:tcPr>
            <w:tcW w:w="121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21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211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9.8%</w:t>
            </w:r>
          </w:p>
        </w:tc>
      </w:tr>
      <w:tr w:rsidR="00A175C6" w:rsidRPr="00AE49C8" w:rsidTr="00F47C67">
        <w:trPr>
          <w:cantSplit/>
          <w:trHeight w:val="312"/>
          <w:tblHeader/>
          <w:jc w:val="center"/>
        </w:trPr>
        <w:tc>
          <w:tcPr>
            <w:tcW w:w="2047"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62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8</w:t>
            </w:r>
          </w:p>
        </w:tc>
        <w:tc>
          <w:tcPr>
            <w:tcW w:w="1559"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33%</w:t>
            </w:r>
          </w:p>
        </w:tc>
        <w:tc>
          <w:tcPr>
            <w:tcW w:w="121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21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60%</w:t>
            </w:r>
          </w:p>
        </w:tc>
        <w:tc>
          <w:tcPr>
            <w:tcW w:w="211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r w:rsidRPr="00AE49C8">
              <w:rPr>
                <w:rFonts w:eastAsia="Times New Roman"/>
                <w:color w:val="000000"/>
                <w:szCs w:val="24"/>
                <w:lang w:eastAsia="en-GB"/>
              </w:rPr>
              <w:t>16.9%</w:t>
            </w:r>
          </w:p>
        </w:tc>
      </w:tr>
      <w:tr w:rsidR="00A175C6" w:rsidRPr="00AE49C8" w:rsidTr="00F47C67">
        <w:trPr>
          <w:cantSplit/>
          <w:trHeight w:val="312"/>
          <w:tblHeader/>
          <w:jc w:val="center"/>
        </w:trPr>
        <w:tc>
          <w:tcPr>
            <w:tcW w:w="2047" w:type="dxa"/>
            <w:shd w:val="clear" w:color="auto" w:fill="auto"/>
            <w:noWrap/>
            <w:vAlign w:val="bottom"/>
            <w:hideMark/>
          </w:tcPr>
          <w:p w:rsidR="00A175C6" w:rsidRPr="00AE49C8" w:rsidRDefault="00A175C6" w:rsidP="00A175C6">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622" w:type="dxa"/>
            <w:shd w:val="clear" w:color="auto" w:fill="auto"/>
            <w:noWrap/>
            <w:vAlign w:val="bottom"/>
            <w:hideMark/>
          </w:tcPr>
          <w:p w:rsidR="00A175C6" w:rsidRPr="00AE49C8" w:rsidRDefault="00A175C6" w:rsidP="00A175C6">
            <w:pPr>
              <w:spacing w:after="0" w:line="240" w:lineRule="auto"/>
              <w:rPr>
                <w:rFonts w:eastAsia="Times New Roman"/>
                <w:b/>
                <w:bCs/>
                <w:color w:val="000000"/>
                <w:szCs w:val="24"/>
                <w:lang w:eastAsia="en-GB"/>
              </w:rPr>
            </w:pPr>
            <w:r w:rsidRPr="00AE49C8">
              <w:rPr>
                <w:rFonts w:eastAsia="Times New Roman"/>
                <w:b/>
                <w:bCs/>
                <w:color w:val="000000"/>
                <w:szCs w:val="24"/>
                <w:lang w:eastAsia="en-GB"/>
              </w:rPr>
              <w:t>24</w:t>
            </w:r>
          </w:p>
        </w:tc>
        <w:tc>
          <w:tcPr>
            <w:tcW w:w="1559" w:type="dxa"/>
            <w:shd w:val="clear" w:color="auto" w:fill="auto"/>
            <w:noWrap/>
            <w:vAlign w:val="bottom"/>
            <w:hideMark/>
          </w:tcPr>
          <w:p w:rsidR="00A175C6" w:rsidRPr="00AE49C8" w:rsidRDefault="00A175C6" w:rsidP="00A175C6">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1212" w:type="dxa"/>
            <w:shd w:val="clear" w:color="auto" w:fill="auto"/>
            <w:noWrap/>
            <w:vAlign w:val="bottom"/>
            <w:hideMark/>
          </w:tcPr>
          <w:p w:rsidR="00A175C6" w:rsidRPr="00AE49C8" w:rsidRDefault="00A175C6" w:rsidP="00A175C6">
            <w:pPr>
              <w:spacing w:after="0" w:line="240" w:lineRule="auto"/>
              <w:rPr>
                <w:rFonts w:eastAsia="Times New Roman"/>
                <w:b/>
                <w:bCs/>
                <w:color w:val="000000"/>
                <w:szCs w:val="24"/>
                <w:lang w:eastAsia="en-GB"/>
              </w:rPr>
            </w:pPr>
            <w:r w:rsidRPr="00AE49C8">
              <w:rPr>
                <w:rFonts w:eastAsia="Times New Roman"/>
                <w:b/>
                <w:bCs/>
                <w:color w:val="000000"/>
                <w:szCs w:val="24"/>
                <w:lang w:eastAsia="en-GB"/>
              </w:rPr>
              <w:t>5</w:t>
            </w:r>
          </w:p>
        </w:tc>
        <w:tc>
          <w:tcPr>
            <w:tcW w:w="1212" w:type="dxa"/>
            <w:shd w:val="clear" w:color="auto" w:fill="auto"/>
            <w:noWrap/>
            <w:vAlign w:val="bottom"/>
            <w:hideMark/>
          </w:tcPr>
          <w:p w:rsidR="00A175C6" w:rsidRPr="00AE49C8" w:rsidRDefault="00A175C6" w:rsidP="00A175C6">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2112" w:type="dxa"/>
            <w:shd w:val="clear" w:color="auto" w:fill="auto"/>
            <w:noWrap/>
            <w:vAlign w:val="bottom"/>
            <w:hideMark/>
          </w:tcPr>
          <w:p w:rsidR="00A175C6" w:rsidRPr="00AE49C8" w:rsidRDefault="00A175C6" w:rsidP="00A175C6">
            <w:pPr>
              <w:spacing w:after="0" w:line="240" w:lineRule="auto"/>
              <w:rPr>
                <w:rFonts w:eastAsia="Times New Roman"/>
                <w:color w:val="000000"/>
                <w:szCs w:val="24"/>
                <w:lang w:eastAsia="en-GB"/>
              </w:rPr>
            </w:pPr>
          </w:p>
        </w:tc>
      </w:tr>
    </w:tbl>
    <w:p w:rsidR="00DD2448" w:rsidRPr="00AE49C8" w:rsidRDefault="00DD2448" w:rsidP="00DD2448">
      <w:pPr>
        <w:rPr>
          <w:b/>
        </w:rPr>
      </w:pPr>
    </w:p>
    <w:p w:rsidR="00DD2448" w:rsidRPr="00AE49C8" w:rsidRDefault="002E7A65" w:rsidP="00DD2448">
      <w:pPr>
        <w:jc w:val="center"/>
        <w:rPr>
          <w:b/>
        </w:rPr>
      </w:pPr>
      <w:r w:rsidRPr="00AE49C8">
        <w:rPr>
          <w:noProof/>
          <w:lang w:eastAsia="en-GB"/>
        </w:rPr>
        <w:drawing>
          <wp:inline distT="0" distB="0" distL="0" distR="0" wp14:anchorId="5C0CAF85" wp14:editId="6DB66053">
            <wp:extent cx="5444837" cy="2109355"/>
            <wp:effectExtent l="0" t="0" r="3810" b="5715"/>
            <wp:docPr id="284" name="Chart 284" title="Breakdown of capability process by religion or belief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bl>
      <w:tblPr>
        <w:tblW w:w="11689" w:type="dxa"/>
        <w:jc w:val="center"/>
        <w:tblBorders>
          <w:insideH w:val="dotted" w:sz="4" w:space="0" w:color="auto"/>
        </w:tblBorders>
        <w:tblLook w:val="04A0" w:firstRow="1" w:lastRow="0" w:firstColumn="1" w:lastColumn="0" w:noHBand="0" w:noVBand="1"/>
        <w:tblCaption w:val="Breakdown of harassment, grievance and disciplinary process by religion or belief"/>
      </w:tblPr>
      <w:tblGrid>
        <w:gridCol w:w="1429"/>
        <w:gridCol w:w="1476"/>
        <w:gridCol w:w="1476"/>
        <w:gridCol w:w="1281"/>
        <w:gridCol w:w="1281"/>
        <w:gridCol w:w="1464"/>
        <w:gridCol w:w="1464"/>
        <w:gridCol w:w="1818"/>
      </w:tblGrid>
      <w:tr w:rsidR="002E7A65" w:rsidRPr="00AE49C8" w:rsidTr="00775191">
        <w:trPr>
          <w:cantSplit/>
          <w:trHeight w:val="312"/>
          <w:tblHeader/>
          <w:jc w:val="center"/>
        </w:trPr>
        <w:tc>
          <w:tcPr>
            <w:tcW w:w="1429" w:type="dxa"/>
            <w:shd w:val="clear" w:color="auto" w:fill="auto"/>
            <w:noWrap/>
            <w:vAlign w:val="bottom"/>
            <w:hideMark/>
          </w:tcPr>
          <w:p w:rsidR="002E7A65" w:rsidRPr="000C64DA" w:rsidRDefault="002E7A65" w:rsidP="002E7A6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Religion or Belief</w:t>
            </w:r>
          </w:p>
        </w:tc>
        <w:tc>
          <w:tcPr>
            <w:tcW w:w="1476" w:type="dxa"/>
            <w:shd w:val="clear" w:color="auto" w:fill="auto"/>
            <w:noWrap/>
            <w:vAlign w:val="bottom"/>
            <w:hideMark/>
          </w:tcPr>
          <w:p w:rsidR="002E7A65" w:rsidRPr="000C64DA" w:rsidRDefault="002E7A65" w:rsidP="002E7A6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Harassment Cases</w:t>
            </w:r>
          </w:p>
        </w:tc>
        <w:tc>
          <w:tcPr>
            <w:tcW w:w="1476" w:type="dxa"/>
            <w:shd w:val="clear" w:color="auto" w:fill="auto"/>
            <w:noWrap/>
            <w:vAlign w:val="bottom"/>
            <w:hideMark/>
          </w:tcPr>
          <w:p w:rsidR="002E7A65" w:rsidRPr="000C64DA" w:rsidRDefault="002E7A65" w:rsidP="002E7A6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Harassment Cases %</w:t>
            </w:r>
          </w:p>
        </w:tc>
        <w:tc>
          <w:tcPr>
            <w:tcW w:w="1281" w:type="dxa"/>
            <w:shd w:val="clear" w:color="auto" w:fill="auto"/>
            <w:noWrap/>
            <w:vAlign w:val="bottom"/>
            <w:hideMark/>
          </w:tcPr>
          <w:p w:rsidR="002E7A65" w:rsidRPr="000C64DA" w:rsidRDefault="002E7A65" w:rsidP="002E7A6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Grievance Cases</w:t>
            </w:r>
          </w:p>
        </w:tc>
        <w:tc>
          <w:tcPr>
            <w:tcW w:w="1281" w:type="dxa"/>
            <w:shd w:val="clear" w:color="auto" w:fill="auto"/>
            <w:noWrap/>
            <w:vAlign w:val="bottom"/>
            <w:hideMark/>
          </w:tcPr>
          <w:p w:rsidR="002E7A65" w:rsidRPr="000C64DA" w:rsidRDefault="002E7A65" w:rsidP="002E7A6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Grievance Cases %</w:t>
            </w:r>
          </w:p>
        </w:tc>
        <w:tc>
          <w:tcPr>
            <w:tcW w:w="1464" w:type="dxa"/>
            <w:shd w:val="clear" w:color="auto" w:fill="auto"/>
            <w:noWrap/>
            <w:vAlign w:val="bottom"/>
            <w:hideMark/>
          </w:tcPr>
          <w:p w:rsidR="002E7A65" w:rsidRPr="000C64DA" w:rsidRDefault="002E7A65" w:rsidP="002E7A6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Disciplinary Cases</w:t>
            </w:r>
          </w:p>
        </w:tc>
        <w:tc>
          <w:tcPr>
            <w:tcW w:w="1464" w:type="dxa"/>
            <w:shd w:val="clear" w:color="auto" w:fill="auto"/>
            <w:noWrap/>
            <w:vAlign w:val="bottom"/>
            <w:hideMark/>
          </w:tcPr>
          <w:p w:rsidR="002E7A65" w:rsidRPr="000C64DA" w:rsidRDefault="002E7A65" w:rsidP="002E7A6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Disciplinary Cases %</w:t>
            </w:r>
          </w:p>
        </w:tc>
        <w:tc>
          <w:tcPr>
            <w:tcW w:w="1818" w:type="dxa"/>
            <w:shd w:val="clear" w:color="auto" w:fill="auto"/>
            <w:noWrap/>
            <w:vAlign w:val="bottom"/>
            <w:hideMark/>
          </w:tcPr>
          <w:p w:rsidR="002E7A65" w:rsidRPr="000C64DA" w:rsidRDefault="002E7A65" w:rsidP="002E7A65">
            <w:pPr>
              <w:spacing w:after="0" w:line="240" w:lineRule="auto"/>
              <w:rPr>
                <w:rFonts w:eastAsia="Times New Roman"/>
                <w:b/>
                <w:bCs/>
                <w:color w:val="000000"/>
                <w:sz w:val="22"/>
                <w:szCs w:val="24"/>
                <w:lang w:eastAsia="en-GB"/>
              </w:rPr>
            </w:pPr>
            <w:r w:rsidRPr="000C64DA">
              <w:rPr>
                <w:rFonts w:eastAsia="Times New Roman"/>
                <w:b/>
                <w:bCs/>
                <w:color w:val="000000"/>
                <w:sz w:val="22"/>
                <w:szCs w:val="24"/>
                <w:lang w:eastAsia="en-GB"/>
              </w:rPr>
              <w:t>Workforce Representation %</w:t>
            </w:r>
          </w:p>
        </w:tc>
      </w:tr>
      <w:tr w:rsidR="002E7A65" w:rsidRPr="00AE49C8" w:rsidTr="00775191">
        <w:trPr>
          <w:cantSplit/>
          <w:trHeight w:val="312"/>
          <w:tblHeader/>
          <w:jc w:val="center"/>
        </w:trPr>
        <w:tc>
          <w:tcPr>
            <w:tcW w:w="1429"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Atheism</w:t>
            </w:r>
          </w:p>
        </w:tc>
        <w:tc>
          <w:tcPr>
            <w:tcW w:w="1476"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w:t>
            </w:r>
          </w:p>
        </w:tc>
        <w:tc>
          <w:tcPr>
            <w:tcW w:w="1476"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0.0%</w:t>
            </w:r>
          </w:p>
        </w:tc>
        <w:tc>
          <w:tcPr>
            <w:tcW w:w="1281"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281"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11.1%</w:t>
            </w:r>
          </w:p>
        </w:tc>
        <w:tc>
          <w:tcPr>
            <w:tcW w:w="1464"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w:t>
            </w:r>
          </w:p>
        </w:tc>
        <w:tc>
          <w:tcPr>
            <w:tcW w:w="1464"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17.4%</w:t>
            </w:r>
          </w:p>
        </w:tc>
        <w:tc>
          <w:tcPr>
            <w:tcW w:w="1818"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20.8%</w:t>
            </w:r>
          </w:p>
        </w:tc>
      </w:tr>
      <w:tr w:rsidR="002E7A65" w:rsidRPr="00AE49C8" w:rsidTr="00775191">
        <w:trPr>
          <w:cantSplit/>
          <w:trHeight w:val="312"/>
          <w:tblHeader/>
          <w:jc w:val="center"/>
        </w:trPr>
        <w:tc>
          <w:tcPr>
            <w:tcW w:w="1429"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Christianity</w:t>
            </w:r>
          </w:p>
        </w:tc>
        <w:tc>
          <w:tcPr>
            <w:tcW w:w="1476"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w:t>
            </w:r>
          </w:p>
        </w:tc>
        <w:tc>
          <w:tcPr>
            <w:tcW w:w="1476"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100.0%</w:t>
            </w:r>
          </w:p>
        </w:tc>
        <w:tc>
          <w:tcPr>
            <w:tcW w:w="1281"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3</w:t>
            </w:r>
          </w:p>
        </w:tc>
        <w:tc>
          <w:tcPr>
            <w:tcW w:w="1281"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33.3%</w:t>
            </w:r>
          </w:p>
        </w:tc>
        <w:tc>
          <w:tcPr>
            <w:tcW w:w="1464"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8</w:t>
            </w:r>
          </w:p>
        </w:tc>
        <w:tc>
          <w:tcPr>
            <w:tcW w:w="1464"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34.8%</w:t>
            </w:r>
          </w:p>
        </w:tc>
        <w:tc>
          <w:tcPr>
            <w:tcW w:w="1818"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37.6%</w:t>
            </w:r>
          </w:p>
        </w:tc>
      </w:tr>
      <w:tr w:rsidR="002E7A65" w:rsidRPr="00AE49C8" w:rsidTr="00775191">
        <w:trPr>
          <w:cantSplit/>
          <w:trHeight w:val="312"/>
          <w:tblHeader/>
          <w:jc w:val="center"/>
        </w:trPr>
        <w:tc>
          <w:tcPr>
            <w:tcW w:w="1429"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Hinduism</w:t>
            </w:r>
          </w:p>
        </w:tc>
        <w:tc>
          <w:tcPr>
            <w:tcW w:w="1476"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w:t>
            </w:r>
          </w:p>
        </w:tc>
        <w:tc>
          <w:tcPr>
            <w:tcW w:w="1476"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0.0%</w:t>
            </w:r>
          </w:p>
        </w:tc>
        <w:tc>
          <w:tcPr>
            <w:tcW w:w="1281"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281"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11.1%</w:t>
            </w:r>
          </w:p>
        </w:tc>
        <w:tc>
          <w:tcPr>
            <w:tcW w:w="1464"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w:t>
            </w:r>
          </w:p>
        </w:tc>
        <w:tc>
          <w:tcPr>
            <w:tcW w:w="1464"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0.0%</w:t>
            </w:r>
          </w:p>
        </w:tc>
        <w:tc>
          <w:tcPr>
            <w:tcW w:w="1818"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1.8%</w:t>
            </w:r>
          </w:p>
        </w:tc>
      </w:tr>
      <w:tr w:rsidR="002E7A65" w:rsidRPr="00AE49C8" w:rsidTr="00775191">
        <w:trPr>
          <w:cantSplit/>
          <w:trHeight w:val="312"/>
          <w:tblHeader/>
          <w:jc w:val="center"/>
        </w:trPr>
        <w:tc>
          <w:tcPr>
            <w:tcW w:w="1429"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Islam</w:t>
            </w:r>
          </w:p>
        </w:tc>
        <w:tc>
          <w:tcPr>
            <w:tcW w:w="1476"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w:t>
            </w:r>
          </w:p>
        </w:tc>
        <w:tc>
          <w:tcPr>
            <w:tcW w:w="1476"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0.0%</w:t>
            </w:r>
          </w:p>
        </w:tc>
        <w:tc>
          <w:tcPr>
            <w:tcW w:w="1281"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w:t>
            </w:r>
          </w:p>
        </w:tc>
        <w:tc>
          <w:tcPr>
            <w:tcW w:w="1281"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0.0%</w:t>
            </w:r>
          </w:p>
        </w:tc>
        <w:tc>
          <w:tcPr>
            <w:tcW w:w="1464"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464"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4.3%</w:t>
            </w:r>
          </w:p>
        </w:tc>
        <w:tc>
          <w:tcPr>
            <w:tcW w:w="1818"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2.2%</w:t>
            </w:r>
          </w:p>
        </w:tc>
      </w:tr>
      <w:tr w:rsidR="002E7A65" w:rsidRPr="00AE49C8" w:rsidTr="00775191">
        <w:trPr>
          <w:cantSplit/>
          <w:trHeight w:val="312"/>
          <w:tblHeader/>
          <w:jc w:val="center"/>
        </w:trPr>
        <w:tc>
          <w:tcPr>
            <w:tcW w:w="1429"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Other</w:t>
            </w:r>
          </w:p>
        </w:tc>
        <w:tc>
          <w:tcPr>
            <w:tcW w:w="1476"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w:t>
            </w:r>
          </w:p>
        </w:tc>
        <w:tc>
          <w:tcPr>
            <w:tcW w:w="1476"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0.0%</w:t>
            </w:r>
          </w:p>
        </w:tc>
        <w:tc>
          <w:tcPr>
            <w:tcW w:w="1281"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w:t>
            </w:r>
          </w:p>
        </w:tc>
        <w:tc>
          <w:tcPr>
            <w:tcW w:w="1281"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11.1%</w:t>
            </w:r>
          </w:p>
        </w:tc>
        <w:tc>
          <w:tcPr>
            <w:tcW w:w="1464"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2</w:t>
            </w:r>
          </w:p>
        </w:tc>
        <w:tc>
          <w:tcPr>
            <w:tcW w:w="1464"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8.7%</w:t>
            </w:r>
          </w:p>
        </w:tc>
        <w:tc>
          <w:tcPr>
            <w:tcW w:w="1818"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9.8%</w:t>
            </w:r>
          </w:p>
        </w:tc>
      </w:tr>
      <w:tr w:rsidR="002E7A65" w:rsidRPr="00AE49C8" w:rsidTr="00775191">
        <w:trPr>
          <w:cantSplit/>
          <w:trHeight w:val="312"/>
          <w:tblHeader/>
          <w:jc w:val="center"/>
        </w:trPr>
        <w:tc>
          <w:tcPr>
            <w:tcW w:w="1429"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Prefer not to say</w:t>
            </w:r>
          </w:p>
        </w:tc>
        <w:tc>
          <w:tcPr>
            <w:tcW w:w="1476"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w:t>
            </w:r>
          </w:p>
        </w:tc>
        <w:tc>
          <w:tcPr>
            <w:tcW w:w="1476"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0.0%</w:t>
            </w:r>
          </w:p>
        </w:tc>
        <w:tc>
          <w:tcPr>
            <w:tcW w:w="1281"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3</w:t>
            </w:r>
          </w:p>
        </w:tc>
        <w:tc>
          <w:tcPr>
            <w:tcW w:w="1281"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33.3%</w:t>
            </w:r>
          </w:p>
        </w:tc>
        <w:tc>
          <w:tcPr>
            <w:tcW w:w="1464"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8</w:t>
            </w:r>
          </w:p>
        </w:tc>
        <w:tc>
          <w:tcPr>
            <w:tcW w:w="1464"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34.8%</w:t>
            </w:r>
          </w:p>
        </w:tc>
        <w:tc>
          <w:tcPr>
            <w:tcW w:w="1818"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r w:rsidRPr="000C64DA">
              <w:rPr>
                <w:rFonts w:eastAsia="Times New Roman"/>
                <w:color w:val="000000"/>
                <w:sz w:val="22"/>
                <w:szCs w:val="24"/>
                <w:lang w:eastAsia="en-GB"/>
              </w:rPr>
              <w:t>16.9%</w:t>
            </w:r>
          </w:p>
        </w:tc>
      </w:tr>
      <w:tr w:rsidR="002E7A65" w:rsidRPr="00AE49C8" w:rsidTr="00775191">
        <w:trPr>
          <w:cantSplit/>
          <w:trHeight w:val="312"/>
          <w:tblHeader/>
          <w:jc w:val="center"/>
        </w:trPr>
        <w:tc>
          <w:tcPr>
            <w:tcW w:w="1429" w:type="dxa"/>
            <w:shd w:val="clear" w:color="auto" w:fill="auto"/>
            <w:noWrap/>
            <w:vAlign w:val="bottom"/>
            <w:hideMark/>
          </w:tcPr>
          <w:p w:rsidR="002E7A65" w:rsidRPr="000C64DA" w:rsidRDefault="002E7A65" w:rsidP="002E7A65">
            <w:pPr>
              <w:spacing w:after="0" w:line="240" w:lineRule="auto"/>
              <w:rPr>
                <w:rFonts w:eastAsia="Times New Roman"/>
                <w:bCs/>
                <w:color w:val="000000"/>
                <w:sz w:val="22"/>
                <w:szCs w:val="24"/>
                <w:lang w:eastAsia="en-GB"/>
              </w:rPr>
            </w:pPr>
            <w:r w:rsidRPr="000C64DA">
              <w:rPr>
                <w:rFonts w:eastAsia="Times New Roman"/>
                <w:bCs/>
                <w:color w:val="000000"/>
                <w:sz w:val="22"/>
                <w:szCs w:val="24"/>
                <w:lang w:eastAsia="en-GB"/>
              </w:rPr>
              <w:t>Total</w:t>
            </w:r>
          </w:p>
        </w:tc>
        <w:tc>
          <w:tcPr>
            <w:tcW w:w="1476" w:type="dxa"/>
            <w:shd w:val="clear" w:color="auto" w:fill="auto"/>
            <w:noWrap/>
            <w:vAlign w:val="bottom"/>
            <w:hideMark/>
          </w:tcPr>
          <w:p w:rsidR="002E7A65" w:rsidRPr="000C64DA" w:rsidRDefault="002E7A65" w:rsidP="002E7A65">
            <w:pPr>
              <w:spacing w:after="0" w:line="240" w:lineRule="auto"/>
              <w:rPr>
                <w:rFonts w:eastAsia="Times New Roman"/>
                <w:bCs/>
                <w:color w:val="000000"/>
                <w:sz w:val="22"/>
                <w:szCs w:val="24"/>
                <w:lang w:eastAsia="en-GB"/>
              </w:rPr>
            </w:pPr>
            <w:r w:rsidRPr="000C64DA">
              <w:rPr>
                <w:rFonts w:eastAsia="Times New Roman"/>
                <w:bCs/>
                <w:color w:val="000000"/>
                <w:sz w:val="22"/>
                <w:szCs w:val="24"/>
                <w:lang w:eastAsia="en-GB"/>
              </w:rPr>
              <w:t>4</w:t>
            </w:r>
          </w:p>
        </w:tc>
        <w:tc>
          <w:tcPr>
            <w:tcW w:w="1476" w:type="dxa"/>
            <w:shd w:val="clear" w:color="auto" w:fill="auto"/>
            <w:noWrap/>
            <w:vAlign w:val="bottom"/>
            <w:hideMark/>
          </w:tcPr>
          <w:p w:rsidR="002E7A65" w:rsidRPr="000C64DA" w:rsidRDefault="002E7A65" w:rsidP="002E7A65">
            <w:pPr>
              <w:spacing w:after="0" w:line="240" w:lineRule="auto"/>
              <w:rPr>
                <w:rFonts w:eastAsia="Times New Roman"/>
                <w:bCs/>
                <w:color w:val="000000"/>
                <w:sz w:val="22"/>
                <w:szCs w:val="24"/>
                <w:lang w:eastAsia="en-GB"/>
              </w:rPr>
            </w:pPr>
            <w:r w:rsidRPr="000C64DA">
              <w:rPr>
                <w:rFonts w:eastAsia="Times New Roman"/>
                <w:bCs/>
                <w:color w:val="000000"/>
                <w:sz w:val="22"/>
                <w:szCs w:val="24"/>
                <w:lang w:eastAsia="en-GB"/>
              </w:rPr>
              <w:t>100.0%</w:t>
            </w:r>
          </w:p>
        </w:tc>
        <w:tc>
          <w:tcPr>
            <w:tcW w:w="1281" w:type="dxa"/>
            <w:shd w:val="clear" w:color="auto" w:fill="auto"/>
            <w:noWrap/>
            <w:vAlign w:val="bottom"/>
            <w:hideMark/>
          </w:tcPr>
          <w:p w:rsidR="002E7A65" w:rsidRPr="000C64DA" w:rsidRDefault="002E7A65" w:rsidP="002E7A65">
            <w:pPr>
              <w:spacing w:after="0" w:line="240" w:lineRule="auto"/>
              <w:rPr>
                <w:rFonts w:eastAsia="Times New Roman"/>
                <w:bCs/>
                <w:color w:val="000000"/>
                <w:sz w:val="22"/>
                <w:szCs w:val="24"/>
                <w:lang w:eastAsia="en-GB"/>
              </w:rPr>
            </w:pPr>
            <w:r w:rsidRPr="000C64DA">
              <w:rPr>
                <w:rFonts w:eastAsia="Times New Roman"/>
                <w:bCs/>
                <w:color w:val="000000"/>
                <w:sz w:val="22"/>
                <w:szCs w:val="24"/>
                <w:lang w:eastAsia="en-GB"/>
              </w:rPr>
              <w:t>9</w:t>
            </w:r>
          </w:p>
        </w:tc>
        <w:tc>
          <w:tcPr>
            <w:tcW w:w="1281" w:type="dxa"/>
            <w:shd w:val="clear" w:color="auto" w:fill="auto"/>
            <w:noWrap/>
            <w:vAlign w:val="bottom"/>
            <w:hideMark/>
          </w:tcPr>
          <w:p w:rsidR="002E7A65" w:rsidRPr="000C64DA" w:rsidRDefault="002E7A65" w:rsidP="002E7A65">
            <w:pPr>
              <w:spacing w:after="0" w:line="240" w:lineRule="auto"/>
              <w:rPr>
                <w:rFonts w:eastAsia="Times New Roman"/>
                <w:bCs/>
                <w:color w:val="000000"/>
                <w:sz w:val="22"/>
                <w:szCs w:val="24"/>
                <w:lang w:eastAsia="en-GB"/>
              </w:rPr>
            </w:pPr>
            <w:r w:rsidRPr="000C64DA">
              <w:rPr>
                <w:rFonts w:eastAsia="Times New Roman"/>
                <w:bCs/>
                <w:color w:val="000000"/>
                <w:sz w:val="22"/>
                <w:szCs w:val="24"/>
                <w:lang w:eastAsia="en-GB"/>
              </w:rPr>
              <w:t>100.0%</w:t>
            </w:r>
          </w:p>
        </w:tc>
        <w:tc>
          <w:tcPr>
            <w:tcW w:w="1464" w:type="dxa"/>
            <w:shd w:val="clear" w:color="auto" w:fill="auto"/>
            <w:noWrap/>
            <w:vAlign w:val="bottom"/>
            <w:hideMark/>
          </w:tcPr>
          <w:p w:rsidR="002E7A65" w:rsidRPr="000C64DA" w:rsidRDefault="002E7A65" w:rsidP="002E7A65">
            <w:pPr>
              <w:spacing w:after="0" w:line="240" w:lineRule="auto"/>
              <w:rPr>
                <w:rFonts w:eastAsia="Times New Roman"/>
                <w:bCs/>
                <w:color w:val="000000"/>
                <w:sz w:val="22"/>
                <w:szCs w:val="24"/>
                <w:lang w:eastAsia="en-GB"/>
              </w:rPr>
            </w:pPr>
            <w:r w:rsidRPr="000C64DA">
              <w:rPr>
                <w:rFonts w:eastAsia="Times New Roman"/>
                <w:bCs/>
                <w:color w:val="000000"/>
                <w:sz w:val="22"/>
                <w:szCs w:val="24"/>
                <w:lang w:eastAsia="en-GB"/>
              </w:rPr>
              <w:t>23</w:t>
            </w:r>
          </w:p>
        </w:tc>
        <w:tc>
          <w:tcPr>
            <w:tcW w:w="1464" w:type="dxa"/>
            <w:shd w:val="clear" w:color="auto" w:fill="auto"/>
            <w:noWrap/>
            <w:vAlign w:val="bottom"/>
            <w:hideMark/>
          </w:tcPr>
          <w:p w:rsidR="002E7A65" w:rsidRPr="000C64DA" w:rsidRDefault="002E7A65" w:rsidP="002E7A65">
            <w:pPr>
              <w:spacing w:after="0" w:line="240" w:lineRule="auto"/>
              <w:rPr>
                <w:rFonts w:eastAsia="Times New Roman"/>
                <w:bCs/>
                <w:color w:val="000000"/>
                <w:sz w:val="22"/>
                <w:szCs w:val="24"/>
                <w:lang w:eastAsia="en-GB"/>
              </w:rPr>
            </w:pPr>
            <w:r w:rsidRPr="000C64DA">
              <w:rPr>
                <w:rFonts w:eastAsia="Times New Roman"/>
                <w:bCs/>
                <w:color w:val="000000"/>
                <w:sz w:val="22"/>
                <w:szCs w:val="24"/>
                <w:lang w:eastAsia="en-GB"/>
              </w:rPr>
              <w:t>100.0%</w:t>
            </w:r>
          </w:p>
        </w:tc>
        <w:tc>
          <w:tcPr>
            <w:tcW w:w="1818" w:type="dxa"/>
            <w:shd w:val="clear" w:color="auto" w:fill="auto"/>
            <w:noWrap/>
            <w:vAlign w:val="bottom"/>
            <w:hideMark/>
          </w:tcPr>
          <w:p w:rsidR="002E7A65" w:rsidRPr="000C64DA" w:rsidRDefault="002E7A65" w:rsidP="002E7A65">
            <w:pPr>
              <w:spacing w:after="0" w:line="240" w:lineRule="auto"/>
              <w:rPr>
                <w:rFonts w:eastAsia="Times New Roman"/>
                <w:color w:val="000000"/>
                <w:sz w:val="22"/>
                <w:szCs w:val="24"/>
                <w:lang w:eastAsia="en-GB"/>
              </w:rPr>
            </w:pPr>
          </w:p>
        </w:tc>
      </w:tr>
    </w:tbl>
    <w:p w:rsidR="00DD2448" w:rsidRPr="00AE49C8" w:rsidRDefault="00DD2448" w:rsidP="00DD2448">
      <w:pPr>
        <w:jc w:val="center"/>
        <w:rPr>
          <w:b/>
        </w:rPr>
      </w:pPr>
    </w:p>
    <w:p w:rsidR="00DD2448" w:rsidRPr="00AE49C8" w:rsidRDefault="002E7A65" w:rsidP="00DD2448">
      <w:pPr>
        <w:rPr>
          <w:b/>
        </w:rPr>
      </w:pPr>
      <w:r w:rsidRPr="00AE49C8">
        <w:rPr>
          <w:noProof/>
          <w:lang w:eastAsia="en-GB"/>
        </w:rPr>
        <w:lastRenderedPageBreak/>
        <w:drawing>
          <wp:inline distT="0" distB="0" distL="0" distR="0" wp14:anchorId="089A3649" wp14:editId="1F2131D0">
            <wp:extent cx="5731510" cy="2521007"/>
            <wp:effectExtent l="0" t="0" r="2540" b="0"/>
            <wp:docPr id="285" name="Chart 285" title="Breakdown of harassment, grievance and disciplinary process by religion or belief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D2448" w:rsidRPr="00AE49C8" w:rsidRDefault="00DD2448" w:rsidP="00DD2448">
      <w:pPr>
        <w:jc w:val="center"/>
        <w:rPr>
          <w:b/>
        </w:rPr>
      </w:pPr>
    </w:p>
    <w:tbl>
      <w:tblPr>
        <w:tblW w:w="10695" w:type="dxa"/>
        <w:jc w:val="center"/>
        <w:tblBorders>
          <w:insideH w:val="dotted" w:sz="4" w:space="0" w:color="auto"/>
        </w:tblBorders>
        <w:tblLook w:val="04A0" w:firstRow="1" w:lastRow="0" w:firstColumn="1" w:lastColumn="0" w:noHBand="0" w:noVBand="1"/>
        <w:tblCaption w:val="Breakdown of dismissals by religion or belief"/>
      </w:tblPr>
      <w:tblGrid>
        <w:gridCol w:w="2053"/>
        <w:gridCol w:w="1471"/>
        <w:gridCol w:w="1515"/>
        <w:gridCol w:w="1691"/>
        <w:gridCol w:w="2009"/>
        <w:gridCol w:w="2186"/>
      </w:tblGrid>
      <w:tr w:rsidR="002E7A65" w:rsidRPr="00AE49C8" w:rsidTr="00F47C67">
        <w:trPr>
          <w:trHeight w:val="312"/>
          <w:jc w:val="center"/>
        </w:trPr>
        <w:tc>
          <w:tcPr>
            <w:tcW w:w="2053" w:type="dxa"/>
            <w:shd w:val="clear" w:color="auto" w:fill="auto"/>
            <w:noWrap/>
            <w:vAlign w:val="bottom"/>
            <w:hideMark/>
          </w:tcPr>
          <w:p w:rsidR="002E7A65" w:rsidRPr="00AE49C8" w:rsidRDefault="002E7A65"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Religion or Belief</w:t>
            </w:r>
          </w:p>
        </w:tc>
        <w:tc>
          <w:tcPr>
            <w:tcW w:w="1241" w:type="dxa"/>
            <w:shd w:val="clear" w:color="auto" w:fill="auto"/>
            <w:noWrap/>
            <w:vAlign w:val="bottom"/>
            <w:hideMark/>
          </w:tcPr>
          <w:p w:rsidR="002E7A65" w:rsidRPr="00AE49C8" w:rsidRDefault="002E7A65"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 xml:space="preserve">All Dismissals </w:t>
            </w:r>
          </w:p>
        </w:tc>
        <w:tc>
          <w:tcPr>
            <w:tcW w:w="1515" w:type="dxa"/>
            <w:shd w:val="clear" w:color="auto" w:fill="auto"/>
            <w:noWrap/>
            <w:vAlign w:val="bottom"/>
            <w:hideMark/>
          </w:tcPr>
          <w:p w:rsidR="002E7A65" w:rsidRPr="00AE49C8" w:rsidRDefault="002E7A65"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All Dismissals %</w:t>
            </w:r>
          </w:p>
        </w:tc>
        <w:tc>
          <w:tcPr>
            <w:tcW w:w="1691" w:type="dxa"/>
            <w:shd w:val="clear" w:color="auto" w:fill="auto"/>
            <w:noWrap/>
            <w:vAlign w:val="bottom"/>
            <w:hideMark/>
          </w:tcPr>
          <w:p w:rsidR="002E7A65" w:rsidRPr="00AE49C8" w:rsidRDefault="002E7A65"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Dismissals (Sickness only)</w:t>
            </w:r>
          </w:p>
        </w:tc>
        <w:tc>
          <w:tcPr>
            <w:tcW w:w="2009" w:type="dxa"/>
            <w:shd w:val="clear" w:color="auto" w:fill="auto"/>
            <w:noWrap/>
            <w:vAlign w:val="bottom"/>
            <w:hideMark/>
          </w:tcPr>
          <w:p w:rsidR="002E7A65" w:rsidRPr="00AE49C8" w:rsidRDefault="002E7A65"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Dismissals (Sickness only) %</w:t>
            </w:r>
          </w:p>
        </w:tc>
        <w:tc>
          <w:tcPr>
            <w:tcW w:w="2186" w:type="dxa"/>
            <w:shd w:val="clear" w:color="auto" w:fill="auto"/>
            <w:noWrap/>
            <w:vAlign w:val="bottom"/>
            <w:hideMark/>
          </w:tcPr>
          <w:p w:rsidR="002E7A65" w:rsidRPr="00AE49C8" w:rsidRDefault="002E7A65"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Representation %</w:t>
            </w:r>
          </w:p>
        </w:tc>
      </w:tr>
      <w:tr w:rsidR="002E7A65" w:rsidRPr="00AE49C8" w:rsidTr="00F47C67">
        <w:trPr>
          <w:trHeight w:val="312"/>
          <w:jc w:val="center"/>
        </w:trPr>
        <w:tc>
          <w:tcPr>
            <w:tcW w:w="2053"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Atheism</w:t>
            </w:r>
          </w:p>
        </w:tc>
        <w:tc>
          <w:tcPr>
            <w:tcW w:w="1241"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515"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11.8%</w:t>
            </w:r>
          </w:p>
        </w:tc>
        <w:tc>
          <w:tcPr>
            <w:tcW w:w="1691"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2009"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7.7%</w:t>
            </w:r>
          </w:p>
        </w:tc>
        <w:tc>
          <w:tcPr>
            <w:tcW w:w="2186"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20.8%</w:t>
            </w:r>
          </w:p>
        </w:tc>
      </w:tr>
      <w:tr w:rsidR="002E7A65" w:rsidRPr="00AE49C8" w:rsidTr="00F47C67">
        <w:trPr>
          <w:trHeight w:val="312"/>
          <w:jc w:val="center"/>
        </w:trPr>
        <w:tc>
          <w:tcPr>
            <w:tcW w:w="2053"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Christianity</w:t>
            </w:r>
          </w:p>
        </w:tc>
        <w:tc>
          <w:tcPr>
            <w:tcW w:w="1241"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1515"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58.8%</w:t>
            </w:r>
          </w:p>
        </w:tc>
        <w:tc>
          <w:tcPr>
            <w:tcW w:w="1691"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8</w:t>
            </w:r>
          </w:p>
        </w:tc>
        <w:tc>
          <w:tcPr>
            <w:tcW w:w="2009"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61.5%</w:t>
            </w:r>
          </w:p>
        </w:tc>
        <w:tc>
          <w:tcPr>
            <w:tcW w:w="2186"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37.6%</w:t>
            </w:r>
          </w:p>
        </w:tc>
      </w:tr>
      <w:tr w:rsidR="002E7A65" w:rsidRPr="00AE49C8" w:rsidTr="00F47C67">
        <w:trPr>
          <w:trHeight w:val="312"/>
          <w:jc w:val="center"/>
        </w:trPr>
        <w:tc>
          <w:tcPr>
            <w:tcW w:w="2053"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1241"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515"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11.8%</w:t>
            </w:r>
          </w:p>
        </w:tc>
        <w:tc>
          <w:tcPr>
            <w:tcW w:w="1691"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2009"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15.4%</w:t>
            </w:r>
          </w:p>
        </w:tc>
        <w:tc>
          <w:tcPr>
            <w:tcW w:w="2186"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9.8%</w:t>
            </w:r>
          </w:p>
        </w:tc>
      </w:tr>
      <w:tr w:rsidR="002E7A65" w:rsidRPr="00AE49C8" w:rsidTr="00F47C67">
        <w:trPr>
          <w:trHeight w:val="312"/>
          <w:jc w:val="center"/>
        </w:trPr>
        <w:tc>
          <w:tcPr>
            <w:tcW w:w="2053"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241"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515"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17.6%</w:t>
            </w:r>
          </w:p>
        </w:tc>
        <w:tc>
          <w:tcPr>
            <w:tcW w:w="1691"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2009"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15.4%</w:t>
            </w:r>
          </w:p>
        </w:tc>
        <w:tc>
          <w:tcPr>
            <w:tcW w:w="2186"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r w:rsidRPr="00AE49C8">
              <w:rPr>
                <w:rFonts w:eastAsia="Times New Roman"/>
                <w:color w:val="000000"/>
                <w:szCs w:val="24"/>
                <w:lang w:eastAsia="en-GB"/>
              </w:rPr>
              <w:t>16.9%</w:t>
            </w:r>
          </w:p>
        </w:tc>
      </w:tr>
      <w:tr w:rsidR="002E7A65" w:rsidRPr="00AE49C8" w:rsidTr="00F47C67">
        <w:trPr>
          <w:trHeight w:val="312"/>
          <w:jc w:val="center"/>
        </w:trPr>
        <w:tc>
          <w:tcPr>
            <w:tcW w:w="2053" w:type="dxa"/>
            <w:shd w:val="clear" w:color="auto" w:fill="auto"/>
            <w:noWrap/>
            <w:vAlign w:val="bottom"/>
            <w:hideMark/>
          </w:tcPr>
          <w:p w:rsidR="002E7A65" w:rsidRPr="00AE49C8" w:rsidRDefault="002E7A65"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241" w:type="dxa"/>
            <w:shd w:val="clear" w:color="auto" w:fill="auto"/>
            <w:noWrap/>
            <w:vAlign w:val="bottom"/>
            <w:hideMark/>
          </w:tcPr>
          <w:p w:rsidR="002E7A65" w:rsidRPr="00AE49C8" w:rsidRDefault="002E7A65"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17</w:t>
            </w:r>
          </w:p>
        </w:tc>
        <w:tc>
          <w:tcPr>
            <w:tcW w:w="1515" w:type="dxa"/>
            <w:shd w:val="clear" w:color="auto" w:fill="auto"/>
            <w:noWrap/>
            <w:vAlign w:val="bottom"/>
            <w:hideMark/>
          </w:tcPr>
          <w:p w:rsidR="002E7A65" w:rsidRPr="00AE49C8" w:rsidRDefault="002E7A65"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691" w:type="dxa"/>
            <w:shd w:val="clear" w:color="auto" w:fill="auto"/>
            <w:noWrap/>
            <w:vAlign w:val="bottom"/>
            <w:hideMark/>
          </w:tcPr>
          <w:p w:rsidR="002E7A65" w:rsidRPr="00AE49C8" w:rsidRDefault="002E7A65"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13</w:t>
            </w:r>
          </w:p>
        </w:tc>
        <w:tc>
          <w:tcPr>
            <w:tcW w:w="2009" w:type="dxa"/>
            <w:shd w:val="clear" w:color="auto" w:fill="auto"/>
            <w:noWrap/>
            <w:vAlign w:val="bottom"/>
            <w:hideMark/>
          </w:tcPr>
          <w:p w:rsidR="002E7A65" w:rsidRPr="00AE49C8" w:rsidRDefault="002E7A65" w:rsidP="002E7A65">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2186" w:type="dxa"/>
            <w:shd w:val="clear" w:color="auto" w:fill="auto"/>
            <w:noWrap/>
            <w:vAlign w:val="bottom"/>
            <w:hideMark/>
          </w:tcPr>
          <w:p w:rsidR="002E7A65" w:rsidRPr="00AE49C8" w:rsidRDefault="002E7A65" w:rsidP="002E7A65">
            <w:pPr>
              <w:spacing w:after="0" w:line="240" w:lineRule="auto"/>
              <w:rPr>
                <w:rFonts w:eastAsia="Times New Roman"/>
                <w:color w:val="000000"/>
                <w:szCs w:val="24"/>
                <w:lang w:eastAsia="en-GB"/>
              </w:rPr>
            </w:pPr>
          </w:p>
        </w:tc>
      </w:tr>
    </w:tbl>
    <w:p w:rsidR="00DD2448" w:rsidRPr="00AE49C8" w:rsidRDefault="00DD2448" w:rsidP="00DD2448">
      <w:pPr>
        <w:rPr>
          <w:b/>
        </w:rPr>
      </w:pPr>
    </w:p>
    <w:p w:rsidR="00DD2448" w:rsidRPr="00AE49C8" w:rsidRDefault="002E7A65" w:rsidP="00DD2448">
      <w:pPr>
        <w:jc w:val="center"/>
        <w:rPr>
          <w:b/>
        </w:rPr>
      </w:pPr>
      <w:r w:rsidRPr="00AE49C8">
        <w:rPr>
          <w:noProof/>
          <w:lang w:eastAsia="en-GB"/>
        </w:rPr>
        <w:drawing>
          <wp:inline distT="0" distB="0" distL="0" distR="0" wp14:anchorId="5780C13E" wp14:editId="018248B6">
            <wp:extent cx="5731510" cy="2904945"/>
            <wp:effectExtent l="0" t="0" r="2540" b="0"/>
            <wp:docPr id="286" name="Chart 286" title="Breakdown of dismissals by religion or belief compared to the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D2448" w:rsidRPr="000D2F61" w:rsidRDefault="00DD2448" w:rsidP="00DD2448">
      <w:r w:rsidRPr="000D2F61">
        <w:t>Observations</w:t>
      </w:r>
    </w:p>
    <w:p w:rsidR="00DD2448" w:rsidRPr="00AE49C8" w:rsidRDefault="00F47C67" w:rsidP="00DD2448">
      <w:r w:rsidRPr="00AE49C8">
        <w:t>Compared to the overall workforce representation:</w:t>
      </w:r>
    </w:p>
    <w:p w:rsidR="00F47C67" w:rsidRPr="00AE49C8" w:rsidRDefault="00F47C67" w:rsidP="00F47C67">
      <w:pPr>
        <w:pStyle w:val="ListParagraph"/>
      </w:pPr>
      <w:r w:rsidRPr="00AE49C8">
        <w:lastRenderedPageBreak/>
        <w:t>There is a higher representation of Christian, other (religion or belief), and staff prefer not to say in capability (non-underlying health reasons). Atheists have a  broadly equal representation in these cases.</w:t>
      </w:r>
    </w:p>
    <w:p w:rsidR="00F47C67" w:rsidRPr="00AE49C8" w:rsidRDefault="0049653C" w:rsidP="00F47C67">
      <w:pPr>
        <w:pStyle w:val="ListParagraph"/>
      </w:pPr>
      <w:r w:rsidRPr="00AE49C8">
        <w:t>Christian staff are overrepresented in capability (underlying health reasons) and harassment cases.</w:t>
      </w:r>
    </w:p>
    <w:p w:rsidR="0049653C" w:rsidRPr="00AE49C8" w:rsidRDefault="0049653C" w:rsidP="00F47C67">
      <w:pPr>
        <w:pStyle w:val="ListParagraph"/>
      </w:pPr>
      <w:r w:rsidRPr="00AE49C8">
        <w:t>Hindu, other (religion or belief) and staff that prefer not to say are overrepresented in grievance procedures.</w:t>
      </w:r>
    </w:p>
    <w:p w:rsidR="0049653C" w:rsidRPr="00AE49C8" w:rsidRDefault="0049653C" w:rsidP="0049653C">
      <w:pPr>
        <w:pStyle w:val="ListParagraph"/>
      </w:pPr>
      <w:r w:rsidRPr="00AE49C8">
        <w:t>Muslim, other (religion or belief) and staff that prefer not to say are overrepresented in disciplinary cases.</w:t>
      </w:r>
    </w:p>
    <w:p w:rsidR="0049653C" w:rsidRPr="00AE49C8" w:rsidRDefault="0049653C" w:rsidP="0049653C">
      <w:pPr>
        <w:pStyle w:val="ListParagraph"/>
      </w:pPr>
      <w:r w:rsidRPr="00AE49C8">
        <w:t>In dismissals, Christian staff, other (religion or belief) and those that prefer not to say are overrepresented.  In dismissals (sickness only), Christian and other (religion or belief) are overrepresented.</w:t>
      </w:r>
    </w:p>
    <w:p w:rsidR="00DD2448" w:rsidRPr="00AE49C8" w:rsidRDefault="00DD2448" w:rsidP="00DD2448">
      <w:pPr>
        <w:rPr>
          <w:b/>
        </w:rPr>
      </w:pPr>
      <w:r w:rsidRPr="00AE49C8">
        <w:rPr>
          <w:b/>
        </w:rPr>
        <w:t>WSHT</w:t>
      </w:r>
    </w:p>
    <w:tbl>
      <w:tblPr>
        <w:tblW w:w="9693" w:type="dxa"/>
        <w:jc w:val="center"/>
        <w:tblBorders>
          <w:insideH w:val="dotted" w:sz="4" w:space="0" w:color="auto"/>
        </w:tblBorders>
        <w:tblLook w:val="04A0" w:firstRow="1" w:lastRow="0" w:firstColumn="1" w:lastColumn="0" w:noHBand="0" w:noVBand="1"/>
        <w:tblCaption w:val="Breakdown of grievance and disciplinary process by religion or belief"/>
      </w:tblPr>
      <w:tblGrid>
        <w:gridCol w:w="2359"/>
        <w:gridCol w:w="1377"/>
        <w:gridCol w:w="1377"/>
        <w:gridCol w:w="1577"/>
        <w:gridCol w:w="1577"/>
        <w:gridCol w:w="2150"/>
      </w:tblGrid>
      <w:tr w:rsidR="001D6F99" w:rsidRPr="00AE49C8" w:rsidTr="00F47C67">
        <w:trPr>
          <w:cantSplit/>
          <w:trHeight w:val="312"/>
          <w:tblHeader/>
          <w:jc w:val="center"/>
        </w:trPr>
        <w:tc>
          <w:tcPr>
            <w:tcW w:w="2359" w:type="dxa"/>
            <w:shd w:val="clear" w:color="auto" w:fill="auto"/>
            <w:noWrap/>
            <w:vAlign w:val="bottom"/>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Religion or Belief</w:t>
            </w:r>
          </w:p>
        </w:tc>
        <w:tc>
          <w:tcPr>
            <w:tcW w:w="1217" w:type="dxa"/>
            <w:shd w:val="clear" w:color="auto" w:fill="auto"/>
            <w:noWrap/>
            <w:vAlign w:val="bottom"/>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Grievance Cases</w:t>
            </w:r>
          </w:p>
        </w:tc>
        <w:tc>
          <w:tcPr>
            <w:tcW w:w="1217" w:type="dxa"/>
            <w:shd w:val="clear" w:color="auto" w:fill="auto"/>
            <w:noWrap/>
            <w:vAlign w:val="bottom"/>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Grievance Cases %</w:t>
            </w:r>
          </w:p>
        </w:tc>
        <w:tc>
          <w:tcPr>
            <w:tcW w:w="1375" w:type="dxa"/>
            <w:shd w:val="clear" w:color="auto" w:fill="auto"/>
            <w:noWrap/>
            <w:vAlign w:val="bottom"/>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Disciplinary Cases</w:t>
            </w:r>
          </w:p>
        </w:tc>
        <w:tc>
          <w:tcPr>
            <w:tcW w:w="1375" w:type="dxa"/>
            <w:shd w:val="clear" w:color="auto" w:fill="auto"/>
            <w:noWrap/>
            <w:vAlign w:val="bottom"/>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Disciplinary Cases %</w:t>
            </w:r>
          </w:p>
        </w:tc>
        <w:tc>
          <w:tcPr>
            <w:tcW w:w="2150" w:type="dxa"/>
            <w:shd w:val="clear" w:color="auto" w:fill="auto"/>
            <w:noWrap/>
            <w:vAlign w:val="bottom"/>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w:t>
            </w:r>
            <w:r w:rsidR="00F47C67" w:rsidRPr="00AE49C8">
              <w:rPr>
                <w:rFonts w:eastAsia="Times New Roman"/>
                <w:b/>
                <w:bCs/>
                <w:color w:val="000000"/>
                <w:szCs w:val="24"/>
                <w:lang w:eastAsia="en-GB"/>
              </w:rPr>
              <w:t>t</w:t>
            </w:r>
            <w:r w:rsidRPr="00AE49C8">
              <w:rPr>
                <w:rFonts w:eastAsia="Times New Roman"/>
                <w:b/>
                <w:bCs/>
                <w:color w:val="000000"/>
                <w:szCs w:val="24"/>
                <w:lang w:eastAsia="en-GB"/>
              </w:rPr>
              <w:t>ation %</w:t>
            </w:r>
          </w:p>
        </w:tc>
      </w:tr>
      <w:tr w:rsidR="001D6F99" w:rsidRPr="00AE49C8" w:rsidTr="00F47C67">
        <w:trPr>
          <w:cantSplit/>
          <w:trHeight w:val="312"/>
          <w:tblHeader/>
          <w:jc w:val="center"/>
        </w:trPr>
        <w:tc>
          <w:tcPr>
            <w:tcW w:w="23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Atheism</w:t>
            </w:r>
          </w:p>
        </w:tc>
        <w:tc>
          <w:tcPr>
            <w:tcW w:w="121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21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7.1%</w:t>
            </w:r>
          </w:p>
        </w:tc>
        <w:tc>
          <w:tcPr>
            <w:tcW w:w="13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8</w:t>
            </w:r>
          </w:p>
        </w:tc>
        <w:tc>
          <w:tcPr>
            <w:tcW w:w="13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15.1%</w:t>
            </w:r>
          </w:p>
        </w:tc>
        <w:tc>
          <w:tcPr>
            <w:tcW w:w="2150"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15.4%</w:t>
            </w:r>
          </w:p>
        </w:tc>
      </w:tr>
      <w:tr w:rsidR="001D6F99" w:rsidRPr="00AE49C8" w:rsidTr="00F47C67">
        <w:trPr>
          <w:cantSplit/>
          <w:trHeight w:val="312"/>
          <w:tblHeader/>
          <w:jc w:val="center"/>
        </w:trPr>
        <w:tc>
          <w:tcPr>
            <w:tcW w:w="23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Christianity</w:t>
            </w:r>
          </w:p>
        </w:tc>
        <w:tc>
          <w:tcPr>
            <w:tcW w:w="121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11</w:t>
            </w:r>
          </w:p>
        </w:tc>
        <w:tc>
          <w:tcPr>
            <w:tcW w:w="121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p>
        </w:tc>
        <w:tc>
          <w:tcPr>
            <w:tcW w:w="13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26</w:t>
            </w:r>
          </w:p>
        </w:tc>
        <w:tc>
          <w:tcPr>
            <w:tcW w:w="13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49.1%</w:t>
            </w:r>
          </w:p>
        </w:tc>
        <w:tc>
          <w:tcPr>
            <w:tcW w:w="2150"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47.8%</w:t>
            </w:r>
          </w:p>
        </w:tc>
      </w:tr>
      <w:tr w:rsidR="001D6F99" w:rsidRPr="00AE49C8" w:rsidTr="00F47C67">
        <w:trPr>
          <w:cantSplit/>
          <w:trHeight w:val="312"/>
          <w:tblHeader/>
          <w:jc w:val="center"/>
        </w:trPr>
        <w:tc>
          <w:tcPr>
            <w:tcW w:w="23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Islam</w:t>
            </w:r>
          </w:p>
        </w:tc>
        <w:tc>
          <w:tcPr>
            <w:tcW w:w="121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21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7.1%</w:t>
            </w:r>
          </w:p>
        </w:tc>
        <w:tc>
          <w:tcPr>
            <w:tcW w:w="13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3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1.9%</w:t>
            </w:r>
          </w:p>
        </w:tc>
        <w:tc>
          <w:tcPr>
            <w:tcW w:w="2150"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1.6%</w:t>
            </w:r>
          </w:p>
        </w:tc>
      </w:tr>
      <w:tr w:rsidR="001D6F99" w:rsidRPr="00AE49C8" w:rsidTr="00F47C67">
        <w:trPr>
          <w:cantSplit/>
          <w:trHeight w:val="312"/>
          <w:tblHeader/>
          <w:jc w:val="center"/>
        </w:trPr>
        <w:tc>
          <w:tcPr>
            <w:tcW w:w="23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Judaism</w:t>
            </w:r>
          </w:p>
        </w:tc>
        <w:tc>
          <w:tcPr>
            <w:tcW w:w="121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21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3.6%</w:t>
            </w:r>
          </w:p>
        </w:tc>
        <w:tc>
          <w:tcPr>
            <w:tcW w:w="13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p>
        </w:tc>
        <w:tc>
          <w:tcPr>
            <w:tcW w:w="13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2150"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0.2%</w:t>
            </w:r>
          </w:p>
        </w:tc>
      </w:tr>
      <w:tr w:rsidR="001D6F99" w:rsidRPr="00AE49C8" w:rsidTr="00F47C67">
        <w:trPr>
          <w:cantSplit/>
          <w:trHeight w:val="312"/>
          <w:tblHeader/>
          <w:jc w:val="center"/>
        </w:trPr>
        <w:tc>
          <w:tcPr>
            <w:tcW w:w="23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121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21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10.7%</w:t>
            </w:r>
          </w:p>
        </w:tc>
        <w:tc>
          <w:tcPr>
            <w:tcW w:w="13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13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9.4%</w:t>
            </w:r>
          </w:p>
        </w:tc>
        <w:tc>
          <w:tcPr>
            <w:tcW w:w="2150"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13.8%</w:t>
            </w:r>
          </w:p>
        </w:tc>
      </w:tr>
      <w:tr w:rsidR="001D6F99" w:rsidRPr="00AE49C8" w:rsidTr="00F47C67">
        <w:trPr>
          <w:cantSplit/>
          <w:trHeight w:val="312"/>
          <w:tblHeader/>
          <w:jc w:val="center"/>
        </w:trPr>
        <w:tc>
          <w:tcPr>
            <w:tcW w:w="23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Declined to specify</w:t>
            </w:r>
          </w:p>
        </w:tc>
        <w:tc>
          <w:tcPr>
            <w:tcW w:w="121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9</w:t>
            </w:r>
          </w:p>
        </w:tc>
        <w:tc>
          <w:tcPr>
            <w:tcW w:w="121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32.1%</w:t>
            </w:r>
          </w:p>
        </w:tc>
        <w:tc>
          <w:tcPr>
            <w:tcW w:w="13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9</w:t>
            </w:r>
          </w:p>
        </w:tc>
        <w:tc>
          <w:tcPr>
            <w:tcW w:w="13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17.0%</w:t>
            </w:r>
          </w:p>
        </w:tc>
        <w:tc>
          <w:tcPr>
            <w:tcW w:w="2150"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18.0%</w:t>
            </w:r>
          </w:p>
        </w:tc>
      </w:tr>
      <w:tr w:rsidR="001D6F99" w:rsidRPr="00AE49C8" w:rsidTr="00F47C67">
        <w:trPr>
          <w:cantSplit/>
          <w:trHeight w:val="312"/>
          <w:tblHeader/>
          <w:jc w:val="center"/>
        </w:trPr>
        <w:tc>
          <w:tcPr>
            <w:tcW w:w="3576" w:type="dxa"/>
            <w:gridSpan w:val="2"/>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21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3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13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7.5%</w:t>
            </w:r>
          </w:p>
        </w:tc>
        <w:tc>
          <w:tcPr>
            <w:tcW w:w="2150"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0.6%</w:t>
            </w:r>
          </w:p>
        </w:tc>
      </w:tr>
      <w:tr w:rsidR="001D6F99" w:rsidRPr="00AE49C8" w:rsidTr="00F47C67">
        <w:trPr>
          <w:cantSplit/>
          <w:trHeight w:val="312"/>
          <w:tblHeader/>
          <w:jc w:val="center"/>
        </w:trPr>
        <w:tc>
          <w:tcPr>
            <w:tcW w:w="2359" w:type="dxa"/>
            <w:shd w:val="clear" w:color="auto" w:fill="auto"/>
            <w:noWrap/>
            <w:vAlign w:val="bottom"/>
            <w:hideMark/>
          </w:tcPr>
          <w:p w:rsidR="001D6F99" w:rsidRPr="00AE49C8" w:rsidRDefault="001D6F99" w:rsidP="001D6F99">
            <w:pPr>
              <w:spacing w:after="0" w:line="240" w:lineRule="auto"/>
              <w:rPr>
                <w:rFonts w:eastAsia="Times New Roman"/>
                <w:bCs/>
                <w:color w:val="000000"/>
                <w:szCs w:val="24"/>
                <w:lang w:eastAsia="en-GB"/>
              </w:rPr>
            </w:pPr>
            <w:r w:rsidRPr="00AE49C8">
              <w:rPr>
                <w:rFonts w:eastAsia="Times New Roman"/>
                <w:bCs/>
                <w:color w:val="000000"/>
                <w:szCs w:val="24"/>
                <w:lang w:eastAsia="en-GB"/>
              </w:rPr>
              <w:t>Total</w:t>
            </w:r>
          </w:p>
        </w:tc>
        <w:tc>
          <w:tcPr>
            <w:tcW w:w="1217" w:type="dxa"/>
            <w:shd w:val="clear" w:color="auto" w:fill="auto"/>
            <w:noWrap/>
            <w:vAlign w:val="bottom"/>
            <w:hideMark/>
          </w:tcPr>
          <w:p w:rsidR="001D6F99" w:rsidRPr="00AE49C8" w:rsidRDefault="001D6F99" w:rsidP="001D6F99">
            <w:pPr>
              <w:spacing w:after="0" w:line="240" w:lineRule="auto"/>
              <w:rPr>
                <w:rFonts w:eastAsia="Times New Roman"/>
                <w:bCs/>
                <w:color w:val="000000"/>
                <w:szCs w:val="24"/>
                <w:lang w:eastAsia="en-GB"/>
              </w:rPr>
            </w:pPr>
            <w:r w:rsidRPr="00AE49C8">
              <w:rPr>
                <w:rFonts w:eastAsia="Times New Roman"/>
                <w:bCs/>
                <w:color w:val="000000"/>
                <w:szCs w:val="24"/>
                <w:lang w:eastAsia="en-GB"/>
              </w:rPr>
              <w:t>28</w:t>
            </w:r>
          </w:p>
        </w:tc>
        <w:tc>
          <w:tcPr>
            <w:tcW w:w="1217" w:type="dxa"/>
            <w:shd w:val="clear" w:color="auto" w:fill="auto"/>
            <w:noWrap/>
            <w:vAlign w:val="bottom"/>
            <w:hideMark/>
          </w:tcPr>
          <w:p w:rsidR="001D6F99" w:rsidRPr="00AE49C8" w:rsidRDefault="001D6F99" w:rsidP="001D6F99">
            <w:pPr>
              <w:spacing w:after="0" w:line="240" w:lineRule="auto"/>
              <w:rPr>
                <w:rFonts w:eastAsia="Times New Roman"/>
                <w:bCs/>
                <w:color w:val="000000"/>
                <w:szCs w:val="24"/>
                <w:lang w:eastAsia="en-GB"/>
              </w:rPr>
            </w:pPr>
            <w:r w:rsidRPr="00AE49C8">
              <w:rPr>
                <w:rFonts w:eastAsia="Times New Roman"/>
                <w:bCs/>
                <w:color w:val="000000"/>
                <w:szCs w:val="24"/>
                <w:lang w:eastAsia="en-GB"/>
              </w:rPr>
              <w:t>61%</w:t>
            </w:r>
          </w:p>
        </w:tc>
        <w:tc>
          <w:tcPr>
            <w:tcW w:w="1375" w:type="dxa"/>
            <w:shd w:val="clear" w:color="auto" w:fill="auto"/>
            <w:noWrap/>
            <w:vAlign w:val="bottom"/>
            <w:hideMark/>
          </w:tcPr>
          <w:p w:rsidR="001D6F99" w:rsidRPr="00AE49C8" w:rsidRDefault="001D6F99" w:rsidP="001D6F99">
            <w:pPr>
              <w:spacing w:after="0" w:line="240" w:lineRule="auto"/>
              <w:rPr>
                <w:rFonts w:eastAsia="Times New Roman"/>
                <w:bCs/>
                <w:color w:val="000000"/>
                <w:szCs w:val="24"/>
                <w:lang w:eastAsia="en-GB"/>
              </w:rPr>
            </w:pPr>
            <w:r w:rsidRPr="00AE49C8">
              <w:rPr>
                <w:rFonts w:eastAsia="Times New Roman"/>
                <w:bCs/>
                <w:color w:val="000000"/>
                <w:szCs w:val="24"/>
                <w:lang w:eastAsia="en-GB"/>
              </w:rPr>
              <w:t>53</w:t>
            </w:r>
          </w:p>
        </w:tc>
        <w:tc>
          <w:tcPr>
            <w:tcW w:w="1375" w:type="dxa"/>
            <w:shd w:val="clear" w:color="auto" w:fill="auto"/>
            <w:noWrap/>
            <w:vAlign w:val="bottom"/>
            <w:hideMark/>
          </w:tcPr>
          <w:p w:rsidR="001D6F99" w:rsidRPr="00AE49C8" w:rsidRDefault="001D6F99" w:rsidP="001D6F99">
            <w:pPr>
              <w:spacing w:after="0" w:line="240" w:lineRule="auto"/>
              <w:rPr>
                <w:rFonts w:eastAsia="Times New Roman"/>
                <w:bCs/>
                <w:color w:val="000000"/>
                <w:szCs w:val="24"/>
                <w:lang w:eastAsia="en-GB"/>
              </w:rPr>
            </w:pPr>
            <w:r w:rsidRPr="00AE49C8">
              <w:rPr>
                <w:rFonts w:eastAsia="Times New Roman"/>
                <w:bCs/>
                <w:color w:val="000000"/>
                <w:szCs w:val="24"/>
                <w:lang w:eastAsia="en-GB"/>
              </w:rPr>
              <w:t>100%</w:t>
            </w:r>
          </w:p>
        </w:tc>
        <w:tc>
          <w:tcPr>
            <w:tcW w:w="2150"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p>
        </w:tc>
      </w:tr>
    </w:tbl>
    <w:p w:rsidR="00DD2448" w:rsidRPr="00AE49C8" w:rsidRDefault="00DD2448" w:rsidP="00DD2448">
      <w:pPr>
        <w:rPr>
          <w:b/>
        </w:rPr>
      </w:pPr>
    </w:p>
    <w:p w:rsidR="00DD2448" w:rsidRPr="00AE49C8" w:rsidRDefault="001D6F99" w:rsidP="00DD2448">
      <w:pPr>
        <w:rPr>
          <w:b/>
        </w:rPr>
      </w:pPr>
      <w:r w:rsidRPr="00AE49C8">
        <w:rPr>
          <w:noProof/>
          <w:lang w:eastAsia="en-GB"/>
        </w:rPr>
        <w:drawing>
          <wp:inline distT="0" distB="0" distL="0" distR="0" wp14:anchorId="7E2C11C8" wp14:editId="7BB3112D">
            <wp:extent cx="5731510" cy="2912293"/>
            <wp:effectExtent l="0" t="0" r="2540" b="2540"/>
            <wp:docPr id="287" name="Chart 287" title="Breakdown of grievance and disciplinary process by religion or belief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C92A79" w:rsidRDefault="00C92A79">
      <w:pPr>
        <w:widowControl w:val="0"/>
        <w:rPr>
          <w:b/>
        </w:rPr>
      </w:pPr>
      <w:r>
        <w:rPr>
          <w:b/>
        </w:rPr>
        <w:br w:type="page"/>
      </w:r>
    </w:p>
    <w:p w:rsidR="00DD2448" w:rsidRPr="000D2F61" w:rsidRDefault="00DD2448" w:rsidP="00DD2448">
      <w:r w:rsidRPr="000D2F61">
        <w:lastRenderedPageBreak/>
        <w:t>Observations</w:t>
      </w:r>
    </w:p>
    <w:p w:rsidR="00DD2448" w:rsidRPr="00AE49C8" w:rsidRDefault="00923822" w:rsidP="00923822">
      <w:pPr>
        <w:pStyle w:val="ListParagraph"/>
      </w:pPr>
      <w:r w:rsidRPr="00AE49C8">
        <w:t>In grievance cases, Muslim, Jewish and staff who declined to specify are overrepresented compared to the workforce representation.</w:t>
      </w:r>
    </w:p>
    <w:p w:rsidR="00923822" w:rsidRPr="00AE49C8" w:rsidRDefault="00923822" w:rsidP="00923822">
      <w:pPr>
        <w:pStyle w:val="ListParagraph"/>
      </w:pPr>
      <w:r w:rsidRPr="00AE49C8">
        <w:t>In disciplinary cases, Christians, Muslims and staff where their religion or belief is unknown are overrepresented.</w:t>
      </w:r>
    </w:p>
    <w:p w:rsidR="001D6F99" w:rsidRPr="00AE49C8" w:rsidRDefault="00DD2448" w:rsidP="00923822">
      <w:pPr>
        <w:pStyle w:val="Heading3"/>
      </w:pPr>
      <w:bookmarkStart w:id="72" w:name="_Toc88634019"/>
      <w:r w:rsidRPr="00AE49C8">
        <w:t xml:space="preserve">Leavers broken down by </w:t>
      </w:r>
      <w:r w:rsidR="001D6F99" w:rsidRPr="00AE49C8">
        <w:t>religion or belief</w:t>
      </w:r>
      <w:bookmarkEnd w:id="72"/>
    </w:p>
    <w:p w:rsidR="00DD2448" w:rsidRPr="00AE49C8" w:rsidRDefault="00DD2448" w:rsidP="00DD2448">
      <w:pPr>
        <w:rPr>
          <w:b/>
        </w:rPr>
      </w:pPr>
      <w:r w:rsidRPr="00AE49C8">
        <w:rPr>
          <w:b/>
        </w:rPr>
        <w:t>BSUH</w:t>
      </w:r>
    </w:p>
    <w:tbl>
      <w:tblPr>
        <w:tblW w:w="8661" w:type="dxa"/>
        <w:jc w:val="center"/>
        <w:tblBorders>
          <w:insideH w:val="dotted" w:sz="4" w:space="0" w:color="auto"/>
        </w:tblBorders>
        <w:tblLook w:val="04A0" w:firstRow="1" w:lastRow="0" w:firstColumn="1" w:lastColumn="0" w:noHBand="0" w:noVBand="1"/>
        <w:tblCaption w:val="Leavers brokendown by religion or belief"/>
      </w:tblPr>
      <w:tblGrid>
        <w:gridCol w:w="2000"/>
        <w:gridCol w:w="1840"/>
        <w:gridCol w:w="1987"/>
        <w:gridCol w:w="1559"/>
        <w:gridCol w:w="1403"/>
      </w:tblGrid>
      <w:tr w:rsidR="001D6F99" w:rsidRPr="00AE49C8" w:rsidTr="00AE296C">
        <w:trPr>
          <w:cantSplit/>
          <w:trHeight w:val="312"/>
          <w:tblHeader/>
          <w:jc w:val="center"/>
        </w:trPr>
        <w:tc>
          <w:tcPr>
            <w:tcW w:w="2000" w:type="dxa"/>
            <w:shd w:val="clear" w:color="auto" w:fill="auto"/>
            <w:noWrap/>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Religion or Belief</w:t>
            </w:r>
          </w:p>
        </w:tc>
        <w:tc>
          <w:tcPr>
            <w:tcW w:w="1840" w:type="dxa"/>
            <w:shd w:val="clear" w:color="auto" w:fill="auto"/>
            <w:noWrap/>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BSUH Leavers</w:t>
            </w:r>
          </w:p>
        </w:tc>
        <w:tc>
          <w:tcPr>
            <w:tcW w:w="1987" w:type="dxa"/>
            <w:shd w:val="clear" w:color="auto" w:fill="auto"/>
            <w:noWrap/>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BSUH Leavers (%)</w:t>
            </w:r>
          </w:p>
        </w:tc>
        <w:tc>
          <w:tcPr>
            <w:tcW w:w="1559" w:type="dxa"/>
            <w:shd w:val="clear" w:color="auto" w:fill="auto"/>
            <w:noWrap/>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in Workforce</w:t>
            </w:r>
          </w:p>
        </w:tc>
        <w:tc>
          <w:tcPr>
            <w:tcW w:w="1275" w:type="dxa"/>
            <w:shd w:val="clear" w:color="auto" w:fill="auto"/>
            <w:noWrap/>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 in Workforce</w:t>
            </w:r>
          </w:p>
        </w:tc>
      </w:tr>
      <w:tr w:rsidR="001D6F99" w:rsidRPr="00AE49C8" w:rsidTr="00AE296C">
        <w:trPr>
          <w:cantSplit/>
          <w:trHeight w:val="312"/>
          <w:tblHeader/>
          <w:jc w:val="center"/>
        </w:trPr>
        <w:tc>
          <w:tcPr>
            <w:tcW w:w="200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Atheism</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374</w:t>
            </w:r>
          </w:p>
        </w:tc>
        <w:tc>
          <w:tcPr>
            <w:tcW w:w="198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24.5%</w:t>
            </w:r>
          </w:p>
        </w:tc>
        <w:tc>
          <w:tcPr>
            <w:tcW w:w="15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1846</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20.8%</w:t>
            </w:r>
          </w:p>
        </w:tc>
      </w:tr>
      <w:tr w:rsidR="001D6F99" w:rsidRPr="00AE49C8" w:rsidTr="00AE296C">
        <w:trPr>
          <w:cantSplit/>
          <w:trHeight w:val="312"/>
          <w:tblHeader/>
          <w:jc w:val="center"/>
        </w:trPr>
        <w:tc>
          <w:tcPr>
            <w:tcW w:w="200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Buddhism</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14</w:t>
            </w:r>
          </w:p>
        </w:tc>
        <w:tc>
          <w:tcPr>
            <w:tcW w:w="198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0.9%</w:t>
            </w:r>
          </w:p>
        </w:tc>
        <w:tc>
          <w:tcPr>
            <w:tcW w:w="15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84</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0.9%</w:t>
            </w:r>
          </w:p>
        </w:tc>
      </w:tr>
      <w:tr w:rsidR="001D6F99" w:rsidRPr="00AE49C8" w:rsidTr="00AE296C">
        <w:trPr>
          <w:cantSplit/>
          <w:trHeight w:val="312"/>
          <w:tblHeader/>
          <w:jc w:val="center"/>
        </w:trPr>
        <w:tc>
          <w:tcPr>
            <w:tcW w:w="200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Christianity</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459</w:t>
            </w:r>
          </w:p>
        </w:tc>
        <w:tc>
          <w:tcPr>
            <w:tcW w:w="198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30.1%</w:t>
            </w:r>
          </w:p>
        </w:tc>
        <w:tc>
          <w:tcPr>
            <w:tcW w:w="15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3340</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37.6%</w:t>
            </w:r>
          </w:p>
        </w:tc>
      </w:tr>
      <w:tr w:rsidR="001D6F99" w:rsidRPr="00AE49C8" w:rsidTr="00AE296C">
        <w:trPr>
          <w:cantSplit/>
          <w:trHeight w:val="312"/>
          <w:tblHeader/>
          <w:jc w:val="center"/>
        </w:trPr>
        <w:tc>
          <w:tcPr>
            <w:tcW w:w="200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Hinduism</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28</w:t>
            </w:r>
          </w:p>
        </w:tc>
        <w:tc>
          <w:tcPr>
            <w:tcW w:w="198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1.8%</w:t>
            </w:r>
          </w:p>
        </w:tc>
        <w:tc>
          <w:tcPr>
            <w:tcW w:w="15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164</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1.8%</w:t>
            </w:r>
          </w:p>
        </w:tc>
      </w:tr>
      <w:tr w:rsidR="001D6F99" w:rsidRPr="00AE49C8" w:rsidTr="00AE296C">
        <w:trPr>
          <w:cantSplit/>
          <w:trHeight w:val="312"/>
          <w:tblHeader/>
          <w:jc w:val="center"/>
        </w:trPr>
        <w:tc>
          <w:tcPr>
            <w:tcW w:w="200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Islam</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52</w:t>
            </w:r>
          </w:p>
        </w:tc>
        <w:tc>
          <w:tcPr>
            <w:tcW w:w="198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3.4%</w:t>
            </w:r>
          </w:p>
        </w:tc>
        <w:tc>
          <w:tcPr>
            <w:tcW w:w="15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193</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2.2%</w:t>
            </w:r>
          </w:p>
        </w:tc>
      </w:tr>
      <w:tr w:rsidR="001D6F99" w:rsidRPr="00AE49C8" w:rsidTr="00AE296C">
        <w:trPr>
          <w:cantSplit/>
          <w:trHeight w:val="312"/>
          <w:tblHeader/>
          <w:jc w:val="center"/>
        </w:trPr>
        <w:tc>
          <w:tcPr>
            <w:tcW w:w="200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Jainism</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98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15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1D6F99" w:rsidRPr="00AE49C8" w:rsidTr="00AE296C">
        <w:trPr>
          <w:cantSplit/>
          <w:trHeight w:val="312"/>
          <w:tblHeader/>
          <w:jc w:val="center"/>
        </w:trPr>
        <w:tc>
          <w:tcPr>
            <w:tcW w:w="200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Judaism</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6</w:t>
            </w:r>
          </w:p>
        </w:tc>
        <w:tc>
          <w:tcPr>
            <w:tcW w:w="198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15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18</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0.2%</w:t>
            </w:r>
          </w:p>
        </w:tc>
      </w:tr>
      <w:tr w:rsidR="001D6F99" w:rsidRPr="00AE49C8" w:rsidTr="00AE296C">
        <w:trPr>
          <w:cantSplit/>
          <w:trHeight w:val="312"/>
          <w:tblHeader/>
          <w:jc w:val="center"/>
        </w:trPr>
        <w:tc>
          <w:tcPr>
            <w:tcW w:w="200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122</w:t>
            </w:r>
          </w:p>
        </w:tc>
        <w:tc>
          <w:tcPr>
            <w:tcW w:w="198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8.0%</w:t>
            </w:r>
          </w:p>
        </w:tc>
        <w:tc>
          <w:tcPr>
            <w:tcW w:w="15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870</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9.8%</w:t>
            </w:r>
          </w:p>
        </w:tc>
      </w:tr>
      <w:tr w:rsidR="001D6F99" w:rsidRPr="00AE49C8" w:rsidTr="00AE296C">
        <w:trPr>
          <w:cantSplit/>
          <w:trHeight w:val="312"/>
          <w:tblHeader/>
          <w:jc w:val="center"/>
        </w:trPr>
        <w:tc>
          <w:tcPr>
            <w:tcW w:w="200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Sikhism</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198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0.3%</w:t>
            </w:r>
          </w:p>
        </w:tc>
        <w:tc>
          <w:tcPr>
            <w:tcW w:w="15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11</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0.1%</w:t>
            </w:r>
          </w:p>
        </w:tc>
      </w:tr>
      <w:tr w:rsidR="001D6F99" w:rsidRPr="00AE49C8" w:rsidTr="00AE296C">
        <w:trPr>
          <w:cantSplit/>
          <w:trHeight w:val="312"/>
          <w:tblHeader/>
          <w:jc w:val="center"/>
        </w:trPr>
        <w:tc>
          <w:tcPr>
            <w:tcW w:w="200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355</w:t>
            </w:r>
          </w:p>
        </w:tc>
        <w:tc>
          <w:tcPr>
            <w:tcW w:w="198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23.2%</w:t>
            </w:r>
          </w:p>
        </w:tc>
        <w:tc>
          <w:tcPr>
            <w:tcW w:w="15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1499</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16.9%</w:t>
            </w:r>
          </w:p>
        </w:tc>
      </w:tr>
      <w:tr w:rsidR="001D6F99" w:rsidRPr="00AE49C8" w:rsidTr="00AE296C">
        <w:trPr>
          <w:cantSplit/>
          <w:trHeight w:val="312"/>
          <w:tblHeader/>
          <w:jc w:val="center"/>
        </w:trPr>
        <w:tc>
          <w:tcPr>
            <w:tcW w:w="200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111</w:t>
            </w:r>
          </w:p>
        </w:tc>
        <w:tc>
          <w:tcPr>
            <w:tcW w:w="1987"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7.3%</w:t>
            </w:r>
          </w:p>
        </w:tc>
        <w:tc>
          <w:tcPr>
            <w:tcW w:w="1559"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845</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9.5%</w:t>
            </w:r>
          </w:p>
        </w:tc>
      </w:tr>
      <w:tr w:rsidR="001D6F99" w:rsidRPr="00AE49C8" w:rsidTr="00AE296C">
        <w:trPr>
          <w:cantSplit/>
          <w:trHeight w:val="312"/>
          <w:tblHeader/>
          <w:jc w:val="center"/>
        </w:trPr>
        <w:tc>
          <w:tcPr>
            <w:tcW w:w="2000" w:type="dxa"/>
            <w:shd w:val="clear" w:color="auto" w:fill="auto"/>
            <w:noWrap/>
            <w:vAlign w:val="center"/>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Grand Total</w:t>
            </w:r>
          </w:p>
        </w:tc>
        <w:tc>
          <w:tcPr>
            <w:tcW w:w="1840" w:type="dxa"/>
            <w:shd w:val="clear" w:color="auto" w:fill="auto"/>
            <w:noWrap/>
            <w:vAlign w:val="center"/>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1527</w:t>
            </w:r>
          </w:p>
        </w:tc>
        <w:tc>
          <w:tcPr>
            <w:tcW w:w="1987" w:type="dxa"/>
            <w:shd w:val="clear" w:color="auto" w:fill="auto"/>
            <w:noWrap/>
            <w:vAlign w:val="bottom"/>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559" w:type="dxa"/>
            <w:shd w:val="clear" w:color="auto" w:fill="auto"/>
            <w:noWrap/>
            <w:vAlign w:val="bottom"/>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8873</w:t>
            </w:r>
          </w:p>
        </w:tc>
        <w:tc>
          <w:tcPr>
            <w:tcW w:w="1275" w:type="dxa"/>
            <w:shd w:val="clear" w:color="auto" w:fill="auto"/>
            <w:noWrap/>
            <w:vAlign w:val="bottom"/>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r>
    </w:tbl>
    <w:p w:rsidR="00DD2448" w:rsidRPr="00AE49C8" w:rsidRDefault="00DD2448" w:rsidP="00DD2448">
      <w:pPr>
        <w:rPr>
          <w:b/>
        </w:rPr>
      </w:pPr>
    </w:p>
    <w:p w:rsidR="00DD2448" w:rsidRPr="00AE49C8" w:rsidRDefault="001D6F99" w:rsidP="00DD2448">
      <w:pPr>
        <w:jc w:val="center"/>
        <w:rPr>
          <w:b/>
        </w:rPr>
      </w:pPr>
      <w:r w:rsidRPr="00AE49C8">
        <w:rPr>
          <w:noProof/>
          <w:lang w:eastAsia="en-GB"/>
        </w:rPr>
        <w:drawing>
          <wp:inline distT="0" distB="0" distL="0" distR="0" wp14:anchorId="1FA6E9C1" wp14:editId="61625512">
            <wp:extent cx="5731510" cy="3374610"/>
            <wp:effectExtent l="0" t="0" r="2540" b="0"/>
            <wp:docPr id="288" name="Chart 288" title="Leavers brokendown by religion or belief compared to the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C92A79" w:rsidRDefault="00C92A79">
      <w:pPr>
        <w:widowControl w:val="0"/>
        <w:rPr>
          <w:b/>
        </w:rPr>
      </w:pPr>
      <w:r>
        <w:rPr>
          <w:b/>
        </w:rPr>
        <w:br w:type="page"/>
      </w:r>
    </w:p>
    <w:p w:rsidR="00DD2448" w:rsidRPr="000D2F61" w:rsidRDefault="00DD2448" w:rsidP="00DD2448">
      <w:r w:rsidRPr="000D2F61">
        <w:lastRenderedPageBreak/>
        <w:t>Observations</w:t>
      </w:r>
    </w:p>
    <w:p w:rsidR="00DD2448" w:rsidRPr="00AE49C8" w:rsidRDefault="00F5140B" w:rsidP="00DD2448">
      <w:r w:rsidRPr="00AE49C8">
        <w:t>Compared to the overall workforce representation</w:t>
      </w:r>
    </w:p>
    <w:p w:rsidR="00F5140B" w:rsidRPr="00AE49C8" w:rsidRDefault="00F5140B" w:rsidP="00F5140B">
      <w:pPr>
        <w:pStyle w:val="ListParagraph"/>
      </w:pPr>
      <w:r w:rsidRPr="00AE49C8">
        <w:t>A higher proportion of Atheists, Muslims, Jains, Jewish, Sikhs, and staff who declined to specify their religion or belief have left the organisation.</w:t>
      </w:r>
    </w:p>
    <w:p w:rsidR="00F5140B" w:rsidRPr="00AE49C8" w:rsidRDefault="00F5140B" w:rsidP="00F5140B">
      <w:pPr>
        <w:pStyle w:val="ListParagraph"/>
      </w:pPr>
      <w:r w:rsidRPr="00AE49C8">
        <w:t>A broadly similar proportion of staff that are Buddhist and Hindus have left the organisation.</w:t>
      </w:r>
    </w:p>
    <w:p w:rsidR="00F5140B" w:rsidRPr="00AE49C8" w:rsidRDefault="00F5140B" w:rsidP="00F5140B">
      <w:pPr>
        <w:pStyle w:val="ListParagraph"/>
      </w:pPr>
      <w:r w:rsidRPr="00AE49C8">
        <w:t>A lower proportion of Christian, other (religions or beliefs) or where staff’s religion or belief is unknown has left the organisation.</w:t>
      </w:r>
    </w:p>
    <w:p w:rsidR="00DD2448" w:rsidRPr="00AE49C8" w:rsidRDefault="00DD2448" w:rsidP="00DD2448">
      <w:pPr>
        <w:rPr>
          <w:b/>
        </w:rPr>
      </w:pPr>
      <w:r w:rsidRPr="00AE49C8">
        <w:rPr>
          <w:b/>
        </w:rPr>
        <w:t>WSHT</w:t>
      </w:r>
    </w:p>
    <w:tbl>
      <w:tblPr>
        <w:tblW w:w="9228" w:type="dxa"/>
        <w:jc w:val="center"/>
        <w:tblBorders>
          <w:insideH w:val="dotted" w:sz="4" w:space="0" w:color="auto"/>
        </w:tblBorders>
        <w:tblLook w:val="04A0" w:firstRow="1" w:lastRow="0" w:firstColumn="1" w:lastColumn="0" w:noHBand="0" w:noVBand="1"/>
        <w:tblCaption w:val="Leavers brokendown by religion or belief"/>
      </w:tblPr>
      <w:tblGrid>
        <w:gridCol w:w="2394"/>
        <w:gridCol w:w="1817"/>
        <w:gridCol w:w="1824"/>
        <w:gridCol w:w="1820"/>
        <w:gridCol w:w="1387"/>
      </w:tblGrid>
      <w:tr w:rsidR="001D6F99" w:rsidRPr="00AE49C8" w:rsidTr="00AE296C">
        <w:trPr>
          <w:cantSplit/>
          <w:trHeight w:val="312"/>
          <w:tblHeader/>
          <w:jc w:val="center"/>
        </w:trPr>
        <w:tc>
          <w:tcPr>
            <w:tcW w:w="2425" w:type="dxa"/>
            <w:shd w:val="clear" w:color="auto" w:fill="auto"/>
            <w:noWrap/>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Religion or Belief</w:t>
            </w:r>
          </w:p>
        </w:tc>
        <w:tc>
          <w:tcPr>
            <w:tcW w:w="1840" w:type="dxa"/>
            <w:shd w:val="clear" w:color="auto" w:fill="auto"/>
            <w:noWrap/>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WSHT Leavers</w:t>
            </w:r>
          </w:p>
        </w:tc>
        <w:tc>
          <w:tcPr>
            <w:tcW w:w="1846" w:type="dxa"/>
            <w:shd w:val="clear" w:color="auto" w:fill="auto"/>
            <w:noWrap/>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WSHT Leavers (%)</w:t>
            </w:r>
          </w:p>
        </w:tc>
        <w:tc>
          <w:tcPr>
            <w:tcW w:w="1842" w:type="dxa"/>
            <w:shd w:val="clear" w:color="auto" w:fill="auto"/>
            <w:noWrap/>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in Workforce</w:t>
            </w:r>
          </w:p>
        </w:tc>
        <w:tc>
          <w:tcPr>
            <w:tcW w:w="1275" w:type="dxa"/>
            <w:shd w:val="clear" w:color="auto" w:fill="auto"/>
            <w:noWrap/>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 in Workforce</w:t>
            </w:r>
          </w:p>
        </w:tc>
      </w:tr>
      <w:tr w:rsidR="001D6F99" w:rsidRPr="00AE49C8" w:rsidTr="00AE296C">
        <w:trPr>
          <w:cantSplit/>
          <w:trHeight w:val="312"/>
          <w:tblHeader/>
          <w:jc w:val="center"/>
        </w:trPr>
        <w:tc>
          <w:tcPr>
            <w:tcW w:w="2425"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Atheism</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120</w:t>
            </w:r>
          </w:p>
        </w:tc>
        <w:tc>
          <w:tcPr>
            <w:tcW w:w="1846"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17.6%</w:t>
            </w:r>
          </w:p>
        </w:tc>
        <w:tc>
          <w:tcPr>
            <w:tcW w:w="1842"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1160</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15.4%</w:t>
            </w:r>
          </w:p>
        </w:tc>
      </w:tr>
      <w:tr w:rsidR="001D6F99" w:rsidRPr="00AE49C8" w:rsidTr="00AE296C">
        <w:trPr>
          <w:cantSplit/>
          <w:trHeight w:val="312"/>
          <w:tblHeader/>
          <w:jc w:val="center"/>
        </w:trPr>
        <w:tc>
          <w:tcPr>
            <w:tcW w:w="2425"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Buddhism</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1846"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0.7%</w:t>
            </w:r>
          </w:p>
        </w:tc>
        <w:tc>
          <w:tcPr>
            <w:tcW w:w="1842"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51</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0.7%</w:t>
            </w:r>
          </w:p>
        </w:tc>
      </w:tr>
      <w:tr w:rsidR="001D6F99" w:rsidRPr="00AE49C8" w:rsidTr="00AE296C">
        <w:trPr>
          <w:cantSplit/>
          <w:trHeight w:val="312"/>
          <w:tblHeader/>
          <w:jc w:val="center"/>
        </w:trPr>
        <w:tc>
          <w:tcPr>
            <w:tcW w:w="2425"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Christianity</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291</w:t>
            </w:r>
          </w:p>
        </w:tc>
        <w:tc>
          <w:tcPr>
            <w:tcW w:w="1846"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42.7%</w:t>
            </w:r>
          </w:p>
        </w:tc>
        <w:tc>
          <w:tcPr>
            <w:tcW w:w="1842"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3594</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47.8%</w:t>
            </w:r>
          </w:p>
        </w:tc>
      </w:tr>
      <w:tr w:rsidR="001D6F99" w:rsidRPr="00AE49C8" w:rsidTr="00AE296C">
        <w:trPr>
          <w:cantSplit/>
          <w:trHeight w:val="312"/>
          <w:tblHeader/>
          <w:jc w:val="center"/>
        </w:trPr>
        <w:tc>
          <w:tcPr>
            <w:tcW w:w="2425"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Hinduism</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1846"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842"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130</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1.7%</w:t>
            </w:r>
          </w:p>
        </w:tc>
      </w:tr>
      <w:tr w:rsidR="001D6F99" w:rsidRPr="00AE49C8" w:rsidTr="00AE296C">
        <w:trPr>
          <w:cantSplit/>
          <w:trHeight w:val="312"/>
          <w:tblHeader/>
          <w:jc w:val="center"/>
        </w:trPr>
        <w:tc>
          <w:tcPr>
            <w:tcW w:w="2425"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Islam</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23</w:t>
            </w:r>
          </w:p>
        </w:tc>
        <w:tc>
          <w:tcPr>
            <w:tcW w:w="1846"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3.4%</w:t>
            </w:r>
          </w:p>
        </w:tc>
        <w:tc>
          <w:tcPr>
            <w:tcW w:w="1842"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122</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1.6%</w:t>
            </w:r>
          </w:p>
        </w:tc>
      </w:tr>
      <w:tr w:rsidR="001D6F99" w:rsidRPr="00AE49C8" w:rsidTr="00AE296C">
        <w:trPr>
          <w:cantSplit/>
          <w:trHeight w:val="312"/>
          <w:tblHeader/>
          <w:jc w:val="center"/>
        </w:trPr>
        <w:tc>
          <w:tcPr>
            <w:tcW w:w="2425"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Jainism</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846"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1842"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1D6F99" w:rsidRPr="00AE49C8" w:rsidTr="00AE296C">
        <w:trPr>
          <w:cantSplit/>
          <w:trHeight w:val="312"/>
          <w:tblHeader/>
          <w:jc w:val="center"/>
        </w:trPr>
        <w:tc>
          <w:tcPr>
            <w:tcW w:w="2425"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Judaism</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846"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0.3%</w:t>
            </w:r>
          </w:p>
        </w:tc>
        <w:tc>
          <w:tcPr>
            <w:tcW w:w="1842"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12</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0.2%</w:t>
            </w:r>
          </w:p>
        </w:tc>
      </w:tr>
      <w:tr w:rsidR="001D6F99" w:rsidRPr="00AE49C8" w:rsidTr="00AE296C">
        <w:trPr>
          <w:cantSplit/>
          <w:trHeight w:val="312"/>
          <w:tblHeader/>
          <w:jc w:val="center"/>
        </w:trPr>
        <w:tc>
          <w:tcPr>
            <w:tcW w:w="2425"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Other</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110</w:t>
            </w:r>
          </w:p>
        </w:tc>
        <w:tc>
          <w:tcPr>
            <w:tcW w:w="1846"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16.1%</w:t>
            </w:r>
          </w:p>
        </w:tc>
        <w:tc>
          <w:tcPr>
            <w:tcW w:w="1842"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1037</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13.8%</w:t>
            </w:r>
          </w:p>
        </w:tc>
      </w:tr>
      <w:tr w:rsidR="001D6F99" w:rsidRPr="00AE49C8" w:rsidTr="00AE296C">
        <w:trPr>
          <w:cantSplit/>
          <w:trHeight w:val="312"/>
          <w:tblHeader/>
          <w:jc w:val="center"/>
        </w:trPr>
        <w:tc>
          <w:tcPr>
            <w:tcW w:w="2425"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Sikhism</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846"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0.3%</w:t>
            </w:r>
          </w:p>
        </w:tc>
        <w:tc>
          <w:tcPr>
            <w:tcW w:w="1842"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14</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0.2%</w:t>
            </w:r>
          </w:p>
        </w:tc>
      </w:tr>
      <w:tr w:rsidR="001D6F99" w:rsidRPr="00AE49C8" w:rsidTr="00AE296C">
        <w:trPr>
          <w:cantSplit/>
          <w:trHeight w:val="312"/>
          <w:tblHeader/>
          <w:jc w:val="center"/>
        </w:trPr>
        <w:tc>
          <w:tcPr>
            <w:tcW w:w="2425"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113</w:t>
            </w:r>
          </w:p>
        </w:tc>
        <w:tc>
          <w:tcPr>
            <w:tcW w:w="1846"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16.6%</w:t>
            </w:r>
          </w:p>
        </w:tc>
        <w:tc>
          <w:tcPr>
            <w:tcW w:w="1842"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1351</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18.0%</w:t>
            </w:r>
          </w:p>
        </w:tc>
      </w:tr>
      <w:tr w:rsidR="001D6F99" w:rsidRPr="00AE49C8" w:rsidTr="00AE296C">
        <w:trPr>
          <w:cantSplit/>
          <w:trHeight w:val="312"/>
          <w:tblHeader/>
          <w:jc w:val="center"/>
        </w:trPr>
        <w:tc>
          <w:tcPr>
            <w:tcW w:w="2425"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840" w:type="dxa"/>
            <w:shd w:val="clear" w:color="auto" w:fill="auto"/>
            <w:noWrap/>
            <w:vAlign w:val="center"/>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5</w:t>
            </w:r>
          </w:p>
        </w:tc>
        <w:tc>
          <w:tcPr>
            <w:tcW w:w="1846"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0.7%</w:t>
            </w:r>
          </w:p>
        </w:tc>
        <w:tc>
          <w:tcPr>
            <w:tcW w:w="1842"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48</w:t>
            </w:r>
          </w:p>
        </w:tc>
        <w:tc>
          <w:tcPr>
            <w:tcW w:w="1275" w:type="dxa"/>
            <w:shd w:val="clear" w:color="auto" w:fill="auto"/>
            <w:noWrap/>
            <w:vAlign w:val="bottom"/>
            <w:hideMark/>
          </w:tcPr>
          <w:p w:rsidR="001D6F99" w:rsidRPr="00AE49C8" w:rsidRDefault="001D6F99" w:rsidP="001D6F99">
            <w:pPr>
              <w:spacing w:after="0" w:line="240" w:lineRule="auto"/>
              <w:rPr>
                <w:rFonts w:eastAsia="Times New Roman"/>
                <w:color w:val="000000"/>
                <w:szCs w:val="24"/>
                <w:lang w:eastAsia="en-GB"/>
              </w:rPr>
            </w:pPr>
            <w:r w:rsidRPr="00AE49C8">
              <w:rPr>
                <w:rFonts w:eastAsia="Times New Roman"/>
                <w:color w:val="000000"/>
                <w:szCs w:val="24"/>
                <w:lang w:eastAsia="en-GB"/>
              </w:rPr>
              <w:t>0.6%</w:t>
            </w:r>
          </w:p>
        </w:tc>
      </w:tr>
      <w:tr w:rsidR="001D6F99" w:rsidRPr="00AE49C8" w:rsidTr="00AE296C">
        <w:trPr>
          <w:cantSplit/>
          <w:trHeight w:val="312"/>
          <w:tblHeader/>
          <w:jc w:val="center"/>
        </w:trPr>
        <w:tc>
          <w:tcPr>
            <w:tcW w:w="2425" w:type="dxa"/>
            <w:shd w:val="clear" w:color="auto" w:fill="auto"/>
            <w:noWrap/>
            <w:vAlign w:val="center"/>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Grand Total</w:t>
            </w:r>
          </w:p>
        </w:tc>
        <w:tc>
          <w:tcPr>
            <w:tcW w:w="1840" w:type="dxa"/>
            <w:shd w:val="clear" w:color="auto" w:fill="auto"/>
            <w:noWrap/>
            <w:vAlign w:val="center"/>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682</w:t>
            </w:r>
          </w:p>
        </w:tc>
        <w:tc>
          <w:tcPr>
            <w:tcW w:w="1846" w:type="dxa"/>
            <w:shd w:val="clear" w:color="auto" w:fill="auto"/>
            <w:noWrap/>
            <w:vAlign w:val="bottom"/>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c>
          <w:tcPr>
            <w:tcW w:w="1842" w:type="dxa"/>
            <w:shd w:val="clear" w:color="auto" w:fill="auto"/>
            <w:noWrap/>
            <w:vAlign w:val="bottom"/>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7519</w:t>
            </w:r>
          </w:p>
        </w:tc>
        <w:tc>
          <w:tcPr>
            <w:tcW w:w="1275" w:type="dxa"/>
            <w:shd w:val="clear" w:color="auto" w:fill="auto"/>
            <w:noWrap/>
            <w:vAlign w:val="bottom"/>
            <w:hideMark/>
          </w:tcPr>
          <w:p w:rsidR="001D6F99" w:rsidRPr="00AE49C8" w:rsidRDefault="001D6F99" w:rsidP="001D6F99">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100.0%</w:t>
            </w:r>
          </w:p>
        </w:tc>
      </w:tr>
    </w:tbl>
    <w:p w:rsidR="00DD2448" w:rsidRPr="00AE49C8" w:rsidRDefault="00DD2448" w:rsidP="00DD2448">
      <w:pPr>
        <w:rPr>
          <w:b/>
        </w:rPr>
      </w:pPr>
    </w:p>
    <w:p w:rsidR="00DD2448" w:rsidRPr="00AE49C8" w:rsidRDefault="001D6F99" w:rsidP="00DD2448">
      <w:pPr>
        <w:jc w:val="center"/>
        <w:rPr>
          <w:b/>
        </w:rPr>
      </w:pPr>
      <w:r w:rsidRPr="00AE49C8">
        <w:rPr>
          <w:noProof/>
          <w:lang w:eastAsia="en-GB"/>
        </w:rPr>
        <w:lastRenderedPageBreak/>
        <w:drawing>
          <wp:inline distT="0" distB="0" distL="0" distR="0" wp14:anchorId="14668A14" wp14:editId="3CCBE261">
            <wp:extent cx="5731510" cy="3374610"/>
            <wp:effectExtent l="0" t="0" r="2540" b="0"/>
            <wp:docPr id="289" name="Chart 289" title="Leavers brokendown by religion or belief compared to the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DD2448" w:rsidRPr="000D2F61" w:rsidRDefault="00DD2448" w:rsidP="00DD2448">
      <w:r w:rsidRPr="000D2F61">
        <w:t>Observations</w:t>
      </w:r>
    </w:p>
    <w:p w:rsidR="00DD2448" w:rsidRPr="00AE49C8" w:rsidRDefault="00F5140B" w:rsidP="00DD2448">
      <w:r w:rsidRPr="00AE49C8">
        <w:t>Compared to the overall workforce representation:</w:t>
      </w:r>
    </w:p>
    <w:p w:rsidR="00F5140B" w:rsidRPr="00AE49C8" w:rsidRDefault="00F5140B" w:rsidP="00F5140B">
      <w:pPr>
        <w:pStyle w:val="ListParagraph"/>
      </w:pPr>
      <w:r w:rsidRPr="00AE49C8">
        <w:t>A higher proportion of Atheist, Muslim, Jain, Jewish, other (religions or beliefs), Sikhs and those whose religion or belief is unknown left the organisation.</w:t>
      </w:r>
    </w:p>
    <w:p w:rsidR="00F5140B" w:rsidRPr="00AE49C8" w:rsidRDefault="00F5140B" w:rsidP="00F5140B">
      <w:pPr>
        <w:pStyle w:val="ListParagraph"/>
      </w:pPr>
      <w:r w:rsidRPr="00AE49C8">
        <w:t>A broadly similar proportion of Buddhist staff left the organisation.</w:t>
      </w:r>
    </w:p>
    <w:p w:rsidR="00F5140B" w:rsidRPr="00AE49C8" w:rsidRDefault="00F5140B" w:rsidP="00F5140B">
      <w:pPr>
        <w:pStyle w:val="ListParagraph"/>
      </w:pPr>
      <w:r w:rsidRPr="00AE49C8">
        <w:t>A lower proportion of Christians, Hindus and staff that ‘prefer not to say’ left the organisation.</w:t>
      </w:r>
    </w:p>
    <w:p w:rsidR="001A2AAA" w:rsidRPr="00AE49C8" w:rsidRDefault="001A2AAA" w:rsidP="001A2AAA">
      <w:pPr>
        <w:pStyle w:val="Heading2"/>
        <w:rPr>
          <w:rFonts w:cs="Arial"/>
        </w:rPr>
      </w:pPr>
      <w:bookmarkStart w:id="73" w:name="_Toc88634020"/>
      <w:r w:rsidRPr="00AE49C8">
        <w:rPr>
          <w:rFonts w:cs="Arial"/>
        </w:rPr>
        <w:t>Sexual Orientation</w:t>
      </w:r>
      <w:bookmarkEnd w:id="73"/>
    </w:p>
    <w:p w:rsidR="001A2AAA" w:rsidRPr="00AE49C8" w:rsidRDefault="001A2AAA" w:rsidP="00AB6A68">
      <w:pPr>
        <w:pStyle w:val="Heading3"/>
      </w:pPr>
      <w:bookmarkStart w:id="74" w:name="_Toc88634021"/>
      <w:r w:rsidRPr="00AE49C8">
        <w:t>Representation of st</w:t>
      </w:r>
      <w:r w:rsidR="00AB6A68" w:rsidRPr="00AE49C8">
        <w:t xml:space="preserve">aff within the workforce broken </w:t>
      </w:r>
      <w:r w:rsidRPr="00AE49C8">
        <w:t>down by sexual orientation</w:t>
      </w:r>
      <w:bookmarkEnd w:id="74"/>
    </w:p>
    <w:tbl>
      <w:tblPr>
        <w:tblW w:w="11365" w:type="dxa"/>
        <w:jc w:val="center"/>
        <w:tblLook w:val="04A0" w:firstRow="1" w:lastRow="0" w:firstColumn="1" w:lastColumn="0" w:noHBand="0" w:noVBand="1"/>
        <w:tblCaption w:val="Overall representation of sexual orientation in the workforce"/>
      </w:tblPr>
      <w:tblGrid>
        <w:gridCol w:w="2040"/>
        <w:gridCol w:w="1204"/>
        <w:gridCol w:w="1123"/>
        <w:gridCol w:w="1724"/>
        <w:gridCol w:w="1210"/>
        <w:gridCol w:w="1443"/>
        <w:gridCol w:w="1325"/>
        <w:gridCol w:w="1296"/>
      </w:tblGrid>
      <w:tr w:rsidR="001A2AAA" w:rsidRPr="00AE49C8" w:rsidTr="00775191">
        <w:trPr>
          <w:cantSplit/>
          <w:trHeight w:val="312"/>
          <w:tblHeader/>
          <w:jc w:val="center"/>
        </w:trPr>
        <w:tc>
          <w:tcPr>
            <w:tcW w:w="2040" w:type="dxa"/>
            <w:tcBorders>
              <w:top w:val="nil"/>
              <w:left w:val="nil"/>
              <w:bottom w:val="nil"/>
              <w:right w:val="nil"/>
            </w:tcBorders>
            <w:shd w:val="clear" w:color="auto" w:fill="auto"/>
            <w:noWrap/>
            <w:hideMark/>
          </w:tcPr>
          <w:p w:rsidR="001A2AAA" w:rsidRPr="00AE49C8" w:rsidRDefault="001A2AAA" w:rsidP="00775191">
            <w:pPr>
              <w:spacing w:after="0" w:line="240" w:lineRule="auto"/>
              <w:rPr>
                <w:rFonts w:eastAsia="Times New Roman"/>
                <w:color w:val="000000"/>
                <w:szCs w:val="24"/>
                <w:lang w:eastAsia="en-GB"/>
              </w:rPr>
            </w:pPr>
          </w:p>
        </w:tc>
        <w:tc>
          <w:tcPr>
            <w:tcW w:w="1204" w:type="dxa"/>
            <w:tcBorders>
              <w:top w:val="nil"/>
              <w:left w:val="nil"/>
              <w:bottom w:val="nil"/>
              <w:right w:val="nil"/>
            </w:tcBorders>
            <w:shd w:val="clear" w:color="auto" w:fill="auto"/>
            <w:noWrap/>
            <w:hideMark/>
          </w:tcPr>
          <w:p w:rsidR="001A2AAA" w:rsidRPr="00AE49C8" w:rsidRDefault="001A2AAA" w:rsidP="00775191">
            <w:pPr>
              <w:spacing w:after="0" w:line="240" w:lineRule="auto"/>
              <w:rPr>
                <w:rFonts w:eastAsia="Times New Roman"/>
                <w:b/>
                <w:bCs/>
                <w:color w:val="000000"/>
                <w:szCs w:val="24"/>
                <w:lang w:eastAsia="en-GB"/>
              </w:rPr>
            </w:pPr>
            <w:r w:rsidRPr="00AE49C8">
              <w:rPr>
                <w:rFonts w:eastAsia="Times New Roman"/>
                <w:b/>
                <w:bCs/>
                <w:color w:val="000000"/>
                <w:szCs w:val="24"/>
                <w:lang w:eastAsia="en-GB"/>
              </w:rPr>
              <w:t>Bisexual</w:t>
            </w:r>
          </w:p>
        </w:tc>
        <w:tc>
          <w:tcPr>
            <w:tcW w:w="1123" w:type="dxa"/>
            <w:tcBorders>
              <w:top w:val="nil"/>
              <w:left w:val="nil"/>
              <w:bottom w:val="nil"/>
              <w:right w:val="nil"/>
            </w:tcBorders>
            <w:shd w:val="clear" w:color="auto" w:fill="auto"/>
            <w:noWrap/>
            <w:hideMark/>
          </w:tcPr>
          <w:p w:rsidR="001A2AAA" w:rsidRPr="00AE49C8" w:rsidRDefault="001A2AAA" w:rsidP="00775191">
            <w:pPr>
              <w:spacing w:after="0" w:line="240" w:lineRule="auto"/>
              <w:rPr>
                <w:rFonts w:eastAsia="Times New Roman"/>
                <w:b/>
                <w:bCs/>
                <w:color w:val="000000"/>
                <w:szCs w:val="24"/>
                <w:lang w:eastAsia="en-GB"/>
              </w:rPr>
            </w:pPr>
            <w:r w:rsidRPr="00AE49C8">
              <w:rPr>
                <w:rFonts w:eastAsia="Times New Roman"/>
                <w:b/>
                <w:bCs/>
                <w:color w:val="000000"/>
                <w:szCs w:val="24"/>
                <w:lang w:eastAsia="en-GB"/>
              </w:rPr>
              <w:t>Gay or Lesbian</w:t>
            </w:r>
          </w:p>
        </w:tc>
        <w:tc>
          <w:tcPr>
            <w:tcW w:w="1724" w:type="dxa"/>
            <w:tcBorders>
              <w:top w:val="nil"/>
              <w:left w:val="nil"/>
              <w:bottom w:val="nil"/>
              <w:right w:val="nil"/>
            </w:tcBorders>
            <w:shd w:val="clear" w:color="auto" w:fill="auto"/>
            <w:noWrap/>
            <w:hideMark/>
          </w:tcPr>
          <w:p w:rsidR="001A2AAA" w:rsidRPr="00AE49C8" w:rsidRDefault="001A2AAA" w:rsidP="00775191">
            <w:pPr>
              <w:spacing w:after="0" w:line="240" w:lineRule="auto"/>
              <w:rPr>
                <w:rFonts w:eastAsia="Times New Roman"/>
                <w:b/>
                <w:bCs/>
                <w:color w:val="000000"/>
                <w:szCs w:val="24"/>
                <w:lang w:eastAsia="en-GB"/>
              </w:rPr>
            </w:pPr>
            <w:r w:rsidRPr="00AE49C8">
              <w:rPr>
                <w:rFonts w:eastAsia="Times New Roman"/>
                <w:b/>
                <w:bCs/>
                <w:color w:val="000000"/>
                <w:szCs w:val="24"/>
                <w:lang w:eastAsia="en-GB"/>
              </w:rPr>
              <w:t>Heterosexual or Straight</w:t>
            </w:r>
          </w:p>
        </w:tc>
        <w:tc>
          <w:tcPr>
            <w:tcW w:w="1210" w:type="dxa"/>
            <w:tcBorders>
              <w:top w:val="nil"/>
              <w:left w:val="nil"/>
              <w:bottom w:val="nil"/>
              <w:right w:val="nil"/>
            </w:tcBorders>
            <w:shd w:val="clear" w:color="auto" w:fill="auto"/>
            <w:noWrap/>
            <w:hideMark/>
          </w:tcPr>
          <w:p w:rsidR="001A2AAA" w:rsidRPr="00AE49C8" w:rsidRDefault="001A2AAA" w:rsidP="00775191">
            <w:pPr>
              <w:spacing w:after="0" w:line="240" w:lineRule="auto"/>
              <w:rPr>
                <w:rFonts w:eastAsia="Times New Roman"/>
                <w:b/>
                <w:bCs/>
                <w:color w:val="000000"/>
                <w:szCs w:val="24"/>
                <w:lang w:eastAsia="en-GB"/>
              </w:rPr>
            </w:pPr>
            <w:r w:rsidRPr="00AE49C8">
              <w:rPr>
                <w:rFonts w:eastAsia="Times New Roman"/>
                <w:b/>
                <w:bCs/>
                <w:color w:val="000000"/>
                <w:szCs w:val="24"/>
                <w:lang w:eastAsia="en-GB"/>
              </w:rPr>
              <w:t>Other S/O not listed</w:t>
            </w:r>
          </w:p>
        </w:tc>
        <w:tc>
          <w:tcPr>
            <w:tcW w:w="1443" w:type="dxa"/>
            <w:tcBorders>
              <w:top w:val="nil"/>
              <w:left w:val="nil"/>
              <w:bottom w:val="nil"/>
              <w:right w:val="nil"/>
            </w:tcBorders>
            <w:shd w:val="clear" w:color="auto" w:fill="auto"/>
            <w:noWrap/>
            <w:hideMark/>
          </w:tcPr>
          <w:p w:rsidR="001A2AAA" w:rsidRPr="00AE49C8" w:rsidRDefault="001A2AAA" w:rsidP="00775191">
            <w:pPr>
              <w:spacing w:after="0" w:line="240" w:lineRule="auto"/>
              <w:rPr>
                <w:rFonts w:eastAsia="Times New Roman"/>
                <w:b/>
                <w:bCs/>
                <w:color w:val="000000"/>
                <w:szCs w:val="24"/>
                <w:lang w:eastAsia="en-GB"/>
              </w:rPr>
            </w:pPr>
            <w:r w:rsidRPr="00AE49C8">
              <w:rPr>
                <w:rFonts w:eastAsia="Times New Roman"/>
                <w:b/>
                <w:bCs/>
                <w:color w:val="000000"/>
                <w:szCs w:val="24"/>
                <w:lang w:eastAsia="en-GB"/>
              </w:rPr>
              <w:t>Undecided</w:t>
            </w:r>
          </w:p>
        </w:tc>
        <w:tc>
          <w:tcPr>
            <w:tcW w:w="1325" w:type="dxa"/>
            <w:tcBorders>
              <w:top w:val="nil"/>
              <w:left w:val="nil"/>
              <w:bottom w:val="nil"/>
              <w:right w:val="nil"/>
            </w:tcBorders>
            <w:shd w:val="clear" w:color="auto" w:fill="auto"/>
            <w:noWrap/>
            <w:hideMark/>
          </w:tcPr>
          <w:p w:rsidR="001A2AAA" w:rsidRPr="00AE49C8" w:rsidRDefault="001A2AAA" w:rsidP="00775191">
            <w:pPr>
              <w:spacing w:after="0" w:line="240" w:lineRule="auto"/>
              <w:rPr>
                <w:rFonts w:eastAsia="Times New Roman"/>
                <w:b/>
                <w:bCs/>
                <w:color w:val="000000"/>
                <w:szCs w:val="24"/>
                <w:lang w:eastAsia="en-GB"/>
              </w:rPr>
            </w:pPr>
            <w:r w:rsidRPr="00AE49C8">
              <w:rPr>
                <w:rFonts w:eastAsia="Times New Roman"/>
                <w:b/>
                <w:bCs/>
                <w:color w:val="000000"/>
                <w:szCs w:val="24"/>
                <w:lang w:eastAsia="en-GB"/>
              </w:rPr>
              <w:t>Declined to Specify</w:t>
            </w:r>
          </w:p>
        </w:tc>
        <w:tc>
          <w:tcPr>
            <w:tcW w:w="1296" w:type="dxa"/>
            <w:tcBorders>
              <w:top w:val="nil"/>
              <w:left w:val="nil"/>
              <w:bottom w:val="nil"/>
              <w:right w:val="nil"/>
            </w:tcBorders>
            <w:shd w:val="clear" w:color="auto" w:fill="auto"/>
            <w:noWrap/>
            <w:hideMark/>
          </w:tcPr>
          <w:p w:rsidR="001A2AAA" w:rsidRPr="00AE49C8" w:rsidRDefault="001A2AAA" w:rsidP="00775191">
            <w:pPr>
              <w:spacing w:after="0" w:line="240" w:lineRule="auto"/>
              <w:rPr>
                <w:rFonts w:eastAsia="Times New Roman"/>
                <w:b/>
                <w:bCs/>
                <w:color w:val="000000"/>
                <w:szCs w:val="24"/>
                <w:lang w:eastAsia="en-GB"/>
              </w:rPr>
            </w:pPr>
            <w:r w:rsidRPr="00AE49C8">
              <w:rPr>
                <w:rFonts w:eastAsia="Times New Roman"/>
                <w:b/>
                <w:bCs/>
                <w:color w:val="000000"/>
                <w:szCs w:val="24"/>
                <w:lang w:eastAsia="en-GB"/>
              </w:rPr>
              <w:t>Unknown</w:t>
            </w:r>
          </w:p>
        </w:tc>
      </w:tr>
      <w:tr w:rsidR="001A2AAA" w:rsidRPr="00AE49C8" w:rsidTr="00775191">
        <w:trPr>
          <w:cantSplit/>
          <w:trHeight w:val="312"/>
          <w:tblHeader/>
          <w:jc w:val="center"/>
        </w:trPr>
        <w:tc>
          <w:tcPr>
            <w:tcW w:w="2040" w:type="dxa"/>
            <w:tcBorders>
              <w:top w:val="nil"/>
              <w:left w:val="nil"/>
              <w:bottom w:val="nil"/>
              <w:right w:val="nil"/>
            </w:tcBorders>
            <w:shd w:val="clear" w:color="000000" w:fill="C5D9F1"/>
            <w:noWrap/>
            <w:vAlign w:val="bottom"/>
            <w:hideMark/>
          </w:tcPr>
          <w:p w:rsidR="001A2AAA" w:rsidRPr="00AE49C8" w:rsidRDefault="001A2AAA" w:rsidP="001A2AAA">
            <w:pPr>
              <w:spacing w:after="0" w:line="240" w:lineRule="auto"/>
              <w:rPr>
                <w:rFonts w:eastAsia="Times New Roman"/>
                <w:b/>
                <w:bCs/>
                <w:szCs w:val="24"/>
                <w:lang w:eastAsia="en-GB"/>
              </w:rPr>
            </w:pPr>
            <w:r w:rsidRPr="00AE49C8">
              <w:rPr>
                <w:rFonts w:eastAsia="Times New Roman"/>
                <w:b/>
                <w:bCs/>
                <w:szCs w:val="24"/>
                <w:lang w:eastAsia="en-GB"/>
              </w:rPr>
              <w:t>2019/20 (BSUH)</w:t>
            </w:r>
          </w:p>
        </w:tc>
        <w:tc>
          <w:tcPr>
            <w:tcW w:w="1204" w:type="dxa"/>
            <w:tcBorders>
              <w:top w:val="nil"/>
              <w:left w:val="nil"/>
              <w:bottom w:val="nil"/>
              <w:right w:val="nil"/>
            </w:tcBorders>
            <w:shd w:val="clear" w:color="000000" w:fill="C5D9F1"/>
            <w:noWrap/>
            <w:vAlign w:val="bottom"/>
            <w:hideMark/>
          </w:tcPr>
          <w:p w:rsidR="001A2AAA" w:rsidRPr="00AE49C8" w:rsidRDefault="001A2AAA" w:rsidP="001A2AAA">
            <w:pPr>
              <w:spacing w:after="0" w:line="240" w:lineRule="auto"/>
              <w:rPr>
                <w:rFonts w:eastAsia="Times New Roman"/>
                <w:szCs w:val="24"/>
                <w:lang w:eastAsia="en-GB"/>
              </w:rPr>
            </w:pPr>
            <w:r w:rsidRPr="00AE49C8">
              <w:rPr>
                <w:rFonts w:eastAsia="Times New Roman"/>
                <w:szCs w:val="24"/>
                <w:lang w:eastAsia="en-GB"/>
              </w:rPr>
              <w:t>1.3%</w:t>
            </w:r>
          </w:p>
        </w:tc>
        <w:tc>
          <w:tcPr>
            <w:tcW w:w="1123" w:type="dxa"/>
            <w:tcBorders>
              <w:top w:val="nil"/>
              <w:left w:val="nil"/>
              <w:bottom w:val="nil"/>
              <w:right w:val="nil"/>
            </w:tcBorders>
            <w:shd w:val="clear" w:color="000000" w:fill="C5D9F1"/>
            <w:noWrap/>
            <w:vAlign w:val="bottom"/>
            <w:hideMark/>
          </w:tcPr>
          <w:p w:rsidR="001A2AAA" w:rsidRPr="00AE49C8" w:rsidRDefault="001A2AAA" w:rsidP="001A2AAA">
            <w:pPr>
              <w:spacing w:after="0" w:line="240" w:lineRule="auto"/>
              <w:rPr>
                <w:rFonts w:eastAsia="Times New Roman"/>
                <w:szCs w:val="24"/>
                <w:lang w:eastAsia="en-GB"/>
              </w:rPr>
            </w:pPr>
            <w:r w:rsidRPr="00AE49C8">
              <w:rPr>
                <w:rFonts w:eastAsia="Times New Roman"/>
                <w:szCs w:val="24"/>
                <w:lang w:eastAsia="en-GB"/>
              </w:rPr>
              <w:t>4.2%</w:t>
            </w:r>
          </w:p>
        </w:tc>
        <w:tc>
          <w:tcPr>
            <w:tcW w:w="1724" w:type="dxa"/>
            <w:tcBorders>
              <w:top w:val="nil"/>
              <w:left w:val="nil"/>
              <w:bottom w:val="nil"/>
              <w:right w:val="nil"/>
            </w:tcBorders>
            <w:shd w:val="clear" w:color="000000" w:fill="C5D9F1"/>
            <w:noWrap/>
            <w:vAlign w:val="bottom"/>
            <w:hideMark/>
          </w:tcPr>
          <w:p w:rsidR="001A2AAA" w:rsidRPr="00AE49C8" w:rsidRDefault="001A2AAA" w:rsidP="001A2AAA">
            <w:pPr>
              <w:spacing w:after="0" w:line="240" w:lineRule="auto"/>
              <w:rPr>
                <w:rFonts w:eastAsia="Times New Roman"/>
                <w:szCs w:val="24"/>
                <w:lang w:eastAsia="en-GB"/>
              </w:rPr>
            </w:pPr>
            <w:r w:rsidRPr="00AE49C8">
              <w:rPr>
                <w:rFonts w:eastAsia="Times New Roman"/>
                <w:szCs w:val="24"/>
                <w:lang w:eastAsia="en-GB"/>
              </w:rPr>
              <w:t>69.1%</w:t>
            </w:r>
          </w:p>
        </w:tc>
        <w:tc>
          <w:tcPr>
            <w:tcW w:w="1210" w:type="dxa"/>
            <w:tcBorders>
              <w:top w:val="nil"/>
              <w:left w:val="nil"/>
              <w:bottom w:val="nil"/>
              <w:right w:val="nil"/>
            </w:tcBorders>
            <w:shd w:val="clear" w:color="000000" w:fill="C5D9F1"/>
            <w:noWrap/>
            <w:vAlign w:val="bottom"/>
            <w:hideMark/>
          </w:tcPr>
          <w:p w:rsidR="001A2AAA" w:rsidRPr="00AE49C8" w:rsidRDefault="001A2AAA" w:rsidP="001A2AAA">
            <w:pPr>
              <w:spacing w:after="0" w:line="240" w:lineRule="auto"/>
              <w:rPr>
                <w:rFonts w:eastAsia="Times New Roman"/>
                <w:szCs w:val="24"/>
                <w:lang w:eastAsia="en-GB"/>
              </w:rPr>
            </w:pPr>
            <w:r w:rsidRPr="00AE49C8">
              <w:rPr>
                <w:rFonts w:eastAsia="Times New Roman"/>
                <w:szCs w:val="24"/>
                <w:lang w:eastAsia="en-GB"/>
              </w:rPr>
              <w:t>0.0%</w:t>
            </w:r>
          </w:p>
        </w:tc>
        <w:tc>
          <w:tcPr>
            <w:tcW w:w="1443" w:type="dxa"/>
            <w:tcBorders>
              <w:top w:val="nil"/>
              <w:left w:val="nil"/>
              <w:bottom w:val="nil"/>
              <w:right w:val="nil"/>
            </w:tcBorders>
            <w:shd w:val="clear" w:color="000000" w:fill="C5D9F1"/>
            <w:noWrap/>
            <w:vAlign w:val="bottom"/>
            <w:hideMark/>
          </w:tcPr>
          <w:p w:rsidR="001A2AAA" w:rsidRPr="00AE49C8" w:rsidRDefault="001A2AAA" w:rsidP="001A2AAA">
            <w:pPr>
              <w:spacing w:after="0" w:line="240" w:lineRule="auto"/>
              <w:rPr>
                <w:rFonts w:eastAsia="Times New Roman"/>
                <w:szCs w:val="24"/>
                <w:lang w:eastAsia="en-GB"/>
              </w:rPr>
            </w:pPr>
            <w:r w:rsidRPr="00AE49C8">
              <w:rPr>
                <w:rFonts w:eastAsia="Times New Roman"/>
                <w:szCs w:val="24"/>
                <w:lang w:eastAsia="en-GB"/>
              </w:rPr>
              <w:t>0.0%</w:t>
            </w:r>
          </w:p>
        </w:tc>
        <w:tc>
          <w:tcPr>
            <w:tcW w:w="1325" w:type="dxa"/>
            <w:tcBorders>
              <w:top w:val="nil"/>
              <w:left w:val="nil"/>
              <w:bottom w:val="nil"/>
              <w:right w:val="nil"/>
            </w:tcBorders>
            <w:shd w:val="clear" w:color="000000" w:fill="C5D9F1"/>
            <w:noWrap/>
            <w:vAlign w:val="bottom"/>
            <w:hideMark/>
          </w:tcPr>
          <w:p w:rsidR="001A2AAA" w:rsidRPr="00AE49C8" w:rsidRDefault="001A2AAA" w:rsidP="001A2AAA">
            <w:pPr>
              <w:spacing w:after="0" w:line="240" w:lineRule="auto"/>
              <w:rPr>
                <w:rFonts w:eastAsia="Times New Roman"/>
                <w:szCs w:val="24"/>
                <w:lang w:eastAsia="en-GB"/>
              </w:rPr>
            </w:pPr>
            <w:r w:rsidRPr="00AE49C8">
              <w:rPr>
                <w:rFonts w:eastAsia="Times New Roman"/>
                <w:szCs w:val="24"/>
                <w:lang w:eastAsia="en-GB"/>
              </w:rPr>
              <w:t>14.0%</w:t>
            </w:r>
          </w:p>
        </w:tc>
        <w:tc>
          <w:tcPr>
            <w:tcW w:w="1296" w:type="dxa"/>
            <w:tcBorders>
              <w:top w:val="nil"/>
              <w:left w:val="nil"/>
              <w:bottom w:val="nil"/>
              <w:right w:val="nil"/>
            </w:tcBorders>
            <w:shd w:val="clear" w:color="000000" w:fill="C5D9F1"/>
            <w:noWrap/>
            <w:vAlign w:val="bottom"/>
            <w:hideMark/>
          </w:tcPr>
          <w:p w:rsidR="001A2AAA" w:rsidRPr="00AE49C8" w:rsidRDefault="001A2AAA" w:rsidP="001A2AAA">
            <w:pPr>
              <w:spacing w:after="0" w:line="240" w:lineRule="auto"/>
              <w:rPr>
                <w:rFonts w:eastAsia="Times New Roman"/>
                <w:szCs w:val="24"/>
                <w:lang w:eastAsia="en-GB"/>
              </w:rPr>
            </w:pPr>
            <w:r w:rsidRPr="00AE49C8">
              <w:rPr>
                <w:rFonts w:eastAsia="Times New Roman"/>
                <w:szCs w:val="24"/>
                <w:lang w:eastAsia="en-GB"/>
              </w:rPr>
              <w:t>11.4%</w:t>
            </w:r>
          </w:p>
        </w:tc>
      </w:tr>
      <w:tr w:rsidR="001A2AAA" w:rsidRPr="00AE49C8" w:rsidTr="00775191">
        <w:trPr>
          <w:cantSplit/>
          <w:trHeight w:val="312"/>
          <w:tblHeader/>
          <w:jc w:val="center"/>
        </w:trPr>
        <w:tc>
          <w:tcPr>
            <w:tcW w:w="2040" w:type="dxa"/>
            <w:tcBorders>
              <w:top w:val="nil"/>
              <w:left w:val="nil"/>
              <w:bottom w:val="nil"/>
              <w:right w:val="nil"/>
            </w:tcBorders>
            <w:shd w:val="clear" w:color="000000" w:fill="41B6E6"/>
            <w:noWrap/>
            <w:vAlign w:val="bottom"/>
            <w:hideMark/>
          </w:tcPr>
          <w:p w:rsidR="001A2AAA" w:rsidRPr="00AE49C8" w:rsidRDefault="001A2AAA" w:rsidP="001A2AAA">
            <w:pPr>
              <w:spacing w:after="0" w:line="240" w:lineRule="auto"/>
              <w:rPr>
                <w:rFonts w:eastAsia="Times New Roman"/>
                <w:b/>
                <w:bCs/>
                <w:szCs w:val="24"/>
                <w:lang w:eastAsia="en-GB"/>
              </w:rPr>
            </w:pPr>
            <w:r w:rsidRPr="00AE49C8">
              <w:rPr>
                <w:rFonts w:eastAsia="Times New Roman"/>
                <w:b/>
                <w:bCs/>
                <w:szCs w:val="24"/>
                <w:lang w:eastAsia="en-GB"/>
              </w:rPr>
              <w:t>2020/21 (BSUH)</w:t>
            </w:r>
          </w:p>
        </w:tc>
        <w:tc>
          <w:tcPr>
            <w:tcW w:w="1204" w:type="dxa"/>
            <w:tcBorders>
              <w:top w:val="nil"/>
              <w:left w:val="nil"/>
              <w:bottom w:val="nil"/>
              <w:right w:val="nil"/>
            </w:tcBorders>
            <w:shd w:val="clear" w:color="000000" w:fill="41B6E6"/>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1.9%</w:t>
            </w:r>
          </w:p>
        </w:tc>
        <w:tc>
          <w:tcPr>
            <w:tcW w:w="1123" w:type="dxa"/>
            <w:tcBorders>
              <w:top w:val="nil"/>
              <w:left w:val="nil"/>
              <w:bottom w:val="nil"/>
              <w:right w:val="nil"/>
            </w:tcBorders>
            <w:shd w:val="clear" w:color="000000" w:fill="41B6E6"/>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5.0%</w:t>
            </w:r>
          </w:p>
        </w:tc>
        <w:tc>
          <w:tcPr>
            <w:tcW w:w="1724" w:type="dxa"/>
            <w:tcBorders>
              <w:top w:val="nil"/>
              <w:left w:val="nil"/>
              <w:bottom w:val="nil"/>
              <w:right w:val="nil"/>
            </w:tcBorders>
            <w:shd w:val="clear" w:color="000000" w:fill="41B6E6"/>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72.8%</w:t>
            </w:r>
          </w:p>
        </w:tc>
        <w:tc>
          <w:tcPr>
            <w:tcW w:w="1210" w:type="dxa"/>
            <w:tcBorders>
              <w:top w:val="nil"/>
              <w:left w:val="nil"/>
              <w:bottom w:val="nil"/>
              <w:right w:val="nil"/>
            </w:tcBorders>
            <w:shd w:val="clear" w:color="000000" w:fill="41B6E6"/>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0.2%</w:t>
            </w:r>
          </w:p>
        </w:tc>
        <w:tc>
          <w:tcPr>
            <w:tcW w:w="1443" w:type="dxa"/>
            <w:tcBorders>
              <w:top w:val="nil"/>
              <w:left w:val="nil"/>
              <w:bottom w:val="nil"/>
              <w:right w:val="nil"/>
            </w:tcBorders>
            <w:shd w:val="clear" w:color="000000" w:fill="41B6E6"/>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1325" w:type="dxa"/>
            <w:tcBorders>
              <w:top w:val="nil"/>
              <w:left w:val="nil"/>
              <w:bottom w:val="nil"/>
              <w:right w:val="nil"/>
            </w:tcBorders>
            <w:shd w:val="clear" w:color="000000" w:fill="41B6E6"/>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12.3%</w:t>
            </w:r>
          </w:p>
        </w:tc>
        <w:tc>
          <w:tcPr>
            <w:tcW w:w="1296" w:type="dxa"/>
            <w:tcBorders>
              <w:top w:val="nil"/>
              <w:left w:val="nil"/>
              <w:bottom w:val="nil"/>
              <w:right w:val="nil"/>
            </w:tcBorders>
            <w:shd w:val="clear" w:color="000000" w:fill="41B6E6"/>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7.7%</w:t>
            </w:r>
          </w:p>
        </w:tc>
      </w:tr>
      <w:tr w:rsidR="001A2AAA" w:rsidRPr="00AE49C8" w:rsidTr="00775191">
        <w:trPr>
          <w:cantSplit/>
          <w:trHeight w:val="312"/>
          <w:tblHeader/>
          <w:jc w:val="center"/>
        </w:trPr>
        <w:tc>
          <w:tcPr>
            <w:tcW w:w="2040" w:type="dxa"/>
            <w:tcBorders>
              <w:top w:val="nil"/>
              <w:left w:val="nil"/>
              <w:bottom w:val="nil"/>
              <w:right w:val="nil"/>
            </w:tcBorders>
            <w:shd w:val="clear" w:color="000000" w:fill="D8E4BC"/>
            <w:noWrap/>
            <w:vAlign w:val="bottom"/>
            <w:hideMark/>
          </w:tcPr>
          <w:p w:rsidR="001A2AAA" w:rsidRPr="00AE49C8" w:rsidRDefault="001A2AAA" w:rsidP="001A2AAA">
            <w:pPr>
              <w:spacing w:after="0" w:line="240" w:lineRule="auto"/>
              <w:rPr>
                <w:rFonts w:eastAsia="Times New Roman"/>
                <w:b/>
                <w:bCs/>
                <w:szCs w:val="24"/>
                <w:lang w:eastAsia="en-GB"/>
              </w:rPr>
            </w:pPr>
            <w:r w:rsidRPr="00AE49C8">
              <w:rPr>
                <w:rFonts w:eastAsia="Times New Roman"/>
                <w:b/>
                <w:bCs/>
                <w:szCs w:val="24"/>
                <w:lang w:eastAsia="en-GB"/>
              </w:rPr>
              <w:t>2019/20 (WSHT)</w:t>
            </w:r>
          </w:p>
        </w:tc>
        <w:tc>
          <w:tcPr>
            <w:tcW w:w="1204" w:type="dxa"/>
            <w:tcBorders>
              <w:top w:val="nil"/>
              <w:left w:val="nil"/>
              <w:bottom w:val="nil"/>
              <w:right w:val="nil"/>
            </w:tcBorders>
            <w:shd w:val="clear" w:color="000000" w:fill="D8E4BC"/>
            <w:noWrap/>
            <w:vAlign w:val="bottom"/>
            <w:hideMark/>
          </w:tcPr>
          <w:p w:rsidR="001A2AAA" w:rsidRPr="00AE49C8" w:rsidRDefault="001A2AAA" w:rsidP="001A2AAA">
            <w:pPr>
              <w:spacing w:after="0" w:line="240" w:lineRule="auto"/>
              <w:rPr>
                <w:rFonts w:eastAsia="Times New Roman"/>
                <w:szCs w:val="24"/>
                <w:lang w:eastAsia="en-GB"/>
              </w:rPr>
            </w:pPr>
            <w:r w:rsidRPr="00AE49C8">
              <w:rPr>
                <w:rFonts w:eastAsia="Times New Roman"/>
                <w:szCs w:val="24"/>
                <w:lang w:eastAsia="en-GB"/>
              </w:rPr>
              <w:t>0.9%</w:t>
            </w:r>
          </w:p>
        </w:tc>
        <w:tc>
          <w:tcPr>
            <w:tcW w:w="1123" w:type="dxa"/>
            <w:tcBorders>
              <w:top w:val="nil"/>
              <w:left w:val="nil"/>
              <w:bottom w:val="nil"/>
              <w:right w:val="nil"/>
            </w:tcBorders>
            <w:shd w:val="clear" w:color="000000" w:fill="D8E4BC"/>
            <w:noWrap/>
            <w:vAlign w:val="bottom"/>
            <w:hideMark/>
          </w:tcPr>
          <w:p w:rsidR="001A2AAA" w:rsidRPr="00AE49C8" w:rsidRDefault="001A2AAA" w:rsidP="001A2AAA">
            <w:pPr>
              <w:spacing w:after="0" w:line="240" w:lineRule="auto"/>
              <w:rPr>
                <w:rFonts w:eastAsia="Times New Roman"/>
                <w:szCs w:val="24"/>
                <w:lang w:eastAsia="en-GB"/>
              </w:rPr>
            </w:pPr>
            <w:r w:rsidRPr="00AE49C8">
              <w:rPr>
                <w:rFonts w:eastAsia="Times New Roman"/>
                <w:szCs w:val="24"/>
                <w:lang w:eastAsia="en-GB"/>
              </w:rPr>
              <w:t>1.5%</w:t>
            </w:r>
          </w:p>
        </w:tc>
        <w:tc>
          <w:tcPr>
            <w:tcW w:w="1724" w:type="dxa"/>
            <w:tcBorders>
              <w:top w:val="nil"/>
              <w:left w:val="nil"/>
              <w:bottom w:val="nil"/>
              <w:right w:val="nil"/>
            </w:tcBorders>
            <w:shd w:val="clear" w:color="000000" w:fill="D8E4BC"/>
            <w:noWrap/>
            <w:vAlign w:val="bottom"/>
            <w:hideMark/>
          </w:tcPr>
          <w:p w:rsidR="001A2AAA" w:rsidRPr="00AE49C8" w:rsidRDefault="001A2AAA" w:rsidP="001A2AAA">
            <w:pPr>
              <w:spacing w:after="0" w:line="240" w:lineRule="auto"/>
              <w:rPr>
                <w:rFonts w:eastAsia="Times New Roman"/>
                <w:szCs w:val="24"/>
                <w:lang w:eastAsia="en-GB"/>
              </w:rPr>
            </w:pPr>
            <w:r w:rsidRPr="00AE49C8">
              <w:rPr>
                <w:rFonts w:eastAsia="Times New Roman"/>
                <w:szCs w:val="24"/>
                <w:lang w:eastAsia="en-GB"/>
              </w:rPr>
              <w:t>75.3%</w:t>
            </w:r>
          </w:p>
        </w:tc>
        <w:tc>
          <w:tcPr>
            <w:tcW w:w="1210" w:type="dxa"/>
            <w:tcBorders>
              <w:top w:val="nil"/>
              <w:left w:val="nil"/>
              <w:bottom w:val="nil"/>
              <w:right w:val="nil"/>
            </w:tcBorders>
            <w:shd w:val="clear" w:color="000000" w:fill="D8E4BC"/>
            <w:noWrap/>
            <w:vAlign w:val="bottom"/>
            <w:hideMark/>
          </w:tcPr>
          <w:p w:rsidR="001A2AAA" w:rsidRPr="00AE49C8" w:rsidRDefault="001A2AAA" w:rsidP="001A2AAA">
            <w:pPr>
              <w:spacing w:after="0" w:line="240" w:lineRule="auto"/>
              <w:rPr>
                <w:rFonts w:eastAsia="Times New Roman"/>
                <w:szCs w:val="24"/>
                <w:lang w:eastAsia="en-GB"/>
              </w:rPr>
            </w:pPr>
            <w:r w:rsidRPr="00AE49C8">
              <w:rPr>
                <w:rFonts w:eastAsia="Times New Roman"/>
                <w:szCs w:val="24"/>
                <w:lang w:eastAsia="en-GB"/>
              </w:rPr>
              <w:t>0.0%</w:t>
            </w:r>
          </w:p>
        </w:tc>
        <w:tc>
          <w:tcPr>
            <w:tcW w:w="1443" w:type="dxa"/>
            <w:tcBorders>
              <w:top w:val="nil"/>
              <w:left w:val="nil"/>
              <w:bottom w:val="nil"/>
              <w:right w:val="nil"/>
            </w:tcBorders>
            <w:shd w:val="clear" w:color="000000" w:fill="D8E4BC"/>
            <w:noWrap/>
            <w:vAlign w:val="bottom"/>
            <w:hideMark/>
          </w:tcPr>
          <w:p w:rsidR="001A2AAA" w:rsidRPr="00AE49C8" w:rsidRDefault="001A2AAA" w:rsidP="001A2AAA">
            <w:pPr>
              <w:spacing w:after="0" w:line="240" w:lineRule="auto"/>
              <w:rPr>
                <w:rFonts w:eastAsia="Times New Roman"/>
                <w:szCs w:val="24"/>
                <w:lang w:eastAsia="en-GB"/>
              </w:rPr>
            </w:pPr>
            <w:r w:rsidRPr="00AE49C8">
              <w:rPr>
                <w:rFonts w:eastAsia="Times New Roman"/>
                <w:szCs w:val="24"/>
                <w:lang w:eastAsia="en-GB"/>
              </w:rPr>
              <w:t>0.0%</w:t>
            </w:r>
          </w:p>
        </w:tc>
        <w:tc>
          <w:tcPr>
            <w:tcW w:w="1325" w:type="dxa"/>
            <w:tcBorders>
              <w:top w:val="nil"/>
              <w:left w:val="nil"/>
              <w:bottom w:val="nil"/>
              <w:right w:val="nil"/>
            </w:tcBorders>
            <w:shd w:val="clear" w:color="000000" w:fill="D8E4BC"/>
            <w:noWrap/>
            <w:vAlign w:val="bottom"/>
            <w:hideMark/>
          </w:tcPr>
          <w:p w:rsidR="001A2AAA" w:rsidRPr="00AE49C8" w:rsidRDefault="001A2AAA" w:rsidP="001A2AAA">
            <w:pPr>
              <w:spacing w:after="0" w:line="240" w:lineRule="auto"/>
              <w:rPr>
                <w:rFonts w:eastAsia="Times New Roman"/>
                <w:szCs w:val="24"/>
                <w:lang w:eastAsia="en-GB"/>
              </w:rPr>
            </w:pPr>
            <w:r w:rsidRPr="00AE49C8">
              <w:rPr>
                <w:rFonts w:eastAsia="Times New Roman"/>
                <w:szCs w:val="24"/>
                <w:lang w:eastAsia="en-GB"/>
              </w:rPr>
              <w:t>21.5%</w:t>
            </w:r>
          </w:p>
        </w:tc>
        <w:tc>
          <w:tcPr>
            <w:tcW w:w="1296" w:type="dxa"/>
            <w:tcBorders>
              <w:top w:val="nil"/>
              <w:left w:val="nil"/>
              <w:bottom w:val="nil"/>
              <w:right w:val="nil"/>
            </w:tcBorders>
            <w:shd w:val="clear" w:color="000000" w:fill="D8E4BC"/>
            <w:noWrap/>
            <w:vAlign w:val="bottom"/>
            <w:hideMark/>
          </w:tcPr>
          <w:p w:rsidR="001A2AAA" w:rsidRPr="00AE49C8" w:rsidRDefault="001A2AAA" w:rsidP="001A2AAA">
            <w:pPr>
              <w:spacing w:after="0" w:line="240" w:lineRule="auto"/>
              <w:rPr>
                <w:rFonts w:eastAsia="Times New Roman"/>
                <w:szCs w:val="24"/>
                <w:lang w:eastAsia="en-GB"/>
              </w:rPr>
            </w:pPr>
            <w:r w:rsidRPr="00AE49C8">
              <w:rPr>
                <w:rFonts w:eastAsia="Times New Roman"/>
                <w:szCs w:val="24"/>
                <w:lang w:eastAsia="en-GB"/>
              </w:rPr>
              <w:t>0.8%</w:t>
            </w:r>
          </w:p>
        </w:tc>
      </w:tr>
      <w:tr w:rsidR="001A2AAA" w:rsidRPr="00AE49C8" w:rsidTr="00775191">
        <w:trPr>
          <w:cantSplit/>
          <w:trHeight w:val="312"/>
          <w:tblHeader/>
          <w:jc w:val="center"/>
        </w:trPr>
        <w:tc>
          <w:tcPr>
            <w:tcW w:w="2040" w:type="dxa"/>
            <w:tcBorders>
              <w:top w:val="nil"/>
              <w:left w:val="nil"/>
              <w:bottom w:val="nil"/>
              <w:right w:val="nil"/>
            </w:tcBorders>
            <w:shd w:val="clear" w:color="000000" w:fill="009639"/>
            <w:noWrap/>
            <w:vAlign w:val="bottom"/>
            <w:hideMark/>
          </w:tcPr>
          <w:p w:rsidR="001A2AAA" w:rsidRPr="00AE49C8" w:rsidRDefault="001A2AAA" w:rsidP="001A2AAA">
            <w:pPr>
              <w:spacing w:after="0" w:line="240" w:lineRule="auto"/>
              <w:rPr>
                <w:rFonts w:eastAsia="Times New Roman"/>
                <w:b/>
                <w:bCs/>
                <w:color w:val="FFFFFF"/>
                <w:szCs w:val="24"/>
                <w:lang w:eastAsia="en-GB"/>
              </w:rPr>
            </w:pPr>
            <w:r w:rsidRPr="00AE49C8">
              <w:rPr>
                <w:rFonts w:eastAsia="Times New Roman"/>
                <w:b/>
                <w:bCs/>
                <w:color w:val="FFFFFF"/>
                <w:szCs w:val="24"/>
                <w:lang w:eastAsia="en-GB"/>
              </w:rPr>
              <w:t>2020/21 (WSHT)</w:t>
            </w:r>
          </w:p>
        </w:tc>
        <w:tc>
          <w:tcPr>
            <w:tcW w:w="1204" w:type="dxa"/>
            <w:tcBorders>
              <w:top w:val="nil"/>
              <w:left w:val="nil"/>
              <w:bottom w:val="nil"/>
              <w:right w:val="nil"/>
            </w:tcBorders>
            <w:shd w:val="clear" w:color="000000" w:fill="009639"/>
            <w:noWrap/>
            <w:vAlign w:val="bottom"/>
            <w:hideMark/>
          </w:tcPr>
          <w:p w:rsidR="001A2AAA" w:rsidRPr="00AE49C8" w:rsidRDefault="001A2AAA" w:rsidP="001A2AAA">
            <w:pPr>
              <w:spacing w:after="0" w:line="240" w:lineRule="auto"/>
              <w:rPr>
                <w:rFonts w:eastAsia="Times New Roman"/>
                <w:color w:val="FFFFFF"/>
                <w:szCs w:val="24"/>
                <w:lang w:eastAsia="en-GB"/>
              </w:rPr>
            </w:pPr>
            <w:r w:rsidRPr="00AE49C8">
              <w:rPr>
                <w:rFonts w:eastAsia="Times New Roman"/>
                <w:color w:val="FFFFFF"/>
                <w:szCs w:val="24"/>
                <w:lang w:eastAsia="en-GB"/>
              </w:rPr>
              <w:t>0.9%</w:t>
            </w:r>
          </w:p>
        </w:tc>
        <w:tc>
          <w:tcPr>
            <w:tcW w:w="1123" w:type="dxa"/>
            <w:tcBorders>
              <w:top w:val="nil"/>
              <w:left w:val="nil"/>
              <w:bottom w:val="nil"/>
              <w:right w:val="nil"/>
            </w:tcBorders>
            <w:shd w:val="clear" w:color="000000" w:fill="009639"/>
            <w:noWrap/>
            <w:vAlign w:val="bottom"/>
            <w:hideMark/>
          </w:tcPr>
          <w:p w:rsidR="001A2AAA" w:rsidRPr="00AE49C8" w:rsidRDefault="001A2AAA" w:rsidP="001A2AAA">
            <w:pPr>
              <w:spacing w:after="0" w:line="240" w:lineRule="auto"/>
              <w:rPr>
                <w:rFonts w:eastAsia="Times New Roman"/>
                <w:color w:val="FFFFFF"/>
                <w:szCs w:val="24"/>
                <w:lang w:eastAsia="en-GB"/>
              </w:rPr>
            </w:pPr>
            <w:r w:rsidRPr="00AE49C8">
              <w:rPr>
                <w:rFonts w:eastAsia="Times New Roman"/>
                <w:color w:val="FFFFFF"/>
                <w:szCs w:val="24"/>
                <w:lang w:eastAsia="en-GB"/>
              </w:rPr>
              <w:t>1.6%</w:t>
            </w:r>
          </w:p>
        </w:tc>
        <w:tc>
          <w:tcPr>
            <w:tcW w:w="1724" w:type="dxa"/>
            <w:tcBorders>
              <w:top w:val="nil"/>
              <w:left w:val="nil"/>
              <w:bottom w:val="nil"/>
              <w:right w:val="nil"/>
            </w:tcBorders>
            <w:shd w:val="clear" w:color="000000" w:fill="009639"/>
            <w:noWrap/>
            <w:vAlign w:val="bottom"/>
            <w:hideMark/>
          </w:tcPr>
          <w:p w:rsidR="001A2AAA" w:rsidRPr="00AE49C8" w:rsidRDefault="001A2AAA" w:rsidP="001A2AAA">
            <w:pPr>
              <w:spacing w:after="0" w:line="240" w:lineRule="auto"/>
              <w:rPr>
                <w:rFonts w:eastAsia="Times New Roman"/>
                <w:color w:val="FFFFFF"/>
                <w:szCs w:val="24"/>
                <w:lang w:eastAsia="en-GB"/>
              </w:rPr>
            </w:pPr>
            <w:r w:rsidRPr="00AE49C8">
              <w:rPr>
                <w:rFonts w:eastAsia="Times New Roman"/>
                <w:color w:val="FFFFFF"/>
                <w:szCs w:val="24"/>
                <w:lang w:eastAsia="en-GB"/>
              </w:rPr>
              <w:t>76.9%</w:t>
            </w:r>
          </w:p>
        </w:tc>
        <w:tc>
          <w:tcPr>
            <w:tcW w:w="1210" w:type="dxa"/>
            <w:tcBorders>
              <w:top w:val="nil"/>
              <w:left w:val="nil"/>
              <w:bottom w:val="nil"/>
              <w:right w:val="nil"/>
            </w:tcBorders>
            <w:shd w:val="clear" w:color="000000" w:fill="009639"/>
            <w:noWrap/>
            <w:vAlign w:val="bottom"/>
            <w:hideMark/>
          </w:tcPr>
          <w:p w:rsidR="001A2AAA" w:rsidRPr="00AE49C8" w:rsidRDefault="001A2AAA" w:rsidP="001A2AAA">
            <w:pPr>
              <w:spacing w:after="0" w:line="240" w:lineRule="auto"/>
              <w:rPr>
                <w:rFonts w:eastAsia="Times New Roman"/>
                <w:color w:val="FFFFFF"/>
                <w:szCs w:val="24"/>
                <w:lang w:eastAsia="en-GB"/>
              </w:rPr>
            </w:pPr>
            <w:r w:rsidRPr="00AE49C8">
              <w:rPr>
                <w:rFonts w:eastAsia="Times New Roman"/>
                <w:color w:val="FFFFFF"/>
                <w:szCs w:val="24"/>
                <w:lang w:eastAsia="en-GB"/>
              </w:rPr>
              <w:t>0.0%</w:t>
            </w:r>
          </w:p>
        </w:tc>
        <w:tc>
          <w:tcPr>
            <w:tcW w:w="1443" w:type="dxa"/>
            <w:tcBorders>
              <w:top w:val="nil"/>
              <w:left w:val="nil"/>
              <w:bottom w:val="nil"/>
              <w:right w:val="nil"/>
            </w:tcBorders>
            <w:shd w:val="clear" w:color="000000" w:fill="009639"/>
            <w:noWrap/>
            <w:vAlign w:val="bottom"/>
            <w:hideMark/>
          </w:tcPr>
          <w:p w:rsidR="001A2AAA" w:rsidRPr="00AE49C8" w:rsidRDefault="001A2AAA" w:rsidP="001A2AAA">
            <w:pPr>
              <w:spacing w:after="0" w:line="240" w:lineRule="auto"/>
              <w:rPr>
                <w:rFonts w:eastAsia="Times New Roman"/>
                <w:color w:val="FFFFFF"/>
                <w:szCs w:val="24"/>
                <w:lang w:eastAsia="en-GB"/>
              </w:rPr>
            </w:pPr>
            <w:r w:rsidRPr="00AE49C8">
              <w:rPr>
                <w:rFonts w:eastAsia="Times New Roman"/>
                <w:color w:val="FFFFFF"/>
                <w:szCs w:val="24"/>
                <w:lang w:eastAsia="en-GB"/>
              </w:rPr>
              <w:t>0.0%</w:t>
            </w:r>
          </w:p>
        </w:tc>
        <w:tc>
          <w:tcPr>
            <w:tcW w:w="1325" w:type="dxa"/>
            <w:tcBorders>
              <w:top w:val="nil"/>
              <w:left w:val="nil"/>
              <w:bottom w:val="nil"/>
              <w:right w:val="nil"/>
            </w:tcBorders>
            <w:shd w:val="clear" w:color="000000" w:fill="009639"/>
            <w:noWrap/>
            <w:vAlign w:val="bottom"/>
            <w:hideMark/>
          </w:tcPr>
          <w:p w:rsidR="001A2AAA" w:rsidRPr="00AE49C8" w:rsidRDefault="001A2AAA" w:rsidP="001A2AAA">
            <w:pPr>
              <w:spacing w:after="0" w:line="240" w:lineRule="auto"/>
              <w:rPr>
                <w:rFonts w:eastAsia="Times New Roman"/>
                <w:color w:val="FFFFFF"/>
                <w:szCs w:val="24"/>
                <w:lang w:eastAsia="en-GB"/>
              </w:rPr>
            </w:pPr>
            <w:r w:rsidRPr="00AE49C8">
              <w:rPr>
                <w:rFonts w:eastAsia="Times New Roman"/>
                <w:color w:val="FFFFFF"/>
                <w:szCs w:val="24"/>
                <w:lang w:eastAsia="en-GB"/>
              </w:rPr>
              <w:t>19.9%</w:t>
            </w:r>
          </w:p>
        </w:tc>
        <w:tc>
          <w:tcPr>
            <w:tcW w:w="1296" w:type="dxa"/>
            <w:tcBorders>
              <w:top w:val="nil"/>
              <w:left w:val="nil"/>
              <w:bottom w:val="nil"/>
              <w:right w:val="nil"/>
            </w:tcBorders>
            <w:shd w:val="clear" w:color="000000" w:fill="009639"/>
            <w:noWrap/>
            <w:vAlign w:val="bottom"/>
            <w:hideMark/>
          </w:tcPr>
          <w:p w:rsidR="001A2AAA" w:rsidRPr="00AE49C8" w:rsidRDefault="001A2AAA" w:rsidP="001A2AAA">
            <w:pPr>
              <w:spacing w:after="0" w:line="240" w:lineRule="auto"/>
              <w:rPr>
                <w:rFonts w:eastAsia="Times New Roman"/>
                <w:color w:val="FFFFFF"/>
                <w:szCs w:val="24"/>
                <w:lang w:eastAsia="en-GB"/>
              </w:rPr>
            </w:pPr>
            <w:r w:rsidRPr="00AE49C8">
              <w:rPr>
                <w:rFonts w:eastAsia="Times New Roman"/>
                <w:color w:val="FFFFFF"/>
                <w:szCs w:val="24"/>
                <w:lang w:eastAsia="en-GB"/>
              </w:rPr>
              <w:t>0.7%</w:t>
            </w:r>
          </w:p>
        </w:tc>
      </w:tr>
    </w:tbl>
    <w:p w:rsidR="001A2AAA" w:rsidRPr="00AE49C8" w:rsidRDefault="001A2AAA" w:rsidP="001A2AAA">
      <w:pPr>
        <w:rPr>
          <w:b/>
        </w:rPr>
      </w:pPr>
    </w:p>
    <w:p w:rsidR="001A2AAA" w:rsidRPr="00AE49C8" w:rsidRDefault="001A2AAA" w:rsidP="001A2AAA">
      <w:pPr>
        <w:rPr>
          <w:b/>
        </w:rPr>
      </w:pPr>
    </w:p>
    <w:p w:rsidR="001A2AAA" w:rsidRPr="00AE49C8" w:rsidRDefault="001A2AAA" w:rsidP="001A2AAA">
      <w:pPr>
        <w:jc w:val="center"/>
        <w:rPr>
          <w:b/>
        </w:rPr>
      </w:pPr>
      <w:r w:rsidRPr="00AE49C8">
        <w:rPr>
          <w:noProof/>
          <w:lang w:eastAsia="en-GB"/>
        </w:rPr>
        <w:lastRenderedPageBreak/>
        <w:drawing>
          <wp:inline distT="0" distB="0" distL="0" distR="0" wp14:anchorId="74B87728" wp14:editId="63C02427">
            <wp:extent cx="5731510" cy="3192745"/>
            <wp:effectExtent l="0" t="0" r="2540" b="8255"/>
            <wp:docPr id="301" name="Chart 301" title="Overall representation of sexual orientation in the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A2AAA" w:rsidRPr="000D2F61" w:rsidRDefault="001A2AAA" w:rsidP="001A2AAA">
      <w:r w:rsidRPr="000D2F61">
        <w:t>Observations:</w:t>
      </w:r>
    </w:p>
    <w:p w:rsidR="00AB6A68" w:rsidRPr="00AE49C8" w:rsidRDefault="00AB6A68" w:rsidP="00AB6A68">
      <w:pPr>
        <w:pStyle w:val="ListParagraph"/>
      </w:pPr>
      <w:r w:rsidRPr="00AE49C8">
        <w:t xml:space="preserve">BSUH workforce: There has been an increase in all declared sexual orientations compared to the previous year.  There has also been a decrease in </w:t>
      </w:r>
      <w:r w:rsidR="000D2F61">
        <w:t xml:space="preserve">staff that have </w:t>
      </w:r>
      <w:r w:rsidRPr="00AE49C8">
        <w:t xml:space="preserve">declined </w:t>
      </w:r>
      <w:r w:rsidR="000D2F61">
        <w:t>in</w:t>
      </w:r>
      <w:r w:rsidRPr="00AE49C8">
        <w:t xml:space="preserve"> specify</w:t>
      </w:r>
      <w:r w:rsidR="000D2F61">
        <w:t>ing</w:t>
      </w:r>
      <w:r w:rsidRPr="00AE49C8">
        <w:t xml:space="preserve"> and unknown statuses.</w:t>
      </w:r>
    </w:p>
    <w:p w:rsidR="00AB6A68" w:rsidRPr="00AE49C8" w:rsidRDefault="00AB6A68" w:rsidP="00AB6A68">
      <w:pPr>
        <w:pStyle w:val="ListParagraph"/>
      </w:pPr>
      <w:r w:rsidRPr="00AE49C8">
        <w:t>WSHT workforce: compared to the previous year, there has been an increase in gay or lesbian, heterosexual, declined to specify and unknown statuses.  There is the same proportion of bisexuals, other sexual orientations and undecided statuses.</w:t>
      </w:r>
    </w:p>
    <w:p w:rsidR="00AB6A68" w:rsidRPr="00AE49C8" w:rsidRDefault="001A2AAA" w:rsidP="00AB6A68">
      <w:pPr>
        <w:pStyle w:val="Heading3"/>
      </w:pPr>
      <w:bookmarkStart w:id="75" w:name="_Toc88634022"/>
      <w:r w:rsidRPr="00AE49C8">
        <w:t>Breakdown of sexual orientation belief by pay banding</w:t>
      </w:r>
      <w:bookmarkEnd w:id="75"/>
    </w:p>
    <w:p w:rsidR="001A2AAA" w:rsidRPr="00AE49C8" w:rsidRDefault="00AB6A68" w:rsidP="001A2AAA">
      <w:r w:rsidRPr="00AE49C8">
        <w:t>T</w:t>
      </w:r>
      <w:r w:rsidR="001A2AAA" w:rsidRPr="00AE49C8">
        <w:t xml:space="preserve">he items in bold </w:t>
      </w:r>
      <w:r w:rsidRPr="00AE49C8">
        <w:t>show</w:t>
      </w:r>
      <w:r w:rsidR="001A2AAA" w:rsidRPr="00AE49C8">
        <w:t xml:space="preserve"> a great</w:t>
      </w:r>
      <w:r w:rsidRPr="00AE49C8">
        <w:t>er</w:t>
      </w:r>
      <w:r w:rsidR="001A2AAA" w:rsidRPr="00AE49C8">
        <w:t xml:space="preserve"> representation of that particular group compared to the representation in the overall workforce</w:t>
      </w:r>
    </w:p>
    <w:p w:rsidR="001A2AAA" w:rsidRPr="00AE49C8" w:rsidRDefault="001A2AAA" w:rsidP="001A2AAA">
      <w:pPr>
        <w:rPr>
          <w:b/>
        </w:rPr>
      </w:pPr>
      <w:r w:rsidRPr="00AE49C8">
        <w:rPr>
          <w:b/>
        </w:rPr>
        <w:t>BSUH</w:t>
      </w:r>
    </w:p>
    <w:tbl>
      <w:tblPr>
        <w:tblW w:w="10703" w:type="dxa"/>
        <w:jc w:val="center"/>
        <w:tblBorders>
          <w:insideH w:val="dotted" w:sz="4" w:space="0" w:color="auto"/>
        </w:tblBorders>
        <w:tblLook w:val="04A0" w:firstRow="1" w:lastRow="0" w:firstColumn="1" w:lastColumn="0" w:noHBand="0" w:noVBand="1"/>
        <w:tblCaption w:val="Pay band and grade broken down by sexual orientation"/>
      </w:tblPr>
      <w:tblGrid>
        <w:gridCol w:w="2098"/>
        <w:gridCol w:w="1204"/>
        <w:gridCol w:w="1123"/>
        <w:gridCol w:w="1724"/>
        <w:gridCol w:w="1287"/>
        <w:gridCol w:w="1443"/>
        <w:gridCol w:w="1293"/>
        <w:gridCol w:w="1296"/>
      </w:tblGrid>
      <w:tr w:rsidR="001A2AAA" w:rsidRPr="00AE49C8" w:rsidTr="0072670F">
        <w:trPr>
          <w:cantSplit/>
          <w:trHeight w:val="312"/>
          <w:tblHeader/>
          <w:jc w:val="center"/>
        </w:trPr>
        <w:tc>
          <w:tcPr>
            <w:tcW w:w="2098"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Pay Band</w:t>
            </w:r>
          </w:p>
        </w:tc>
        <w:tc>
          <w:tcPr>
            <w:tcW w:w="1043"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Bisexual</w:t>
            </w:r>
          </w:p>
        </w:tc>
        <w:tc>
          <w:tcPr>
            <w:tcW w:w="970"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Gay or Lesbian</w:t>
            </w:r>
          </w:p>
        </w:tc>
        <w:tc>
          <w:tcPr>
            <w:tcW w:w="1540"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Heterosexual or Straight</w:t>
            </w:r>
          </w:p>
        </w:tc>
        <w:tc>
          <w:tcPr>
            <w:tcW w:w="1287"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Other S/O not listed</w:t>
            </w:r>
          </w:p>
        </w:tc>
        <w:tc>
          <w:tcPr>
            <w:tcW w:w="1289"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Undecided</w:t>
            </w:r>
          </w:p>
        </w:tc>
        <w:tc>
          <w:tcPr>
            <w:tcW w:w="1293"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Declined to Specify</w:t>
            </w:r>
          </w:p>
        </w:tc>
        <w:tc>
          <w:tcPr>
            <w:tcW w:w="1183"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Unknown</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1</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1.1%</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540"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80.9%</w:t>
            </w:r>
          </w:p>
        </w:tc>
        <w:tc>
          <w:tcPr>
            <w:tcW w:w="1287"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9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18.0%</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2</w:t>
            </w:r>
          </w:p>
        </w:tc>
        <w:tc>
          <w:tcPr>
            <w:tcW w:w="104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2.3%</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4.8%</w:t>
            </w:r>
          </w:p>
        </w:tc>
        <w:tc>
          <w:tcPr>
            <w:tcW w:w="1540"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77.2%</w:t>
            </w:r>
          </w:p>
        </w:tc>
        <w:tc>
          <w:tcPr>
            <w:tcW w:w="1287"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0.2%</w:t>
            </w:r>
          </w:p>
        </w:tc>
        <w:tc>
          <w:tcPr>
            <w:tcW w:w="1289"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0.2%</w:t>
            </w:r>
          </w:p>
        </w:tc>
        <w:tc>
          <w:tcPr>
            <w:tcW w:w="129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5.2%</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3</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1.8%</w:t>
            </w:r>
          </w:p>
        </w:tc>
        <w:tc>
          <w:tcPr>
            <w:tcW w:w="970"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5.8%</w:t>
            </w:r>
          </w:p>
        </w:tc>
        <w:tc>
          <w:tcPr>
            <w:tcW w:w="1540"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74.5%</w:t>
            </w:r>
          </w:p>
        </w:tc>
        <w:tc>
          <w:tcPr>
            <w:tcW w:w="1287"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0.2%</w:t>
            </w:r>
          </w:p>
        </w:tc>
        <w:tc>
          <w:tcPr>
            <w:tcW w:w="1289"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0.1%</w:t>
            </w:r>
          </w:p>
        </w:tc>
        <w:tc>
          <w:tcPr>
            <w:tcW w:w="129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7.3%</w:t>
            </w:r>
          </w:p>
        </w:tc>
        <w:tc>
          <w:tcPr>
            <w:tcW w:w="118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10.3%</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4</w:t>
            </w:r>
          </w:p>
        </w:tc>
        <w:tc>
          <w:tcPr>
            <w:tcW w:w="104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1.9%</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4.0%</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72.2%</w:t>
            </w:r>
          </w:p>
        </w:tc>
        <w:tc>
          <w:tcPr>
            <w:tcW w:w="1287"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0.4%</w:t>
            </w:r>
          </w:p>
        </w:tc>
        <w:tc>
          <w:tcPr>
            <w:tcW w:w="1289"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0.1%</w:t>
            </w:r>
          </w:p>
        </w:tc>
        <w:tc>
          <w:tcPr>
            <w:tcW w:w="129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10.2%</w:t>
            </w:r>
          </w:p>
        </w:tc>
        <w:tc>
          <w:tcPr>
            <w:tcW w:w="118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11.1%</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5</w:t>
            </w:r>
          </w:p>
        </w:tc>
        <w:tc>
          <w:tcPr>
            <w:tcW w:w="104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2.6%</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4.4%</w:t>
            </w:r>
          </w:p>
        </w:tc>
        <w:tc>
          <w:tcPr>
            <w:tcW w:w="1540"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74.9%</w:t>
            </w:r>
          </w:p>
        </w:tc>
        <w:tc>
          <w:tcPr>
            <w:tcW w:w="1287"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1289"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0.1%</w:t>
            </w:r>
          </w:p>
        </w:tc>
        <w:tc>
          <w:tcPr>
            <w:tcW w:w="129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10.5%</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7.4%</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6</w:t>
            </w:r>
          </w:p>
        </w:tc>
        <w:tc>
          <w:tcPr>
            <w:tcW w:w="104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2.2%</w:t>
            </w:r>
          </w:p>
        </w:tc>
        <w:tc>
          <w:tcPr>
            <w:tcW w:w="970"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5.8%</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71.6%</w:t>
            </w:r>
          </w:p>
        </w:tc>
        <w:tc>
          <w:tcPr>
            <w:tcW w:w="1287"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0.3%</w:t>
            </w:r>
          </w:p>
        </w:tc>
        <w:tc>
          <w:tcPr>
            <w:tcW w:w="1289"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0.1%</w:t>
            </w:r>
          </w:p>
        </w:tc>
        <w:tc>
          <w:tcPr>
            <w:tcW w:w="129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9.4%</w:t>
            </w:r>
          </w:p>
        </w:tc>
        <w:tc>
          <w:tcPr>
            <w:tcW w:w="118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10.6%</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7</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0.8%</w:t>
            </w:r>
          </w:p>
        </w:tc>
        <w:tc>
          <w:tcPr>
            <w:tcW w:w="970"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5.5%</w:t>
            </w:r>
          </w:p>
        </w:tc>
        <w:tc>
          <w:tcPr>
            <w:tcW w:w="1540"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73.5%</w:t>
            </w:r>
          </w:p>
        </w:tc>
        <w:tc>
          <w:tcPr>
            <w:tcW w:w="1287"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0.2%</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9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8.8%</w:t>
            </w:r>
          </w:p>
        </w:tc>
        <w:tc>
          <w:tcPr>
            <w:tcW w:w="118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11.2%</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8a</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1.6%</w:t>
            </w:r>
          </w:p>
        </w:tc>
        <w:tc>
          <w:tcPr>
            <w:tcW w:w="970"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6.2%</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70.9%</w:t>
            </w:r>
          </w:p>
        </w:tc>
        <w:tc>
          <w:tcPr>
            <w:tcW w:w="1287"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9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6.6%</w:t>
            </w:r>
          </w:p>
        </w:tc>
        <w:tc>
          <w:tcPr>
            <w:tcW w:w="118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14.7%</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8b</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0.9%</w:t>
            </w:r>
          </w:p>
        </w:tc>
        <w:tc>
          <w:tcPr>
            <w:tcW w:w="970"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6.3%</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67.9%</w:t>
            </w:r>
          </w:p>
        </w:tc>
        <w:tc>
          <w:tcPr>
            <w:tcW w:w="1287"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9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14.3%</w:t>
            </w:r>
          </w:p>
        </w:tc>
        <w:tc>
          <w:tcPr>
            <w:tcW w:w="118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10.7%</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lastRenderedPageBreak/>
              <w:t>Band 8c</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70"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10.0%</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70.0%</w:t>
            </w:r>
          </w:p>
        </w:tc>
        <w:tc>
          <w:tcPr>
            <w:tcW w:w="1287"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9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12.5%</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7.5%</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8d</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4.8%</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71.4%</w:t>
            </w:r>
          </w:p>
        </w:tc>
        <w:tc>
          <w:tcPr>
            <w:tcW w:w="1287"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9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18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23.8%</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9</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70"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18.8%</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68.8%</w:t>
            </w:r>
          </w:p>
        </w:tc>
        <w:tc>
          <w:tcPr>
            <w:tcW w:w="1287"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9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6.3%</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6.3%</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Directors</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45.5%</w:t>
            </w:r>
          </w:p>
        </w:tc>
        <w:tc>
          <w:tcPr>
            <w:tcW w:w="1287"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9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54.5%</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Consultant</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3.9%</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60.9%</w:t>
            </w:r>
          </w:p>
        </w:tc>
        <w:tc>
          <w:tcPr>
            <w:tcW w:w="1287"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9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33.9%</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0.6%</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Middle Grade</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1.8%</w:t>
            </w:r>
          </w:p>
        </w:tc>
        <w:tc>
          <w:tcPr>
            <w:tcW w:w="970" w:type="dxa"/>
            <w:shd w:val="clear" w:color="auto" w:fill="auto"/>
            <w:noWrap/>
            <w:vAlign w:val="bottom"/>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5.5%</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41.8%</w:t>
            </w:r>
          </w:p>
        </w:tc>
        <w:tc>
          <w:tcPr>
            <w:tcW w:w="1287"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9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49.1%</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1.8%</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Training</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1.7%</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3.9%</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70.9%</w:t>
            </w:r>
          </w:p>
        </w:tc>
        <w:tc>
          <w:tcPr>
            <w:tcW w:w="1287"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0.4%</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9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22.5%</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0.5%</w:t>
            </w:r>
          </w:p>
        </w:tc>
      </w:tr>
      <w:tr w:rsidR="001A2AAA" w:rsidRPr="00AE49C8" w:rsidTr="00C92A79">
        <w:trPr>
          <w:cantSplit/>
          <w:trHeight w:val="312"/>
          <w:tblHeader/>
          <w:jc w:val="center"/>
        </w:trPr>
        <w:tc>
          <w:tcPr>
            <w:tcW w:w="2098"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Local Scale</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7"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93" w:type="dxa"/>
            <w:shd w:val="clear" w:color="auto" w:fill="41B6E6"/>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100.0%</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bl>
    <w:p w:rsidR="001A2AAA" w:rsidRPr="00AE49C8" w:rsidRDefault="001A2AAA" w:rsidP="001A2AAA">
      <w:pPr>
        <w:rPr>
          <w:b/>
        </w:rPr>
      </w:pPr>
    </w:p>
    <w:p w:rsidR="001A2AAA" w:rsidRPr="00AE49C8" w:rsidRDefault="001A2AAA" w:rsidP="001A2AAA">
      <w:pPr>
        <w:rPr>
          <w:b/>
        </w:rPr>
      </w:pPr>
    </w:p>
    <w:p w:rsidR="001A2AAA" w:rsidRPr="000D2F61" w:rsidRDefault="001A2AAA" w:rsidP="001A2AAA">
      <w:r w:rsidRPr="000D2F61">
        <w:t>Observations</w:t>
      </w:r>
    </w:p>
    <w:p w:rsidR="001A2AAA" w:rsidRPr="00AE49C8" w:rsidRDefault="0072670F" w:rsidP="001A2AAA">
      <w:pPr>
        <w:widowControl w:val="0"/>
      </w:pPr>
      <w:r w:rsidRPr="00AE49C8">
        <w:t>Compared to the overall workforce representation:</w:t>
      </w:r>
    </w:p>
    <w:p w:rsidR="0072670F" w:rsidRPr="00AE49C8" w:rsidRDefault="0072670F" w:rsidP="0072670F">
      <w:pPr>
        <w:pStyle w:val="ListParagraph"/>
      </w:pPr>
      <w:r w:rsidRPr="00AE49C8">
        <w:t>Bisexual staff have a higher than expected representation in bands 2 and 4-6.  There is a low to fair representation in band/grades 1, 3, 7-8b and medical roles, and there is no representation in 8c-9 and directors.</w:t>
      </w:r>
    </w:p>
    <w:p w:rsidR="0072670F" w:rsidRPr="00AE49C8" w:rsidRDefault="0072670F" w:rsidP="0072670F">
      <w:pPr>
        <w:pStyle w:val="ListParagraph"/>
      </w:pPr>
      <w:r w:rsidRPr="00AE49C8">
        <w:t>Gay or lesbian staff have a higher than expected representation in bands/grades 3, 6-8c, 9 and medical middle grades.  There is a low to fair representation in bands/grades 2, 4-5, 8d and medical consultants and trainees; there is no representation in band 1 or director-level.</w:t>
      </w:r>
    </w:p>
    <w:p w:rsidR="0072670F" w:rsidRPr="00AE49C8" w:rsidRDefault="0072670F" w:rsidP="0072670F">
      <w:pPr>
        <w:pStyle w:val="ListParagraph"/>
      </w:pPr>
      <w:r w:rsidRPr="00AE49C8">
        <w:t>Heterosexual staff have a higher than expected representation in bands 1-3, 5, 7.  There is a fair to good representation in bands/grades 4, 6, 8a-9 and medical trainees; there is a low representation in directors, medical consultants, and middle grades.</w:t>
      </w:r>
    </w:p>
    <w:p w:rsidR="0072670F" w:rsidRPr="00AE49C8" w:rsidRDefault="0072670F" w:rsidP="0072670F">
      <w:pPr>
        <w:pStyle w:val="ListParagraph"/>
      </w:pPr>
      <w:r w:rsidRPr="00AE49C8">
        <w:t>Staff with other sexual orientations have a higher than expected representation in bands/grades 2-4, 6-7 and medical trainees.  There is a good level of representation in band 5; there is no representation in all other bands/grades.</w:t>
      </w:r>
    </w:p>
    <w:p w:rsidR="0072670F" w:rsidRPr="00AE49C8" w:rsidRDefault="00E91A99" w:rsidP="0072670F">
      <w:pPr>
        <w:pStyle w:val="ListParagraph"/>
      </w:pPr>
      <w:r w:rsidRPr="00AE49C8">
        <w:t>Staff that are undecided have a higher than expected representation in bands 2-6; there is no other bands/grades that have representation for this group.</w:t>
      </w:r>
    </w:p>
    <w:p w:rsidR="00E91A99" w:rsidRPr="00AE49C8" w:rsidRDefault="00E91A99" w:rsidP="0072670F">
      <w:pPr>
        <w:pStyle w:val="ListParagraph"/>
      </w:pPr>
      <w:r w:rsidRPr="00AE49C8">
        <w:t xml:space="preserve">Staff </w:t>
      </w:r>
      <w:r w:rsidR="008E6F14" w:rsidRPr="00AE49C8">
        <w:t>that</w:t>
      </w:r>
      <w:r w:rsidR="00D04B36" w:rsidRPr="00AE49C8">
        <w:t xml:space="preserve"> have declined to specify their sexual orientation are</w:t>
      </w:r>
      <w:r w:rsidRPr="00AE49C8">
        <w:t xml:space="preserve"> highly prevalent in most bands/grades, except in 8d.  This status is particularly high in directors and medical roles.</w:t>
      </w:r>
    </w:p>
    <w:p w:rsidR="00E91A99" w:rsidRPr="00AE49C8" w:rsidRDefault="00E91A99" w:rsidP="0072670F">
      <w:pPr>
        <w:pStyle w:val="ListParagraph"/>
      </w:pPr>
      <w:r w:rsidRPr="00AE49C8">
        <w:t xml:space="preserve">Unknown status is evident throughout the pay bands but is </w:t>
      </w:r>
      <w:r w:rsidR="000D2F61">
        <w:t>exceptional</w:t>
      </w:r>
      <w:r w:rsidRPr="00AE49C8">
        <w:t>ly high in bands 2-8d.</w:t>
      </w:r>
    </w:p>
    <w:p w:rsidR="00C92A79" w:rsidRDefault="00C92A79">
      <w:pPr>
        <w:widowControl w:val="0"/>
        <w:rPr>
          <w:b/>
        </w:rPr>
      </w:pPr>
      <w:r>
        <w:rPr>
          <w:b/>
        </w:rPr>
        <w:br w:type="page"/>
      </w:r>
    </w:p>
    <w:p w:rsidR="001A2AAA" w:rsidRPr="00AE49C8" w:rsidRDefault="001A2AAA" w:rsidP="001A2AAA">
      <w:pPr>
        <w:rPr>
          <w:b/>
        </w:rPr>
      </w:pPr>
      <w:r w:rsidRPr="00AE49C8">
        <w:rPr>
          <w:b/>
        </w:rPr>
        <w:lastRenderedPageBreak/>
        <w:t>WSHT</w:t>
      </w:r>
    </w:p>
    <w:tbl>
      <w:tblPr>
        <w:tblW w:w="10589" w:type="dxa"/>
        <w:jc w:val="center"/>
        <w:tblBorders>
          <w:insideH w:val="dotted" w:sz="4" w:space="0" w:color="auto"/>
        </w:tblBorders>
        <w:tblLook w:val="04A0" w:firstRow="1" w:lastRow="0" w:firstColumn="1" w:lastColumn="0" w:noHBand="0" w:noVBand="1"/>
        <w:tblCaption w:val="Pay band and grade broken down by sexual orientation"/>
      </w:tblPr>
      <w:tblGrid>
        <w:gridCol w:w="2000"/>
        <w:gridCol w:w="1204"/>
        <w:gridCol w:w="1123"/>
        <w:gridCol w:w="1724"/>
        <w:gridCol w:w="1341"/>
        <w:gridCol w:w="1443"/>
        <w:gridCol w:w="1223"/>
        <w:gridCol w:w="1296"/>
      </w:tblGrid>
      <w:tr w:rsidR="001A2AAA" w:rsidRPr="00AE49C8" w:rsidTr="0072670F">
        <w:trPr>
          <w:cantSplit/>
          <w:trHeight w:val="312"/>
          <w:tblHeader/>
          <w:jc w:val="center"/>
        </w:trPr>
        <w:tc>
          <w:tcPr>
            <w:tcW w:w="2000"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Pay Band</w:t>
            </w:r>
          </w:p>
        </w:tc>
        <w:tc>
          <w:tcPr>
            <w:tcW w:w="1043"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Bisexual</w:t>
            </w:r>
          </w:p>
        </w:tc>
        <w:tc>
          <w:tcPr>
            <w:tcW w:w="970"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Gay or Lesbian</w:t>
            </w:r>
          </w:p>
        </w:tc>
        <w:tc>
          <w:tcPr>
            <w:tcW w:w="1540"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Heterosexual or Straight</w:t>
            </w:r>
          </w:p>
        </w:tc>
        <w:tc>
          <w:tcPr>
            <w:tcW w:w="1341"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Other S/O not listed</w:t>
            </w:r>
          </w:p>
        </w:tc>
        <w:tc>
          <w:tcPr>
            <w:tcW w:w="1289"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Undecided</w:t>
            </w:r>
          </w:p>
        </w:tc>
        <w:tc>
          <w:tcPr>
            <w:tcW w:w="1223"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Declined to Specify</w:t>
            </w:r>
          </w:p>
        </w:tc>
        <w:tc>
          <w:tcPr>
            <w:tcW w:w="1183" w:type="dxa"/>
            <w:shd w:val="clear" w:color="auto" w:fill="auto"/>
            <w:noWrap/>
            <w:hideMark/>
          </w:tcPr>
          <w:p w:rsidR="001A2AAA" w:rsidRPr="00AE49C8" w:rsidRDefault="001A2AAA" w:rsidP="001A2AAA">
            <w:pPr>
              <w:spacing w:after="0" w:line="240" w:lineRule="auto"/>
              <w:rPr>
                <w:rFonts w:eastAsia="Times New Roman"/>
                <w:b/>
                <w:bCs/>
                <w:color w:val="000000"/>
                <w:szCs w:val="24"/>
                <w:lang w:eastAsia="en-GB"/>
              </w:rPr>
            </w:pPr>
            <w:r w:rsidRPr="00AE49C8">
              <w:rPr>
                <w:rFonts w:eastAsia="Times New Roman"/>
                <w:b/>
                <w:bCs/>
                <w:color w:val="000000"/>
                <w:szCs w:val="24"/>
                <w:lang w:eastAsia="en-GB"/>
              </w:rPr>
              <w:t>Unknown</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1</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56.1%</w:t>
            </w:r>
          </w:p>
        </w:tc>
        <w:tc>
          <w:tcPr>
            <w:tcW w:w="1341"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23"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41.5%</w:t>
            </w:r>
          </w:p>
        </w:tc>
        <w:tc>
          <w:tcPr>
            <w:tcW w:w="1183"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2.4%</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2</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0.8%</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75.7%</w:t>
            </w:r>
          </w:p>
        </w:tc>
        <w:tc>
          <w:tcPr>
            <w:tcW w:w="1341"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0.1%</w:t>
            </w:r>
          </w:p>
        </w:tc>
        <w:tc>
          <w:tcPr>
            <w:tcW w:w="1223"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20.6%</w:t>
            </w:r>
          </w:p>
        </w:tc>
        <w:tc>
          <w:tcPr>
            <w:tcW w:w="1183"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1.3%</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3</w:t>
            </w:r>
          </w:p>
        </w:tc>
        <w:tc>
          <w:tcPr>
            <w:tcW w:w="1043"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1.3%</w:t>
            </w:r>
          </w:p>
        </w:tc>
        <w:tc>
          <w:tcPr>
            <w:tcW w:w="154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83.8%</w:t>
            </w:r>
          </w:p>
        </w:tc>
        <w:tc>
          <w:tcPr>
            <w:tcW w:w="1341"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0.0%</w:t>
            </w:r>
          </w:p>
        </w:tc>
        <w:tc>
          <w:tcPr>
            <w:tcW w:w="1289"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0.1%</w:t>
            </w:r>
          </w:p>
        </w:tc>
        <w:tc>
          <w:tcPr>
            <w:tcW w:w="122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13.4%</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0.4%</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4</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1.4%</w:t>
            </w:r>
          </w:p>
        </w:tc>
        <w:tc>
          <w:tcPr>
            <w:tcW w:w="154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80.4%</w:t>
            </w:r>
          </w:p>
        </w:tc>
        <w:tc>
          <w:tcPr>
            <w:tcW w:w="1341"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2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16.5%</w:t>
            </w:r>
          </w:p>
        </w:tc>
        <w:tc>
          <w:tcPr>
            <w:tcW w:w="1183"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5</w:t>
            </w:r>
          </w:p>
        </w:tc>
        <w:tc>
          <w:tcPr>
            <w:tcW w:w="1043"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1.0%</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71.0%</w:t>
            </w:r>
          </w:p>
        </w:tc>
        <w:tc>
          <w:tcPr>
            <w:tcW w:w="1341"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0.1%</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23"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26.4%</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0.6%</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6</w:t>
            </w:r>
          </w:p>
        </w:tc>
        <w:tc>
          <w:tcPr>
            <w:tcW w:w="1043"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1.1%</w:t>
            </w:r>
          </w:p>
        </w:tc>
        <w:tc>
          <w:tcPr>
            <w:tcW w:w="97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2.1%</w:t>
            </w:r>
          </w:p>
        </w:tc>
        <w:tc>
          <w:tcPr>
            <w:tcW w:w="154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78.4%</w:t>
            </w:r>
          </w:p>
        </w:tc>
        <w:tc>
          <w:tcPr>
            <w:tcW w:w="1341"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0.1%</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2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18.0%</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0.3%</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7</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0.7%</w:t>
            </w:r>
          </w:p>
        </w:tc>
        <w:tc>
          <w:tcPr>
            <w:tcW w:w="97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2.4%</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74.8%</w:t>
            </w:r>
          </w:p>
        </w:tc>
        <w:tc>
          <w:tcPr>
            <w:tcW w:w="1341"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23"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21.6%</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0.4%</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8a</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1.2%</w:t>
            </w:r>
          </w:p>
        </w:tc>
        <w:tc>
          <w:tcPr>
            <w:tcW w:w="154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82.1%</w:t>
            </w:r>
          </w:p>
        </w:tc>
        <w:tc>
          <w:tcPr>
            <w:tcW w:w="1341"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2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16.1%</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8b</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7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2.8%</w:t>
            </w:r>
          </w:p>
        </w:tc>
        <w:tc>
          <w:tcPr>
            <w:tcW w:w="154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81.7%</w:t>
            </w:r>
          </w:p>
        </w:tc>
        <w:tc>
          <w:tcPr>
            <w:tcW w:w="1341"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2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14.1%</w:t>
            </w:r>
          </w:p>
        </w:tc>
        <w:tc>
          <w:tcPr>
            <w:tcW w:w="1183"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1.4%</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8c</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54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83.3%</w:t>
            </w:r>
          </w:p>
        </w:tc>
        <w:tc>
          <w:tcPr>
            <w:tcW w:w="1341"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2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16.7%</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8d</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54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87.5%</w:t>
            </w:r>
          </w:p>
        </w:tc>
        <w:tc>
          <w:tcPr>
            <w:tcW w:w="1341"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2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12.5%</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Band 9</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54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85.7%</w:t>
            </w:r>
          </w:p>
        </w:tc>
        <w:tc>
          <w:tcPr>
            <w:tcW w:w="1341"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2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14.3%</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Directors</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97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4.8%</w:t>
            </w:r>
          </w:p>
        </w:tc>
        <w:tc>
          <w:tcPr>
            <w:tcW w:w="154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61.9%</w:t>
            </w:r>
          </w:p>
        </w:tc>
        <w:tc>
          <w:tcPr>
            <w:tcW w:w="1341"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23"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33.3%</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Consultant</w:t>
            </w:r>
          </w:p>
        </w:tc>
        <w:tc>
          <w:tcPr>
            <w:tcW w:w="104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0.3%</w:t>
            </w:r>
          </w:p>
        </w:tc>
        <w:tc>
          <w:tcPr>
            <w:tcW w:w="97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0.8%</w:t>
            </w:r>
          </w:p>
        </w:tc>
        <w:tc>
          <w:tcPr>
            <w:tcW w:w="154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79.2%</w:t>
            </w:r>
          </w:p>
        </w:tc>
        <w:tc>
          <w:tcPr>
            <w:tcW w:w="1341"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2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18.9%</w:t>
            </w:r>
          </w:p>
        </w:tc>
        <w:tc>
          <w:tcPr>
            <w:tcW w:w="1183"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0.8%</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Middle Grade</w:t>
            </w:r>
          </w:p>
        </w:tc>
        <w:tc>
          <w:tcPr>
            <w:tcW w:w="1043"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0.9%</w:t>
            </w:r>
          </w:p>
        </w:tc>
        <w:tc>
          <w:tcPr>
            <w:tcW w:w="97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3.0%</w:t>
            </w:r>
          </w:p>
        </w:tc>
        <w:tc>
          <w:tcPr>
            <w:tcW w:w="154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80.2%</w:t>
            </w:r>
          </w:p>
        </w:tc>
        <w:tc>
          <w:tcPr>
            <w:tcW w:w="1341"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2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15.9%</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1A2AAA" w:rsidRPr="00AE49C8" w:rsidTr="00C92A79">
        <w:trPr>
          <w:cantSplit/>
          <w:trHeight w:val="312"/>
          <w:tblHeader/>
          <w:jc w:val="center"/>
        </w:trPr>
        <w:tc>
          <w:tcPr>
            <w:tcW w:w="2000"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Medical &amp; Dental - Training</w:t>
            </w:r>
          </w:p>
        </w:tc>
        <w:tc>
          <w:tcPr>
            <w:tcW w:w="1043"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3.4%</w:t>
            </w:r>
          </w:p>
        </w:tc>
        <w:tc>
          <w:tcPr>
            <w:tcW w:w="97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3.4%</w:t>
            </w:r>
          </w:p>
        </w:tc>
        <w:tc>
          <w:tcPr>
            <w:tcW w:w="1540" w:type="dxa"/>
            <w:shd w:val="clear" w:color="auto" w:fill="009639"/>
            <w:noWrap/>
            <w:vAlign w:val="bottom"/>
            <w:hideMark/>
          </w:tcPr>
          <w:p w:rsidR="001A2AAA" w:rsidRPr="00C92A79" w:rsidRDefault="001A2AAA" w:rsidP="001A2AAA">
            <w:pPr>
              <w:spacing w:after="0" w:line="240" w:lineRule="auto"/>
              <w:rPr>
                <w:rFonts w:eastAsia="Times New Roman"/>
                <w:b/>
                <w:bCs/>
                <w:color w:val="FFFFFF" w:themeColor="background1"/>
                <w:szCs w:val="24"/>
                <w:lang w:eastAsia="en-GB"/>
              </w:rPr>
            </w:pPr>
            <w:r w:rsidRPr="00C92A79">
              <w:rPr>
                <w:rFonts w:eastAsia="Times New Roman"/>
                <w:b/>
                <w:bCs/>
                <w:color w:val="FFFFFF" w:themeColor="background1"/>
                <w:szCs w:val="24"/>
                <w:lang w:eastAsia="en-GB"/>
              </w:rPr>
              <w:t>79.7%</w:t>
            </w:r>
          </w:p>
        </w:tc>
        <w:tc>
          <w:tcPr>
            <w:tcW w:w="1341"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89"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22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13.6%</w:t>
            </w:r>
          </w:p>
        </w:tc>
        <w:tc>
          <w:tcPr>
            <w:tcW w:w="1183" w:type="dxa"/>
            <w:shd w:val="clear" w:color="auto" w:fill="auto"/>
            <w:noWrap/>
            <w:vAlign w:val="bottom"/>
            <w:hideMark/>
          </w:tcPr>
          <w:p w:rsidR="001A2AAA" w:rsidRPr="00AE49C8" w:rsidRDefault="001A2AAA" w:rsidP="001A2AAA">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bl>
    <w:p w:rsidR="001A2AAA" w:rsidRPr="00AE49C8" w:rsidRDefault="001A2AAA" w:rsidP="001A2AAA">
      <w:pPr>
        <w:jc w:val="center"/>
        <w:rPr>
          <w:b/>
        </w:rPr>
      </w:pPr>
    </w:p>
    <w:p w:rsidR="001A2AAA" w:rsidRPr="000D2F61" w:rsidRDefault="001A2AAA" w:rsidP="001A2AAA">
      <w:r w:rsidRPr="000D2F61">
        <w:t>Observations</w:t>
      </w:r>
    </w:p>
    <w:p w:rsidR="0027307A" w:rsidRPr="00AE49C8" w:rsidRDefault="0027307A" w:rsidP="0027307A">
      <w:pPr>
        <w:widowControl w:val="0"/>
      </w:pPr>
      <w:r w:rsidRPr="00AE49C8">
        <w:t>Compared to the overall workforce representation:</w:t>
      </w:r>
    </w:p>
    <w:p w:rsidR="0027307A" w:rsidRPr="00AE49C8" w:rsidRDefault="0027307A" w:rsidP="0027307A">
      <w:pPr>
        <w:pStyle w:val="ListParagraph"/>
      </w:pPr>
      <w:r w:rsidRPr="00AE49C8">
        <w:t>Bisexual staff have a higher than expected representation in bands/grades 3, 4-6 and medical middle grade and trainees.  There is a low to fair representation in band/grades 2, 4, 7-8a and medical consultants, and there is no representation in all other bands.</w:t>
      </w:r>
    </w:p>
    <w:p w:rsidR="0027307A" w:rsidRPr="00AE49C8" w:rsidRDefault="0027307A" w:rsidP="0027307A">
      <w:pPr>
        <w:pStyle w:val="ListParagraph"/>
      </w:pPr>
      <w:r w:rsidRPr="00AE49C8">
        <w:t>Gay or lesbian staff have a higher than expected representation in bands/grades 6-7, 8b, directors and medical middle grades and trainees.  There is a low to fair representation in bands/grades 2-5, 8a and medical consultants; there is no representation in other bands.</w:t>
      </w:r>
    </w:p>
    <w:p w:rsidR="0027307A" w:rsidRPr="00AE49C8" w:rsidRDefault="0027307A" w:rsidP="0027307A">
      <w:pPr>
        <w:pStyle w:val="ListParagraph"/>
      </w:pPr>
      <w:r w:rsidRPr="00AE49C8">
        <w:t>Heterosexual staff have a higher than expected representation in bands/grades 3-4, 6, 8a-9 and all medical roles.  There is a low to fair representation in bands 1-2, 5, 7 and directors.</w:t>
      </w:r>
    </w:p>
    <w:p w:rsidR="0027307A" w:rsidRPr="00AE49C8" w:rsidRDefault="0027307A" w:rsidP="0027307A">
      <w:pPr>
        <w:pStyle w:val="ListParagraph"/>
      </w:pPr>
      <w:r w:rsidRPr="00AE49C8">
        <w:t>Staff with other sexual orientations have a higher than expected representation in bands/grades 5-6; there is no representation in all other bands/grades.</w:t>
      </w:r>
    </w:p>
    <w:p w:rsidR="0027307A" w:rsidRPr="00AE49C8" w:rsidRDefault="0027307A" w:rsidP="0027307A">
      <w:pPr>
        <w:pStyle w:val="ListParagraph"/>
      </w:pPr>
      <w:r w:rsidRPr="00AE49C8">
        <w:lastRenderedPageBreak/>
        <w:t>Staff that are undecided have a higher than expected representation in bands 2-3; there is no other bands/grades that have representation for this group.</w:t>
      </w:r>
    </w:p>
    <w:p w:rsidR="0027307A" w:rsidRPr="00AE49C8" w:rsidRDefault="0027307A" w:rsidP="00A95176">
      <w:pPr>
        <w:pStyle w:val="ListParagraph"/>
      </w:pPr>
      <w:r w:rsidRPr="00AE49C8">
        <w:t xml:space="preserve">Staff </w:t>
      </w:r>
      <w:r w:rsidR="008E6F14" w:rsidRPr="00AE49C8">
        <w:t>that</w:t>
      </w:r>
      <w:r w:rsidR="00A95176" w:rsidRPr="00AE49C8">
        <w:t xml:space="preserve"> have declined to specify their sexual orientation are</w:t>
      </w:r>
      <w:r w:rsidRPr="00AE49C8">
        <w:t xml:space="preserve"> highly prevalent in most bands/grades,</w:t>
      </w:r>
      <w:r w:rsidR="00A95176" w:rsidRPr="00AE49C8">
        <w:t xml:space="preserve"> particularly in 1-2, 5, 7 and directors</w:t>
      </w:r>
      <w:r w:rsidRPr="00AE49C8">
        <w:t>.</w:t>
      </w:r>
    </w:p>
    <w:p w:rsidR="001A2AAA" w:rsidRPr="00AE49C8" w:rsidRDefault="001A2AAA" w:rsidP="001A2AAA">
      <w:pPr>
        <w:rPr>
          <w:b/>
        </w:rPr>
      </w:pPr>
    </w:p>
    <w:p w:rsidR="00521A43" w:rsidRPr="00AE49C8" w:rsidRDefault="001A2AAA" w:rsidP="00521A43">
      <w:pPr>
        <w:pStyle w:val="Heading3"/>
      </w:pPr>
      <w:bookmarkStart w:id="76" w:name="_Toc88634023"/>
      <w:r w:rsidRPr="00AE49C8">
        <w:t>Breakdown of sexual orientation in recruitment processes</w:t>
      </w:r>
      <w:bookmarkEnd w:id="76"/>
    </w:p>
    <w:p w:rsidR="001A2AAA" w:rsidRPr="00AE49C8" w:rsidRDefault="00521A43" w:rsidP="001A2AAA">
      <w:r w:rsidRPr="00AE49C8">
        <w:rPr>
          <w:b/>
        </w:rPr>
        <w:t>T</w:t>
      </w:r>
      <w:r w:rsidR="001A2AAA" w:rsidRPr="00AE49C8">
        <w:t>he data compares the three stages of recruitment compared to the workforce representation within the organisation.</w:t>
      </w:r>
    </w:p>
    <w:p w:rsidR="001A2AAA" w:rsidRPr="00AE49C8" w:rsidRDefault="001A2AAA" w:rsidP="001A2AAA">
      <w:pPr>
        <w:spacing w:line="240" w:lineRule="auto"/>
        <w:rPr>
          <w:b/>
        </w:rPr>
      </w:pPr>
      <w:r w:rsidRPr="00AE49C8">
        <w:rPr>
          <w:b/>
        </w:rPr>
        <w:t>BSUH</w:t>
      </w:r>
    </w:p>
    <w:tbl>
      <w:tblPr>
        <w:tblW w:w="9260" w:type="dxa"/>
        <w:tblInd w:w="93" w:type="dxa"/>
        <w:tblBorders>
          <w:insideH w:val="dotted" w:sz="4" w:space="0" w:color="auto"/>
        </w:tblBorders>
        <w:tblLook w:val="04A0" w:firstRow="1" w:lastRow="0" w:firstColumn="1" w:lastColumn="0" w:noHBand="0" w:noVBand="1"/>
        <w:tblCaption w:val="Representation of sexual orienation in recruitment processes"/>
      </w:tblPr>
      <w:tblGrid>
        <w:gridCol w:w="3403"/>
        <w:gridCol w:w="1715"/>
        <w:gridCol w:w="1470"/>
        <w:gridCol w:w="1403"/>
        <w:gridCol w:w="1403"/>
      </w:tblGrid>
      <w:tr w:rsidR="00C52449" w:rsidRPr="00AE49C8" w:rsidTr="00775191">
        <w:trPr>
          <w:cantSplit/>
          <w:trHeight w:val="936"/>
          <w:tblHeader/>
        </w:trPr>
        <w:tc>
          <w:tcPr>
            <w:tcW w:w="3403" w:type="dxa"/>
            <w:shd w:val="clear" w:color="auto" w:fill="auto"/>
            <w:hideMark/>
          </w:tcPr>
          <w:p w:rsidR="00C52449" w:rsidRPr="00AE49C8" w:rsidRDefault="00C52449" w:rsidP="00C52449">
            <w:pPr>
              <w:spacing w:after="0" w:line="240" w:lineRule="auto"/>
              <w:rPr>
                <w:rFonts w:eastAsia="Times New Roman"/>
                <w:b/>
                <w:color w:val="000000"/>
                <w:szCs w:val="24"/>
                <w:lang w:eastAsia="en-GB"/>
              </w:rPr>
            </w:pPr>
            <w:r w:rsidRPr="00AE49C8">
              <w:rPr>
                <w:rFonts w:eastAsia="Times New Roman"/>
                <w:b/>
                <w:color w:val="000000"/>
                <w:szCs w:val="24"/>
                <w:lang w:eastAsia="en-GB"/>
              </w:rPr>
              <w:t>Sexual Orientation</w:t>
            </w:r>
          </w:p>
        </w:tc>
        <w:tc>
          <w:tcPr>
            <w:tcW w:w="1715" w:type="dxa"/>
            <w:shd w:val="clear" w:color="auto" w:fill="auto"/>
            <w:hideMark/>
          </w:tcPr>
          <w:p w:rsidR="00C52449" w:rsidRPr="00AE49C8" w:rsidRDefault="00C52449" w:rsidP="00C52449">
            <w:pPr>
              <w:spacing w:after="0" w:line="240" w:lineRule="auto"/>
              <w:rPr>
                <w:rFonts w:eastAsia="Times New Roman"/>
                <w:b/>
                <w:color w:val="000000"/>
                <w:szCs w:val="24"/>
                <w:lang w:eastAsia="en-GB"/>
              </w:rPr>
            </w:pPr>
            <w:r w:rsidRPr="00AE49C8">
              <w:rPr>
                <w:rFonts w:eastAsia="Times New Roman"/>
                <w:b/>
                <w:color w:val="000000"/>
                <w:szCs w:val="24"/>
                <w:lang w:eastAsia="en-GB"/>
              </w:rPr>
              <w:t>Applications</w:t>
            </w:r>
          </w:p>
        </w:tc>
        <w:tc>
          <w:tcPr>
            <w:tcW w:w="1424" w:type="dxa"/>
            <w:shd w:val="clear" w:color="auto" w:fill="auto"/>
            <w:hideMark/>
          </w:tcPr>
          <w:p w:rsidR="00C52449" w:rsidRPr="00AE49C8" w:rsidRDefault="00C52449" w:rsidP="00C52449">
            <w:pPr>
              <w:spacing w:after="0" w:line="240" w:lineRule="auto"/>
              <w:rPr>
                <w:rFonts w:eastAsia="Times New Roman"/>
                <w:b/>
                <w:color w:val="000000"/>
                <w:szCs w:val="24"/>
                <w:lang w:eastAsia="en-GB"/>
              </w:rPr>
            </w:pPr>
            <w:r w:rsidRPr="00AE49C8">
              <w:rPr>
                <w:rFonts w:eastAsia="Times New Roman"/>
                <w:b/>
                <w:color w:val="000000"/>
                <w:szCs w:val="24"/>
                <w:lang w:eastAsia="en-GB"/>
              </w:rPr>
              <w:t>Shortlisted</w:t>
            </w:r>
          </w:p>
        </w:tc>
        <w:tc>
          <w:tcPr>
            <w:tcW w:w="1359" w:type="dxa"/>
            <w:shd w:val="clear" w:color="auto" w:fill="auto"/>
            <w:hideMark/>
          </w:tcPr>
          <w:p w:rsidR="00C52449" w:rsidRPr="00AE49C8" w:rsidRDefault="00C52449" w:rsidP="00C52449">
            <w:pPr>
              <w:spacing w:after="0" w:line="240" w:lineRule="auto"/>
              <w:rPr>
                <w:rFonts w:eastAsia="Times New Roman"/>
                <w:b/>
                <w:color w:val="000000"/>
                <w:szCs w:val="24"/>
                <w:lang w:eastAsia="en-GB"/>
              </w:rPr>
            </w:pPr>
            <w:r w:rsidRPr="00AE49C8">
              <w:rPr>
                <w:rFonts w:eastAsia="Times New Roman"/>
                <w:b/>
                <w:color w:val="000000"/>
                <w:szCs w:val="24"/>
                <w:lang w:eastAsia="en-GB"/>
              </w:rPr>
              <w:t>Appointed</w:t>
            </w:r>
          </w:p>
        </w:tc>
        <w:tc>
          <w:tcPr>
            <w:tcW w:w="1359" w:type="dxa"/>
            <w:shd w:val="clear" w:color="auto" w:fill="auto"/>
            <w:hideMark/>
          </w:tcPr>
          <w:p w:rsidR="00C52449" w:rsidRPr="00AE49C8" w:rsidRDefault="00C52449" w:rsidP="00C52449">
            <w:pPr>
              <w:spacing w:after="0" w:line="240" w:lineRule="auto"/>
              <w:rPr>
                <w:rFonts w:eastAsia="Times New Roman"/>
                <w:b/>
                <w:color w:val="000000"/>
                <w:szCs w:val="24"/>
                <w:lang w:eastAsia="en-GB"/>
              </w:rPr>
            </w:pPr>
            <w:r w:rsidRPr="00AE49C8">
              <w:rPr>
                <w:rFonts w:eastAsia="Times New Roman"/>
                <w:b/>
                <w:color w:val="000000"/>
                <w:szCs w:val="24"/>
                <w:lang w:eastAsia="en-GB"/>
              </w:rPr>
              <w:t>Workforce</w:t>
            </w:r>
          </w:p>
        </w:tc>
      </w:tr>
      <w:tr w:rsidR="00C52449" w:rsidRPr="00AE49C8" w:rsidTr="00775191">
        <w:trPr>
          <w:cantSplit/>
          <w:trHeight w:val="312"/>
          <w:tblHeader/>
        </w:trPr>
        <w:tc>
          <w:tcPr>
            <w:tcW w:w="3403"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Heterosexual or Straight</w:t>
            </w:r>
          </w:p>
        </w:tc>
        <w:tc>
          <w:tcPr>
            <w:tcW w:w="171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84.3%</w:t>
            </w:r>
          </w:p>
        </w:tc>
        <w:tc>
          <w:tcPr>
            <w:tcW w:w="14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77.5%</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64.4%</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72.8%</w:t>
            </w:r>
          </w:p>
        </w:tc>
      </w:tr>
      <w:tr w:rsidR="00C52449" w:rsidRPr="00AE49C8" w:rsidTr="00775191">
        <w:trPr>
          <w:cantSplit/>
          <w:trHeight w:val="312"/>
          <w:tblHeader/>
        </w:trPr>
        <w:tc>
          <w:tcPr>
            <w:tcW w:w="3403"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Bisexual</w:t>
            </w:r>
          </w:p>
        </w:tc>
        <w:tc>
          <w:tcPr>
            <w:tcW w:w="171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3.5%</w:t>
            </w:r>
          </w:p>
        </w:tc>
        <w:tc>
          <w:tcPr>
            <w:tcW w:w="14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3.6%</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2.1%</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1.9%</w:t>
            </w:r>
          </w:p>
        </w:tc>
      </w:tr>
      <w:tr w:rsidR="00C52449" w:rsidRPr="00AE49C8" w:rsidTr="00775191">
        <w:trPr>
          <w:cantSplit/>
          <w:trHeight w:val="312"/>
          <w:tblHeader/>
        </w:trPr>
        <w:tc>
          <w:tcPr>
            <w:tcW w:w="3403"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Gay or Lesbian</w:t>
            </w:r>
          </w:p>
        </w:tc>
        <w:tc>
          <w:tcPr>
            <w:tcW w:w="171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4.7%</w:t>
            </w:r>
          </w:p>
        </w:tc>
        <w:tc>
          <w:tcPr>
            <w:tcW w:w="14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5.9%</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6.0%</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5.0%</w:t>
            </w:r>
          </w:p>
        </w:tc>
      </w:tr>
      <w:tr w:rsidR="00C52449" w:rsidRPr="00AE49C8" w:rsidTr="00775191">
        <w:trPr>
          <w:cantSplit/>
          <w:trHeight w:val="312"/>
          <w:tblHeader/>
        </w:trPr>
        <w:tc>
          <w:tcPr>
            <w:tcW w:w="3403"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Other sexual orientation not listed</w:t>
            </w:r>
          </w:p>
        </w:tc>
        <w:tc>
          <w:tcPr>
            <w:tcW w:w="171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4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0.7%</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0.2%</w:t>
            </w:r>
          </w:p>
        </w:tc>
      </w:tr>
      <w:tr w:rsidR="00C52449" w:rsidRPr="00AE49C8" w:rsidTr="00775191">
        <w:trPr>
          <w:cantSplit/>
          <w:trHeight w:val="312"/>
          <w:tblHeader/>
        </w:trPr>
        <w:tc>
          <w:tcPr>
            <w:tcW w:w="3403"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Undecided</w:t>
            </w:r>
          </w:p>
        </w:tc>
        <w:tc>
          <w:tcPr>
            <w:tcW w:w="171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0.7%</w:t>
            </w:r>
          </w:p>
        </w:tc>
        <w:tc>
          <w:tcPr>
            <w:tcW w:w="14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0.1%</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0.1%</w:t>
            </w:r>
          </w:p>
        </w:tc>
      </w:tr>
      <w:tr w:rsidR="00C52449" w:rsidRPr="00AE49C8" w:rsidTr="00775191">
        <w:trPr>
          <w:cantSplit/>
          <w:trHeight w:val="312"/>
          <w:tblHeader/>
        </w:trPr>
        <w:tc>
          <w:tcPr>
            <w:tcW w:w="3403"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71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4.0%</w:t>
            </w:r>
          </w:p>
        </w:tc>
        <w:tc>
          <w:tcPr>
            <w:tcW w:w="14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4.5%</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3.7%</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12.3%</w:t>
            </w:r>
          </w:p>
        </w:tc>
      </w:tr>
      <w:tr w:rsidR="00C52449" w:rsidRPr="00AE49C8" w:rsidTr="00775191">
        <w:trPr>
          <w:cantSplit/>
          <w:trHeight w:val="312"/>
          <w:tblHeader/>
        </w:trPr>
        <w:tc>
          <w:tcPr>
            <w:tcW w:w="3403"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71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2.2%</w:t>
            </w:r>
          </w:p>
        </w:tc>
        <w:tc>
          <w:tcPr>
            <w:tcW w:w="14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7.4%</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22.9%</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7.7%</w:t>
            </w:r>
          </w:p>
        </w:tc>
      </w:tr>
      <w:tr w:rsidR="00C52449" w:rsidRPr="00AE49C8" w:rsidTr="00775191">
        <w:trPr>
          <w:cantSplit/>
          <w:trHeight w:val="312"/>
          <w:tblHeader/>
        </w:trPr>
        <w:tc>
          <w:tcPr>
            <w:tcW w:w="3403"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Grand Total</w:t>
            </w:r>
          </w:p>
        </w:tc>
        <w:tc>
          <w:tcPr>
            <w:tcW w:w="171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4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3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1A2AAA" w:rsidRPr="00AE49C8" w:rsidRDefault="001A2AAA" w:rsidP="001A2AAA">
      <w:pPr>
        <w:spacing w:line="240" w:lineRule="auto"/>
        <w:jc w:val="center"/>
        <w:rPr>
          <w:b/>
        </w:rPr>
      </w:pPr>
    </w:p>
    <w:p w:rsidR="001A2AAA" w:rsidRPr="00AE49C8" w:rsidRDefault="00C52449" w:rsidP="001A2AAA">
      <w:pPr>
        <w:jc w:val="center"/>
        <w:rPr>
          <w:b/>
        </w:rPr>
      </w:pPr>
      <w:r w:rsidRPr="00AE49C8">
        <w:rPr>
          <w:noProof/>
          <w:lang w:eastAsia="en-GB"/>
        </w:rPr>
        <w:drawing>
          <wp:inline distT="0" distB="0" distL="0" distR="0" wp14:anchorId="5D37D84A" wp14:editId="42716CD8">
            <wp:extent cx="5731510" cy="2914327"/>
            <wp:effectExtent l="0" t="0" r="2540" b="635"/>
            <wp:docPr id="302" name="Chart 302" title="Representation of sexual orienation in recruitment processes compared to the overall workforce represen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A2AAA" w:rsidRPr="000D2F61" w:rsidRDefault="001A2AAA" w:rsidP="001A2AAA">
      <w:r w:rsidRPr="000D2F61">
        <w:t>Observations</w:t>
      </w:r>
    </w:p>
    <w:p w:rsidR="001A2AAA" w:rsidRPr="00AE49C8" w:rsidRDefault="00B36408" w:rsidP="00B36408">
      <w:pPr>
        <w:pStyle w:val="ListParagraph"/>
      </w:pPr>
      <w:r w:rsidRPr="00AE49C8">
        <w:t>There is a good representation for all declared sexual orientation compared to the overall workforce representation.</w:t>
      </w:r>
    </w:p>
    <w:p w:rsidR="00B36408" w:rsidRPr="00AE49C8" w:rsidRDefault="00B36408" w:rsidP="00B36408">
      <w:pPr>
        <w:pStyle w:val="ListParagraph"/>
      </w:pPr>
      <w:r w:rsidRPr="00AE49C8">
        <w:lastRenderedPageBreak/>
        <w:t>From the application to the shortlisting stage, increases in representation can be seen in bisexual, gay or lesbian, candidates that prefer not to say and unknown.  Broadly similar representation can be seen in other sexual orientations; a decrease in representation can be seen in heterosexuals and those identified as unidentified.</w:t>
      </w:r>
    </w:p>
    <w:p w:rsidR="00F27566" w:rsidRPr="00AE49C8" w:rsidRDefault="00F27566" w:rsidP="00B36408">
      <w:pPr>
        <w:pStyle w:val="ListParagraph"/>
      </w:pPr>
      <w:r w:rsidRPr="00AE49C8">
        <w:t>From the shortlisting and appointment stage, increases in representation can be seen in candidates that are gay or lesbian, other sexual orientation and unknown.  Decreases in representation can be seen in heterosexual, bisexual, undecided and those that prefer not to say.</w:t>
      </w:r>
    </w:p>
    <w:p w:rsidR="00F27566" w:rsidRPr="00AE49C8" w:rsidRDefault="00F27566" w:rsidP="00B36408">
      <w:pPr>
        <w:pStyle w:val="ListParagraph"/>
      </w:pPr>
      <w:r w:rsidRPr="00AE49C8">
        <w:t>Overall it appears that gay or lesbian candidates may benefit from the recruitment processes, while heterosexual and bisexual candidates may experience a disadvantage.</w:t>
      </w:r>
    </w:p>
    <w:p w:rsidR="00F27566" w:rsidRPr="00AE49C8" w:rsidRDefault="00F27566" w:rsidP="00B36408">
      <w:pPr>
        <w:pStyle w:val="ListParagraph"/>
      </w:pPr>
      <w:r w:rsidRPr="00AE49C8">
        <w:t>Compared to the overall workforce representation, a lower rate of candidates that preferred not to disclose their sexual orientation is entering the workforce</w:t>
      </w:r>
      <w:r w:rsidR="00DE0F16" w:rsidRPr="00AE49C8">
        <w:t>. Still,</w:t>
      </w:r>
      <w:r w:rsidRPr="00AE49C8">
        <w:t xml:space="preserve"> a </w:t>
      </w:r>
      <w:r w:rsidR="000D2F61">
        <w:t>more significant</w:t>
      </w:r>
      <w:r w:rsidRPr="00AE49C8">
        <w:t xml:space="preserve"> proportion where the sexual orientation is unknown ha</w:t>
      </w:r>
      <w:r w:rsidR="00DE0F16" w:rsidRPr="00AE49C8">
        <w:t>s</w:t>
      </w:r>
      <w:r w:rsidRPr="00AE49C8">
        <w:t xml:space="preserve"> been appointed.</w:t>
      </w:r>
    </w:p>
    <w:p w:rsidR="001A2AAA" w:rsidRPr="00AE49C8" w:rsidRDefault="001A2AAA" w:rsidP="001A2AAA">
      <w:pPr>
        <w:spacing w:line="240" w:lineRule="auto"/>
        <w:rPr>
          <w:b/>
        </w:rPr>
      </w:pPr>
      <w:r w:rsidRPr="00AE49C8">
        <w:rPr>
          <w:b/>
        </w:rPr>
        <w:t>WSHT</w:t>
      </w:r>
    </w:p>
    <w:tbl>
      <w:tblPr>
        <w:tblW w:w="9316" w:type="dxa"/>
        <w:tblInd w:w="93" w:type="dxa"/>
        <w:tblBorders>
          <w:insideH w:val="dotted" w:sz="4" w:space="0" w:color="auto"/>
        </w:tblBorders>
        <w:tblLook w:val="04A0" w:firstRow="1" w:lastRow="0" w:firstColumn="1" w:lastColumn="0" w:noHBand="0" w:noVBand="1"/>
        <w:tblCaption w:val="Representation of sexual orienation in recruitment processes"/>
      </w:tblPr>
      <w:tblGrid>
        <w:gridCol w:w="3524"/>
        <w:gridCol w:w="1736"/>
        <w:gridCol w:w="1470"/>
        <w:gridCol w:w="1403"/>
        <w:gridCol w:w="1403"/>
      </w:tblGrid>
      <w:tr w:rsidR="00C52449" w:rsidRPr="00AE49C8" w:rsidTr="00775191">
        <w:trPr>
          <w:cantSplit/>
          <w:trHeight w:val="402"/>
          <w:tblHeader/>
        </w:trPr>
        <w:tc>
          <w:tcPr>
            <w:tcW w:w="3524" w:type="dxa"/>
            <w:shd w:val="clear" w:color="auto" w:fill="auto"/>
            <w:hideMark/>
          </w:tcPr>
          <w:p w:rsidR="00C52449" w:rsidRPr="00AE49C8" w:rsidRDefault="00C52449" w:rsidP="00C52449">
            <w:pPr>
              <w:spacing w:after="0" w:line="240" w:lineRule="auto"/>
              <w:rPr>
                <w:rFonts w:eastAsia="Times New Roman"/>
                <w:b/>
                <w:color w:val="000000"/>
                <w:szCs w:val="24"/>
                <w:lang w:eastAsia="en-GB"/>
              </w:rPr>
            </w:pPr>
            <w:r w:rsidRPr="00AE49C8">
              <w:rPr>
                <w:rFonts w:eastAsia="Times New Roman"/>
                <w:b/>
                <w:color w:val="000000"/>
                <w:szCs w:val="24"/>
                <w:lang w:eastAsia="en-GB"/>
              </w:rPr>
              <w:t>Sexual Orientation</w:t>
            </w:r>
          </w:p>
        </w:tc>
        <w:tc>
          <w:tcPr>
            <w:tcW w:w="1736" w:type="dxa"/>
            <w:shd w:val="clear" w:color="auto" w:fill="auto"/>
            <w:hideMark/>
          </w:tcPr>
          <w:p w:rsidR="00C52449" w:rsidRPr="00AE49C8" w:rsidRDefault="00C52449" w:rsidP="00C52449">
            <w:pPr>
              <w:spacing w:after="0" w:line="240" w:lineRule="auto"/>
              <w:rPr>
                <w:rFonts w:eastAsia="Times New Roman"/>
                <w:b/>
                <w:color w:val="000000"/>
                <w:szCs w:val="24"/>
                <w:lang w:eastAsia="en-GB"/>
              </w:rPr>
            </w:pPr>
            <w:r w:rsidRPr="00AE49C8">
              <w:rPr>
                <w:rFonts w:eastAsia="Times New Roman"/>
                <w:b/>
                <w:color w:val="000000"/>
                <w:szCs w:val="24"/>
                <w:lang w:eastAsia="en-GB"/>
              </w:rPr>
              <w:t>Applications</w:t>
            </w:r>
          </w:p>
        </w:tc>
        <w:tc>
          <w:tcPr>
            <w:tcW w:w="1394" w:type="dxa"/>
            <w:shd w:val="clear" w:color="auto" w:fill="auto"/>
            <w:hideMark/>
          </w:tcPr>
          <w:p w:rsidR="00C52449" w:rsidRPr="00AE49C8" w:rsidRDefault="00C52449" w:rsidP="00C52449">
            <w:pPr>
              <w:spacing w:after="0" w:line="240" w:lineRule="auto"/>
              <w:rPr>
                <w:rFonts w:eastAsia="Times New Roman"/>
                <w:b/>
                <w:color w:val="000000"/>
                <w:szCs w:val="24"/>
                <w:lang w:eastAsia="en-GB"/>
              </w:rPr>
            </w:pPr>
            <w:r w:rsidRPr="00AE49C8">
              <w:rPr>
                <w:rFonts w:eastAsia="Times New Roman"/>
                <w:b/>
                <w:color w:val="000000"/>
                <w:szCs w:val="24"/>
                <w:lang w:eastAsia="en-GB"/>
              </w:rPr>
              <w:t>Shortlisted</w:t>
            </w:r>
          </w:p>
        </w:tc>
        <w:tc>
          <w:tcPr>
            <w:tcW w:w="1331" w:type="dxa"/>
            <w:shd w:val="clear" w:color="auto" w:fill="auto"/>
            <w:hideMark/>
          </w:tcPr>
          <w:p w:rsidR="00C52449" w:rsidRPr="00AE49C8" w:rsidRDefault="00C52449" w:rsidP="00C52449">
            <w:pPr>
              <w:spacing w:after="0" w:line="240" w:lineRule="auto"/>
              <w:rPr>
                <w:rFonts w:eastAsia="Times New Roman"/>
                <w:b/>
                <w:color w:val="000000"/>
                <w:szCs w:val="24"/>
                <w:lang w:eastAsia="en-GB"/>
              </w:rPr>
            </w:pPr>
            <w:r w:rsidRPr="00AE49C8">
              <w:rPr>
                <w:rFonts w:eastAsia="Times New Roman"/>
                <w:b/>
                <w:color w:val="000000"/>
                <w:szCs w:val="24"/>
                <w:lang w:eastAsia="en-GB"/>
              </w:rPr>
              <w:t>Appointed</w:t>
            </w:r>
          </w:p>
        </w:tc>
        <w:tc>
          <w:tcPr>
            <w:tcW w:w="1331" w:type="dxa"/>
            <w:shd w:val="clear" w:color="auto" w:fill="auto"/>
            <w:hideMark/>
          </w:tcPr>
          <w:p w:rsidR="00C52449" w:rsidRPr="00AE49C8" w:rsidRDefault="00C52449" w:rsidP="00C52449">
            <w:pPr>
              <w:spacing w:after="0" w:line="240" w:lineRule="auto"/>
              <w:rPr>
                <w:rFonts w:eastAsia="Times New Roman"/>
                <w:b/>
                <w:color w:val="000000"/>
                <w:szCs w:val="24"/>
                <w:lang w:eastAsia="en-GB"/>
              </w:rPr>
            </w:pPr>
            <w:r w:rsidRPr="00AE49C8">
              <w:rPr>
                <w:rFonts w:eastAsia="Times New Roman"/>
                <w:b/>
                <w:color w:val="000000"/>
                <w:szCs w:val="24"/>
                <w:lang w:eastAsia="en-GB"/>
              </w:rPr>
              <w:t>Workforce</w:t>
            </w:r>
          </w:p>
        </w:tc>
      </w:tr>
      <w:tr w:rsidR="00C52449" w:rsidRPr="00AE49C8" w:rsidTr="00775191">
        <w:trPr>
          <w:cantSplit/>
          <w:trHeight w:val="312"/>
          <w:tblHeader/>
        </w:trPr>
        <w:tc>
          <w:tcPr>
            <w:tcW w:w="35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Heterosexual or Straight</w:t>
            </w:r>
          </w:p>
        </w:tc>
        <w:tc>
          <w:tcPr>
            <w:tcW w:w="173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91.9%</w:t>
            </w:r>
          </w:p>
        </w:tc>
        <w:tc>
          <w:tcPr>
            <w:tcW w:w="139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89.5%</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88.9%</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76.9%</w:t>
            </w:r>
          </w:p>
        </w:tc>
      </w:tr>
      <w:tr w:rsidR="00C52449" w:rsidRPr="00AE49C8" w:rsidTr="00775191">
        <w:trPr>
          <w:cantSplit/>
          <w:trHeight w:val="312"/>
          <w:tblHeader/>
        </w:trPr>
        <w:tc>
          <w:tcPr>
            <w:tcW w:w="35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Bisexual</w:t>
            </w:r>
          </w:p>
        </w:tc>
        <w:tc>
          <w:tcPr>
            <w:tcW w:w="173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1.8%</w:t>
            </w:r>
          </w:p>
        </w:tc>
        <w:tc>
          <w:tcPr>
            <w:tcW w:w="139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2.2%</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2.0%</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0.9%</w:t>
            </w:r>
          </w:p>
        </w:tc>
      </w:tr>
      <w:tr w:rsidR="00C52449" w:rsidRPr="00AE49C8" w:rsidTr="00775191">
        <w:trPr>
          <w:cantSplit/>
          <w:trHeight w:val="312"/>
          <w:tblHeader/>
        </w:trPr>
        <w:tc>
          <w:tcPr>
            <w:tcW w:w="35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Gay or Lesbian</w:t>
            </w:r>
          </w:p>
        </w:tc>
        <w:tc>
          <w:tcPr>
            <w:tcW w:w="173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2.2%</w:t>
            </w:r>
          </w:p>
        </w:tc>
        <w:tc>
          <w:tcPr>
            <w:tcW w:w="139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2.9%</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2.3%</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1.6%</w:t>
            </w:r>
          </w:p>
        </w:tc>
      </w:tr>
      <w:tr w:rsidR="00C52449" w:rsidRPr="00AE49C8" w:rsidTr="00775191">
        <w:trPr>
          <w:cantSplit/>
          <w:trHeight w:val="312"/>
          <w:tblHeader/>
        </w:trPr>
        <w:tc>
          <w:tcPr>
            <w:tcW w:w="35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Other sexual orientation not listed</w:t>
            </w:r>
          </w:p>
        </w:tc>
        <w:tc>
          <w:tcPr>
            <w:tcW w:w="173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0.3%</w:t>
            </w:r>
          </w:p>
        </w:tc>
        <w:tc>
          <w:tcPr>
            <w:tcW w:w="139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0.2%</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C52449" w:rsidRPr="00AE49C8" w:rsidTr="00775191">
        <w:trPr>
          <w:cantSplit/>
          <w:trHeight w:val="312"/>
          <w:tblHeader/>
        </w:trPr>
        <w:tc>
          <w:tcPr>
            <w:tcW w:w="35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Undecided</w:t>
            </w:r>
          </w:p>
        </w:tc>
        <w:tc>
          <w:tcPr>
            <w:tcW w:w="173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139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0.3%</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0.2%</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C52449" w:rsidRPr="00AE49C8" w:rsidTr="00775191">
        <w:trPr>
          <w:cantSplit/>
          <w:trHeight w:val="312"/>
          <w:tblHeader/>
        </w:trPr>
        <w:tc>
          <w:tcPr>
            <w:tcW w:w="35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73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2.9%</w:t>
            </w:r>
          </w:p>
        </w:tc>
        <w:tc>
          <w:tcPr>
            <w:tcW w:w="139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3.4%</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2.7%</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19.9%</w:t>
            </w:r>
          </w:p>
        </w:tc>
      </w:tr>
      <w:tr w:rsidR="00C52449" w:rsidRPr="00AE49C8" w:rsidTr="00775191">
        <w:trPr>
          <w:cantSplit/>
          <w:trHeight w:val="312"/>
          <w:tblHeader/>
        </w:trPr>
        <w:tc>
          <w:tcPr>
            <w:tcW w:w="35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73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0.4%</w:t>
            </w:r>
          </w:p>
        </w:tc>
        <w:tc>
          <w:tcPr>
            <w:tcW w:w="139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3.9%</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0.7%</w:t>
            </w:r>
          </w:p>
        </w:tc>
      </w:tr>
      <w:tr w:rsidR="00C52449" w:rsidRPr="00AE49C8" w:rsidTr="00775191">
        <w:trPr>
          <w:cantSplit/>
          <w:trHeight w:val="312"/>
          <w:tblHeader/>
        </w:trPr>
        <w:tc>
          <w:tcPr>
            <w:tcW w:w="352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Grand Total</w:t>
            </w:r>
          </w:p>
        </w:tc>
        <w:tc>
          <w:tcPr>
            <w:tcW w:w="173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394"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33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1A2AAA" w:rsidRPr="00AE49C8" w:rsidRDefault="001A2AAA" w:rsidP="001A2AAA">
      <w:pPr>
        <w:spacing w:line="240" w:lineRule="auto"/>
        <w:jc w:val="center"/>
        <w:rPr>
          <w:b/>
        </w:rPr>
      </w:pPr>
    </w:p>
    <w:p w:rsidR="001A2AAA" w:rsidRPr="00AE49C8" w:rsidRDefault="00C52449" w:rsidP="00C52449">
      <w:pPr>
        <w:jc w:val="center"/>
        <w:rPr>
          <w:b/>
        </w:rPr>
      </w:pPr>
      <w:r w:rsidRPr="00AE49C8">
        <w:rPr>
          <w:noProof/>
          <w:lang w:eastAsia="en-GB"/>
        </w:rPr>
        <w:lastRenderedPageBreak/>
        <w:drawing>
          <wp:inline distT="0" distB="0" distL="0" distR="0" wp14:anchorId="14696BC5" wp14:editId="2B581B1E">
            <wp:extent cx="6286500" cy="2919845"/>
            <wp:effectExtent l="0" t="0" r="0" b="0"/>
            <wp:docPr id="303" name="Chart 303" title="Representation of sexual orienation in recruitment processes compared to the overall workforce represen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1A2AAA" w:rsidRPr="000D2F61" w:rsidRDefault="001A2AAA" w:rsidP="001A2AAA">
      <w:r w:rsidRPr="000D2F61">
        <w:t>Observations</w:t>
      </w:r>
    </w:p>
    <w:p w:rsidR="001A2AAA" w:rsidRPr="00AE49C8" w:rsidRDefault="00DE0F16" w:rsidP="00DE0F16">
      <w:pPr>
        <w:pStyle w:val="ListParagraph"/>
      </w:pPr>
      <w:r w:rsidRPr="00AE49C8">
        <w:t>Candidates that identify as bisexual, gay or lesbian, hetero and undecided, are well represented throughout the recruitment process.</w:t>
      </w:r>
    </w:p>
    <w:p w:rsidR="00DE0F16" w:rsidRPr="00AE49C8" w:rsidRDefault="00DE0F16" w:rsidP="00DE0F16">
      <w:pPr>
        <w:pStyle w:val="ListParagraph"/>
      </w:pPr>
      <w:r w:rsidRPr="00AE49C8">
        <w:t>From application to the shortlisting stage, there is an increase in bisexual, gay or lesbian, prefer not to say and unknown representation; candidates that are heterosexual same a broadly equal representation and decreases were seen in other sexual orientation and undecided.</w:t>
      </w:r>
    </w:p>
    <w:p w:rsidR="00DE0F16" w:rsidRPr="00AE49C8" w:rsidRDefault="00DE0F16" w:rsidP="00DE0F16">
      <w:pPr>
        <w:pStyle w:val="ListParagraph"/>
      </w:pPr>
      <w:r w:rsidRPr="00AE49C8">
        <w:t>The outcomes for other sexual orientation and undecided suggests that they may experience a detriment in the recruitment processes.</w:t>
      </w:r>
    </w:p>
    <w:p w:rsidR="00DE0F16" w:rsidRPr="00AE49C8" w:rsidRDefault="00DE0F16" w:rsidP="00DE0F16">
      <w:pPr>
        <w:pStyle w:val="ListParagraph"/>
      </w:pPr>
      <w:r w:rsidRPr="00AE49C8">
        <w:t>Compared to the overall workforce representation, a proportionally small number of candidates who have elected not to declare their sexual orientation or where the sexual orientation is unknown will be entering the workforce.</w:t>
      </w:r>
    </w:p>
    <w:p w:rsidR="001A2AAA" w:rsidRPr="00AE49C8" w:rsidRDefault="001A2AAA" w:rsidP="00DE0F16">
      <w:pPr>
        <w:pStyle w:val="Heading3"/>
      </w:pPr>
      <w:bookmarkStart w:id="77" w:name="_Toc88634024"/>
      <w:r w:rsidRPr="00AE49C8">
        <w:t>Uptake of non-mandatory training or continuing professional development</w:t>
      </w:r>
      <w:bookmarkEnd w:id="77"/>
    </w:p>
    <w:p w:rsidR="001A2AAA" w:rsidRPr="00AE49C8" w:rsidRDefault="001A2AAA" w:rsidP="001A2AAA">
      <w:pPr>
        <w:rPr>
          <w:b/>
        </w:rPr>
      </w:pPr>
      <w:r w:rsidRPr="00AE49C8">
        <w:rPr>
          <w:b/>
        </w:rPr>
        <w:t>BSUH</w:t>
      </w:r>
    </w:p>
    <w:tbl>
      <w:tblPr>
        <w:tblW w:w="9942" w:type="dxa"/>
        <w:jc w:val="center"/>
        <w:tblBorders>
          <w:insideH w:val="dotted" w:sz="4" w:space="0" w:color="auto"/>
        </w:tblBorders>
        <w:tblLook w:val="04A0" w:firstRow="1" w:lastRow="0" w:firstColumn="1" w:lastColumn="0" w:noHBand="0" w:noVBand="1"/>
        <w:tblCaption w:val="Non-mandatory/CPD training uptake by sexual orientation"/>
      </w:tblPr>
      <w:tblGrid>
        <w:gridCol w:w="3559"/>
        <w:gridCol w:w="2410"/>
        <w:gridCol w:w="2268"/>
        <w:gridCol w:w="1884"/>
      </w:tblGrid>
      <w:tr w:rsidR="00C52449" w:rsidRPr="00AE49C8" w:rsidTr="00DE0F16">
        <w:trPr>
          <w:cantSplit/>
          <w:trHeight w:val="312"/>
          <w:tblHeader/>
          <w:jc w:val="center"/>
        </w:trPr>
        <w:tc>
          <w:tcPr>
            <w:tcW w:w="3559" w:type="dxa"/>
            <w:shd w:val="clear" w:color="auto" w:fill="auto"/>
            <w:noWrap/>
            <w:hideMark/>
          </w:tcPr>
          <w:p w:rsidR="00C52449" w:rsidRPr="00AE49C8" w:rsidRDefault="00C52449" w:rsidP="00C52449">
            <w:pPr>
              <w:spacing w:after="0" w:line="240" w:lineRule="auto"/>
              <w:rPr>
                <w:rFonts w:eastAsia="Times New Roman"/>
                <w:b/>
                <w:bCs/>
                <w:color w:val="000000"/>
                <w:szCs w:val="24"/>
                <w:lang w:eastAsia="en-GB"/>
              </w:rPr>
            </w:pPr>
            <w:r w:rsidRPr="00AE49C8">
              <w:rPr>
                <w:rFonts w:eastAsia="Times New Roman"/>
                <w:b/>
                <w:bCs/>
                <w:color w:val="000000"/>
                <w:szCs w:val="24"/>
                <w:lang w:eastAsia="en-GB"/>
              </w:rPr>
              <w:t>Sexual orientation</w:t>
            </w:r>
          </w:p>
        </w:tc>
        <w:tc>
          <w:tcPr>
            <w:tcW w:w="2410" w:type="dxa"/>
            <w:shd w:val="clear" w:color="auto" w:fill="auto"/>
            <w:noWrap/>
            <w:hideMark/>
          </w:tcPr>
          <w:p w:rsidR="00C52449" w:rsidRPr="00AE49C8" w:rsidRDefault="00C52449" w:rsidP="00C52449">
            <w:pPr>
              <w:spacing w:after="0" w:line="240" w:lineRule="auto"/>
              <w:rPr>
                <w:rFonts w:eastAsia="Times New Roman"/>
                <w:b/>
                <w:bCs/>
                <w:color w:val="000000"/>
                <w:szCs w:val="24"/>
                <w:lang w:eastAsia="en-GB"/>
              </w:rPr>
            </w:pPr>
            <w:r w:rsidRPr="00AE49C8">
              <w:rPr>
                <w:rFonts w:eastAsia="Times New Roman"/>
                <w:b/>
                <w:bCs/>
                <w:color w:val="000000"/>
                <w:szCs w:val="24"/>
                <w:lang w:eastAsia="en-GB"/>
              </w:rPr>
              <w:t>No. of staff attending training</w:t>
            </w:r>
          </w:p>
        </w:tc>
        <w:tc>
          <w:tcPr>
            <w:tcW w:w="2268" w:type="dxa"/>
            <w:shd w:val="clear" w:color="auto" w:fill="auto"/>
            <w:noWrap/>
            <w:hideMark/>
          </w:tcPr>
          <w:p w:rsidR="00C52449" w:rsidRPr="00AE49C8" w:rsidRDefault="00C52449" w:rsidP="00C52449">
            <w:pPr>
              <w:spacing w:after="0" w:line="240" w:lineRule="auto"/>
              <w:rPr>
                <w:rFonts w:eastAsia="Times New Roman"/>
                <w:b/>
                <w:bCs/>
                <w:color w:val="000000"/>
                <w:szCs w:val="24"/>
                <w:lang w:eastAsia="en-GB"/>
              </w:rPr>
            </w:pPr>
            <w:r w:rsidRPr="00AE49C8">
              <w:rPr>
                <w:rFonts w:eastAsia="Times New Roman"/>
                <w:b/>
                <w:bCs/>
                <w:color w:val="000000"/>
                <w:szCs w:val="24"/>
                <w:lang w:eastAsia="en-GB"/>
              </w:rPr>
              <w:t>% of staff attending training</w:t>
            </w:r>
          </w:p>
        </w:tc>
        <w:tc>
          <w:tcPr>
            <w:tcW w:w="1705" w:type="dxa"/>
            <w:shd w:val="clear" w:color="auto" w:fill="auto"/>
            <w:noWrap/>
            <w:hideMark/>
          </w:tcPr>
          <w:p w:rsidR="00C52449" w:rsidRPr="00AE49C8" w:rsidRDefault="00C52449" w:rsidP="00C52449">
            <w:pPr>
              <w:spacing w:after="0" w:line="240" w:lineRule="auto"/>
              <w:rPr>
                <w:rFonts w:eastAsia="Times New Roman"/>
                <w:b/>
                <w:bCs/>
                <w:color w:val="000000"/>
                <w:szCs w:val="24"/>
                <w:lang w:eastAsia="en-GB"/>
              </w:rPr>
            </w:pPr>
            <w:r w:rsidRPr="00AE49C8">
              <w:rPr>
                <w:rFonts w:eastAsia="Times New Roman"/>
                <w:b/>
                <w:bCs/>
                <w:color w:val="000000"/>
                <w:szCs w:val="24"/>
                <w:lang w:eastAsia="en-GB"/>
              </w:rPr>
              <w:t>% workforce representation</w:t>
            </w:r>
          </w:p>
        </w:tc>
      </w:tr>
      <w:tr w:rsidR="00C52449" w:rsidRPr="00AE49C8" w:rsidTr="00DE0F16">
        <w:trPr>
          <w:cantSplit/>
          <w:trHeight w:val="312"/>
          <w:tblHeader/>
          <w:jc w:val="center"/>
        </w:trPr>
        <w:tc>
          <w:tcPr>
            <w:tcW w:w="35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Bisexual</w:t>
            </w:r>
          </w:p>
        </w:tc>
        <w:tc>
          <w:tcPr>
            <w:tcW w:w="2410"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9</w:t>
            </w:r>
          </w:p>
        </w:tc>
        <w:tc>
          <w:tcPr>
            <w:tcW w:w="2268"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2.7%</w:t>
            </w: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1.9%</w:t>
            </w:r>
          </w:p>
        </w:tc>
      </w:tr>
      <w:tr w:rsidR="00C52449" w:rsidRPr="00AE49C8" w:rsidTr="00DE0F16">
        <w:trPr>
          <w:cantSplit/>
          <w:trHeight w:val="312"/>
          <w:tblHeader/>
          <w:jc w:val="center"/>
        </w:trPr>
        <w:tc>
          <w:tcPr>
            <w:tcW w:w="35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Gay or Lesbian</w:t>
            </w:r>
          </w:p>
        </w:tc>
        <w:tc>
          <w:tcPr>
            <w:tcW w:w="2410"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15</w:t>
            </w:r>
          </w:p>
        </w:tc>
        <w:tc>
          <w:tcPr>
            <w:tcW w:w="2268"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4.5%</w:t>
            </w: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5.0%</w:t>
            </w:r>
          </w:p>
        </w:tc>
      </w:tr>
      <w:tr w:rsidR="00C52449" w:rsidRPr="00AE49C8" w:rsidTr="00DE0F16">
        <w:trPr>
          <w:cantSplit/>
          <w:trHeight w:val="312"/>
          <w:tblHeader/>
          <w:jc w:val="center"/>
        </w:trPr>
        <w:tc>
          <w:tcPr>
            <w:tcW w:w="35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Heterosexual</w:t>
            </w:r>
          </w:p>
        </w:tc>
        <w:tc>
          <w:tcPr>
            <w:tcW w:w="2410"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289</w:t>
            </w:r>
          </w:p>
        </w:tc>
        <w:tc>
          <w:tcPr>
            <w:tcW w:w="2268"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86.5%</w:t>
            </w: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72.8%</w:t>
            </w:r>
          </w:p>
        </w:tc>
      </w:tr>
      <w:tr w:rsidR="00C52449" w:rsidRPr="00AE49C8" w:rsidTr="00DE0F16">
        <w:trPr>
          <w:cantSplit/>
          <w:trHeight w:val="312"/>
          <w:tblHeader/>
          <w:jc w:val="center"/>
        </w:trPr>
        <w:tc>
          <w:tcPr>
            <w:tcW w:w="8237" w:type="dxa"/>
            <w:gridSpan w:val="3"/>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Other sexual orientation not listed</w:t>
            </w: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0.2%</w:t>
            </w:r>
          </w:p>
        </w:tc>
      </w:tr>
      <w:tr w:rsidR="00C52449" w:rsidRPr="00AE49C8" w:rsidTr="00DE0F16">
        <w:trPr>
          <w:cantSplit/>
          <w:trHeight w:val="312"/>
          <w:tblHeader/>
          <w:jc w:val="center"/>
        </w:trPr>
        <w:tc>
          <w:tcPr>
            <w:tcW w:w="35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2410"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21</w:t>
            </w:r>
          </w:p>
        </w:tc>
        <w:tc>
          <w:tcPr>
            <w:tcW w:w="2268"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6.3%</w:t>
            </w: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12.3%</w:t>
            </w:r>
          </w:p>
        </w:tc>
      </w:tr>
      <w:tr w:rsidR="00C52449" w:rsidRPr="00AE49C8" w:rsidTr="00DE0F16">
        <w:trPr>
          <w:cantSplit/>
          <w:trHeight w:val="312"/>
          <w:tblHeader/>
          <w:jc w:val="center"/>
        </w:trPr>
        <w:tc>
          <w:tcPr>
            <w:tcW w:w="35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Undecided</w:t>
            </w:r>
          </w:p>
        </w:tc>
        <w:tc>
          <w:tcPr>
            <w:tcW w:w="2410"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p>
        </w:tc>
        <w:tc>
          <w:tcPr>
            <w:tcW w:w="2268"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0.1%</w:t>
            </w:r>
          </w:p>
        </w:tc>
      </w:tr>
      <w:tr w:rsidR="00C52449" w:rsidRPr="00AE49C8" w:rsidTr="00DE0F16">
        <w:trPr>
          <w:cantSplit/>
          <w:trHeight w:val="312"/>
          <w:tblHeader/>
          <w:jc w:val="center"/>
        </w:trPr>
        <w:tc>
          <w:tcPr>
            <w:tcW w:w="35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2410"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p>
        </w:tc>
        <w:tc>
          <w:tcPr>
            <w:tcW w:w="2268"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7.7%</w:t>
            </w:r>
          </w:p>
        </w:tc>
      </w:tr>
      <w:tr w:rsidR="00C52449" w:rsidRPr="00AE49C8" w:rsidTr="00DE0F16">
        <w:trPr>
          <w:cantSplit/>
          <w:trHeight w:val="312"/>
          <w:tblHeader/>
          <w:jc w:val="center"/>
        </w:trPr>
        <w:tc>
          <w:tcPr>
            <w:tcW w:w="3559"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Grand Total</w:t>
            </w:r>
          </w:p>
        </w:tc>
        <w:tc>
          <w:tcPr>
            <w:tcW w:w="2410"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334</w:t>
            </w:r>
          </w:p>
        </w:tc>
        <w:tc>
          <w:tcPr>
            <w:tcW w:w="2268"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1A2AAA" w:rsidRPr="00AE49C8" w:rsidRDefault="001A2AAA" w:rsidP="001A2AAA">
      <w:pPr>
        <w:jc w:val="center"/>
        <w:rPr>
          <w:b/>
        </w:rPr>
      </w:pPr>
    </w:p>
    <w:p w:rsidR="001A2AAA" w:rsidRPr="00AE49C8" w:rsidRDefault="00C52449" w:rsidP="001A2AAA">
      <w:pPr>
        <w:jc w:val="center"/>
        <w:rPr>
          <w:b/>
        </w:rPr>
      </w:pPr>
      <w:r w:rsidRPr="00AE49C8">
        <w:rPr>
          <w:noProof/>
          <w:lang w:eastAsia="en-GB"/>
        </w:rPr>
        <w:lastRenderedPageBreak/>
        <w:drawing>
          <wp:inline distT="0" distB="0" distL="0" distR="0" wp14:anchorId="6E150A5D" wp14:editId="383B8207">
            <wp:extent cx="4572000" cy="2758440"/>
            <wp:effectExtent l="0" t="0" r="0" b="3810"/>
            <wp:docPr id="304" name="Chart 304" title="Non-mandatory/CPD training uptake by sexual ori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A2AAA" w:rsidRPr="000D2F61" w:rsidRDefault="001A2AAA" w:rsidP="001A2AAA">
      <w:r w:rsidRPr="000D2F61">
        <w:t>Observations</w:t>
      </w:r>
    </w:p>
    <w:p w:rsidR="001A2AAA" w:rsidRPr="00AE49C8" w:rsidRDefault="00DE0F16" w:rsidP="00DE0F16">
      <w:pPr>
        <w:pStyle w:val="ListParagraph"/>
      </w:pPr>
      <w:r w:rsidRPr="00AE49C8">
        <w:t>Compared to the overall workforce representation, there is a greater than an expected representation of bisexual and heterosexual staff and a lower than an expected representation of gay or lesbian or prefer not to say.</w:t>
      </w:r>
    </w:p>
    <w:p w:rsidR="001A2AAA" w:rsidRPr="00AE49C8" w:rsidRDefault="001A2AAA" w:rsidP="001A2AAA">
      <w:pPr>
        <w:rPr>
          <w:b/>
        </w:rPr>
      </w:pPr>
      <w:r w:rsidRPr="00AE49C8">
        <w:rPr>
          <w:b/>
        </w:rPr>
        <w:t>WSHT</w:t>
      </w:r>
    </w:p>
    <w:tbl>
      <w:tblPr>
        <w:tblW w:w="9942" w:type="dxa"/>
        <w:jc w:val="center"/>
        <w:tblBorders>
          <w:insideH w:val="dotted" w:sz="4" w:space="0" w:color="auto"/>
        </w:tblBorders>
        <w:tblLook w:val="04A0" w:firstRow="1" w:lastRow="0" w:firstColumn="1" w:lastColumn="0" w:noHBand="0" w:noVBand="1"/>
        <w:tblCaption w:val="Non-mandatory/CPD training uptake by sexual orientation"/>
      </w:tblPr>
      <w:tblGrid>
        <w:gridCol w:w="3701"/>
        <w:gridCol w:w="2410"/>
        <w:gridCol w:w="2126"/>
        <w:gridCol w:w="1884"/>
      </w:tblGrid>
      <w:tr w:rsidR="00C52449" w:rsidRPr="00AE49C8" w:rsidTr="00DE0F16">
        <w:trPr>
          <w:cantSplit/>
          <w:trHeight w:val="312"/>
          <w:tblHeader/>
          <w:jc w:val="center"/>
        </w:trPr>
        <w:tc>
          <w:tcPr>
            <w:tcW w:w="3701" w:type="dxa"/>
            <w:shd w:val="clear" w:color="auto" w:fill="auto"/>
            <w:noWrap/>
            <w:hideMark/>
          </w:tcPr>
          <w:p w:rsidR="00C52449" w:rsidRPr="00AE49C8" w:rsidRDefault="00C52449" w:rsidP="00C52449">
            <w:pPr>
              <w:spacing w:after="0" w:line="240" w:lineRule="auto"/>
              <w:rPr>
                <w:rFonts w:eastAsia="Times New Roman"/>
                <w:b/>
                <w:bCs/>
                <w:color w:val="000000"/>
                <w:szCs w:val="24"/>
                <w:lang w:eastAsia="en-GB"/>
              </w:rPr>
            </w:pPr>
            <w:r w:rsidRPr="00AE49C8">
              <w:rPr>
                <w:rFonts w:eastAsia="Times New Roman"/>
                <w:b/>
                <w:bCs/>
                <w:color w:val="000000"/>
                <w:szCs w:val="24"/>
                <w:lang w:eastAsia="en-GB"/>
              </w:rPr>
              <w:t>Sexual orientation</w:t>
            </w:r>
          </w:p>
        </w:tc>
        <w:tc>
          <w:tcPr>
            <w:tcW w:w="2410" w:type="dxa"/>
            <w:shd w:val="clear" w:color="auto" w:fill="auto"/>
            <w:noWrap/>
            <w:hideMark/>
          </w:tcPr>
          <w:p w:rsidR="00C52449" w:rsidRPr="00AE49C8" w:rsidRDefault="00C52449" w:rsidP="00C52449">
            <w:pPr>
              <w:spacing w:after="0" w:line="240" w:lineRule="auto"/>
              <w:rPr>
                <w:rFonts w:eastAsia="Times New Roman"/>
                <w:b/>
                <w:bCs/>
                <w:color w:val="000000"/>
                <w:szCs w:val="24"/>
                <w:lang w:eastAsia="en-GB"/>
              </w:rPr>
            </w:pPr>
            <w:r w:rsidRPr="00AE49C8">
              <w:rPr>
                <w:rFonts w:eastAsia="Times New Roman"/>
                <w:b/>
                <w:bCs/>
                <w:color w:val="000000"/>
                <w:szCs w:val="24"/>
                <w:lang w:eastAsia="en-GB"/>
              </w:rPr>
              <w:t>No. of staff attending training</w:t>
            </w:r>
          </w:p>
        </w:tc>
        <w:tc>
          <w:tcPr>
            <w:tcW w:w="2126" w:type="dxa"/>
            <w:shd w:val="clear" w:color="auto" w:fill="auto"/>
            <w:noWrap/>
            <w:hideMark/>
          </w:tcPr>
          <w:p w:rsidR="00C52449" w:rsidRPr="00AE49C8" w:rsidRDefault="00C52449" w:rsidP="00C52449">
            <w:pPr>
              <w:spacing w:after="0" w:line="240" w:lineRule="auto"/>
              <w:rPr>
                <w:rFonts w:eastAsia="Times New Roman"/>
                <w:b/>
                <w:bCs/>
                <w:color w:val="000000"/>
                <w:szCs w:val="24"/>
                <w:lang w:eastAsia="en-GB"/>
              </w:rPr>
            </w:pPr>
            <w:r w:rsidRPr="00AE49C8">
              <w:rPr>
                <w:rFonts w:eastAsia="Times New Roman"/>
                <w:b/>
                <w:bCs/>
                <w:color w:val="000000"/>
                <w:szCs w:val="24"/>
                <w:lang w:eastAsia="en-GB"/>
              </w:rPr>
              <w:t>% of staff attending training</w:t>
            </w:r>
          </w:p>
        </w:tc>
        <w:tc>
          <w:tcPr>
            <w:tcW w:w="1705" w:type="dxa"/>
            <w:shd w:val="clear" w:color="auto" w:fill="auto"/>
            <w:noWrap/>
            <w:hideMark/>
          </w:tcPr>
          <w:p w:rsidR="00C52449" w:rsidRPr="00AE49C8" w:rsidRDefault="00C52449" w:rsidP="00C52449">
            <w:pPr>
              <w:spacing w:after="0" w:line="240" w:lineRule="auto"/>
              <w:rPr>
                <w:rFonts w:eastAsia="Times New Roman"/>
                <w:b/>
                <w:bCs/>
                <w:color w:val="000000"/>
                <w:szCs w:val="24"/>
                <w:lang w:eastAsia="en-GB"/>
              </w:rPr>
            </w:pPr>
            <w:r w:rsidRPr="00AE49C8">
              <w:rPr>
                <w:rFonts w:eastAsia="Times New Roman"/>
                <w:b/>
                <w:bCs/>
                <w:color w:val="000000"/>
                <w:szCs w:val="24"/>
                <w:lang w:eastAsia="en-GB"/>
              </w:rPr>
              <w:t>% workforce representation</w:t>
            </w:r>
          </w:p>
        </w:tc>
      </w:tr>
      <w:tr w:rsidR="00C52449" w:rsidRPr="00AE49C8" w:rsidTr="00DE0F16">
        <w:trPr>
          <w:cantSplit/>
          <w:trHeight w:val="312"/>
          <w:tblHeader/>
          <w:jc w:val="center"/>
        </w:trPr>
        <w:tc>
          <w:tcPr>
            <w:tcW w:w="370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Bisexual</w:t>
            </w:r>
          </w:p>
        </w:tc>
        <w:tc>
          <w:tcPr>
            <w:tcW w:w="2410"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34</w:t>
            </w:r>
          </w:p>
        </w:tc>
        <w:tc>
          <w:tcPr>
            <w:tcW w:w="212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1.2%</w:t>
            </w: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0.9%</w:t>
            </w:r>
          </w:p>
        </w:tc>
      </w:tr>
      <w:tr w:rsidR="00C52449" w:rsidRPr="00AE49C8" w:rsidTr="00DE0F16">
        <w:trPr>
          <w:cantSplit/>
          <w:trHeight w:val="312"/>
          <w:tblHeader/>
          <w:jc w:val="center"/>
        </w:trPr>
        <w:tc>
          <w:tcPr>
            <w:tcW w:w="370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Gay or Lesbian</w:t>
            </w:r>
          </w:p>
        </w:tc>
        <w:tc>
          <w:tcPr>
            <w:tcW w:w="2410"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56</w:t>
            </w:r>
          </w:p>
        </w:tc>
        <w:tc>
          <w:tcPr>
            <w:tcW w:w="212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2.0%</w:t>
            </w: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1.6%</w:t>
            </w:r>
          </w:p>
        </w:tc>
      </w:tr>
      <w:tr w:rsidR="00C52449" w:rsidRPr="00AE49C8" w:rsidTr="00DE0F16">
        <w:trPr>
          <w:cantSplit/>
          <w:trHeight w:val="312"/>
          <w:tblHeader/>
          <w:jc w:val="center"/>
        </w:trPr>
        <w:tc>
          <w:tcPr>
            <w:tcW w:w="370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Heterosexual</w:t>
            </w:r>
          </w:p>
        </w:tc>
        <w:tc>
          <w:tcPr>
            <w:tcW w:w="2410"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2138</w:t>
            </w:r>
          </w:p>
        </w:tc>
        <w:tc>
          <w:tcPr>
            <w:tcW w:w="212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78.0%</w:t>
            </w: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76.9%</w:t>
            </w:r>
          </w:p>
        </w:tc>
      </w:tr>
      <w:tr w:rsidR="00C52449" w:rsidRPr="00AE49C8" w:rsidTr="00DE0F16">
        <w:trPr>
          <w:cantSplit/>
          <w:trHeight w:val="312"/>
          <w:tblHeader/>
          <w:jc w:val="center"/>
        </w:trPr>
        <w:tc>
          <w:tcPr>
            <w:tcW w:w="370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Other sexual orientation not listed</w:t>
            </w:r>
          </w:p>
        </w:tc>
        <w:tc>
          <w:tcPr>
            <w:tcW w:w="2410"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212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C52449" w:rsidRPr="00AE49C8" w:rsidTr="00DE0F16">
        <w:trPr>
          <w:cantSplit/>
          <w:trHeight w:val="312"/>
          <w:tblHeader/>
          <w:jc w:val="center"/>
        </w:trPr>
        <w:tc>
          <w:tcPr>
            <w:tcW w:w="370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2410"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494</w:t>
            </w:r>
          </w:p>
        </w:tc>
        <w:tc>
          <w:tcPr>
            <w:tcW w:w="212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18.0%</w:t>
            </w: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19.9%</w:t>
            </w:r>
          </w:p>
        </w:tc>
      </w:tr>
      <w:tr w:rsidR="00C52449" w:rsidRPr="00AE49C8" w:rsidTr="00DE0F16">
        <w:trPr>
          <w:cantSplit/>
          <w:trHeight w:val="312"/>
          <w:tblHeader/>
          <w:jc w:val="center"/>
        </w:trPr>
        <w:tc>
          <w:tcPr>
            <w:tcW w:w="370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Undecided</w:t>
            </w:r>
          </w:p>
        </w:tc>
        <w:tc>
          <w:tcPr>
            <w:tcW w:w="2410"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212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C52449" w:rsidRPr="00AE49C8" w:rsidTr="00DE0F16">
        <w:trPr>
          <w:cantSplit/>
          <w:trHeight w:val="312"/>
          <w:tblHeader/>
          <w:jc w:val="center"/>
        </w:trPr>
        <w:tc>
          <w:tcPr>
            <w:tcW w:w="370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2410"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17</w:t>
            </w:r>
          </w:p>
        </w:tc>
        <w:tc>
          <w:tcPr>
            <w:tcW w:w="212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0.6%</w:t>
            </w: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0.7%</w:t>
            </w:r>
          </w:p>
        </w:tc>
      </w:tr>
      <w:tr w:rsidR="00C52449" w:rsidRPr="00AE49C8" w:rsidTr="00DE0F16">
        <w:trPr>
          <w:cantSplit/>
          <w:trHeight w:val="312"/>
          <w:tblHeader/>
          <w:jc w:val="center"/>
        </w:trPr>
        <w:tc>
          <w:tcPr>
            <w:tcW w:w="3701"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Grand Total</w:t>
            </w:r>
          </w:p>
        </w:tc>
        <w:tc>
          <w:tcPr>
            <w:tcW w:w="2410"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2741</w:t>
            </w:r>
          </w:p>
        </w:tc>
        <w:tc>
          <w:tcPr>
            <w:tcW w:w="2126"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705" w:type="dxa"/>
            <w:shd w:val="clear" w:color="auto" w:fill="auto"/>
            <w:noWrap/>
            <w:vAlign w:val="bottom"/>
            <w:hideMark/>
          </w:tcPr>
          <w:p w:rsidR="00C52449" w:rsidRPr="00AE49C8" w:rsidRDefault="00C52449" w:rsidP="00C52449">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1A2AAA" w:rsidRPr="00AE49C8" w:rsidRDefault="001A2AAA" w:rsidP="001A2AAA">
      <w:pPr>
        <w:jc w:val="center"/>
        <w:rPr>
          <w:b/>
        </w:rPr>
      </w:pPr>
    </w:p>
    <w:p w:rsidR="001A2AAA" w:rsidRPr="00AE49C8" w:rsidRDefault="00C52449" w:rsidP="001A2AAA">
      <w:pPr>
        <w:jc w:val="center"/>
        <w:rPr>
          <w:b/>
        </w:rPr>
      </w:pPr>
      <w:r w:rsidRPr="00AE49C8">
        <w:rPr>
          <w:noProof/>
          <w:lang w:eastAsia="en-GB"/>
        </w:rPr>
        <w:lastRenderedPageBreak/>
        <w:drawing>
          <wp:inline distT="0" distB="0" distL="0" distR="0" wp14:anchorId="5DF82420" wp14:editId="138EDACF">
            <wp:extent cx="4572000" cy="2971800"/>
            <wp:effectExtent l="0" t="0" r="0" b="0"/>
            <wp:docPr id="305" name="Chart 305" title="Non-mandatory/CPD training uptake by sexual ori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A2AAA" w:rsidRPr="00AE49C8" w:rsidRDefault="001A2AAA" w:rsidP="001A2AAA">
      <w:pPr>
        <w:jc w:val="center"/>
        <w:rPr>
          <w:b/>
        </w:rPr>
      </w:pPr>
    </w:p>
    <w:p w:rsidR="001A2AAA" w:rsidRPr="000D2F61" w:rsidRDefault="001A2AAA" w:rsidP="001A2AAA">
      <w:r w:rsidRPr="000D2F61">
        <w:t>Observations</w:t>
      </w:r>
    </w:p>
    <w:p w:rsidR="001A2AAA" w:rsidRPr="00AE49C8" w:rsidRDefault="00DE0F16" w:rsidP="00DE0F16">
      <w:pPr>
        <w:pStyle w:val="ListParagraph"/>
      </w:pPr>
      <w:r w:rsidRPr="00AE49C8">
        <w:t>Compared to the overall workforce representation, there is a higher than expected representation of bisexual, gay or lesbian and heterosexual staff; there was a decrease in staff representation where their sexual orientation is unknown or where they have elected not to declare.</w:t>
      </w:r>
    </w:p>
    <w:p w:rsidR="001A2AAA" w:rsidRPr="00AE49C8" w:rsidRDefault="001A2AAA" w:rsidP="001A2AAA">
      <w:pPr>
        <w:rPr>
          <w:b/>
        </w:rPr>
      </w:pPr>
    </w:p>
    <w:p w:rsidR="001A2AAA" w:rsidRPr="00AE49C8" w:rsidRDefault="001A2AAA" w:rsidP="00EA0AB6">
      <w:pPr>
        <w:pStyle w:val="Heading3"/>
      </w:pPr>
      <w:bookmarkStart w:id="78" w:name="_Toc88634025"/>
      <w:r w:rsidRPr="00AE49C8">
        <w:t xml:space="preserve">Employee relations processes broken down by </w:t>
      </w:r>
      <w:r w:rsidR="00A268B9" w:rsidRPr="00AE49C8">
        <w:t>sexual orientation</w:t>
      </w:r>
      <w:bookmarkEnd w:id="78"/>
    </w:p>
    <w:p w:rsidR="001A2AAA" w:rsidRPr="00AE49C8" w:rsidRDefault="001A2AAA" w:rsidP="001A2AAA">
      <w:pPr>
        <w:rPr>
          <w:b/>
        </w:rPr>
      </w:pPr>
      <w:r w:rsidRPr="00AE49C8">
        <w:rPr>
          <w:b/>
        </w:rPr>
        <w:t>BSUH</w:t>
      </w:r>
    </w:p>
    <w:tbl>
      <w:tblPr>
        <w:tblW w:w="9796" w:type="dxa"/>
        <w:tblInd w:w="93" w:type="dxa"/>
        <w:tblBorders>
          <w:insideH w:val="dotted" w:sz="4" w:space="0" w:color="auto"/>
        </w:tblBorders>
        <w:tblLook w:val="04A0" w:firstRow="1" w:lastRow="0" w:firstColumn="1" w:lastColumn="0" w:noHBand="0" w:noVBand="1"/>
        <w:tblCaption w:val="Representation of sexual orientation in capability processes"/>
      </w:tblPr>
      <w:tblGrid>
        <w:gridCol w:w="2000"/>
        <w:gridCol w:w="1559"/>
        <w:gridCol w:w="1559"/>
        <w:gridCol w:w="1363"/>
        <w:gridCol w:w="1363"/>
        <w:gridCol w:w="2254"/>
      </w:tblGrid>
      <w:tr w:rsidR="00A268B9" w:rsidRPr="00AE49C8" w:rsidTr="00EA0AB6">
        <w:trPr>
          <w:cantSplit/>
          <w:trHeight w:val="312"/>
          <w:tblHeader/>
        </w:trPr>
        <w:tc>
          <w:tcPr>
            <w:tcW w:w="2000" w:type="dxa"/>
            <w:shd w:val="clear" w:color="auto" w:fill="auto"/>
            <w:noWrap/>
            <w:hideMark/>
          </w:tcPr>
          <w:p w:rsidR="00A268B9" w:rsidRPr="00AE49C8" w:rsidRDefault="00A268B9" w:rsidP="00A268B9">
            <w:pPr>
              <w:spacing w:after="0" w:line="240" w:lineRule="auto"/>
              <w:rPr>
                <w:rFonts w:eastAsia="Times New Roman"/>
                <w:b/>
                <w:bCs/>
                <w:color w:val="000000"/>
                <w:szCs w:val="24"/>
                <w:lang w:eastAsia="en-GB"/>
              </w:rPr>
            </w:pPr>
            <w:r w:rsidRPr="00AE49C8">
              <w:rPr>
                <w:rFonts w:eastAsia="Times New Roman"/>
                <w:b/>
                <w:bCs/>
                <w:color w:val="000000"/>
                <w:szCs w:val="24"/>
                <w:lang w:eastAsia="en-GB"/>
              </w:rPr>
              <w:t>Sexual Orientation</w:t>
            </w:r>
          </w:p>
        </w:tc>
        <w:tc>
          <w:tcPr>
            <w:tcW w:w="1559" w:type="dxa"/>
            <w:shd w:val="clear" w:color="auto" w:fill="auto"/>
            <w:noWrap/>
            <w:hideMark/>
          </w:tcPr>
          <w:p w:rsidR="00A268B9" w:rsidRPr="00AE49C8" w:rsidRDefault="00A268B9" w:rsidP="00A268B9">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(Non-UHR)</w:t>
            </w:r>
          </w:p>
        </w:tc>
        <w:tc>
          <w:tcPr>
            <w:tcW w:w="1559" w:type="dxa"/>
            <w:shd w:val="clear" w:color="auto" w:fill="auto"/>
            <w:noWrap/>
            <w:hideMark/>
          </w:tcPr>
          <w:p w:rsidR="00A268B9" w:rsidRPr="00AE49C8" w:rsidRDefault="00A268B9" w:rsidP="00A268B9">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(Non-UHR) %</w:t>
            </w:r>
          </w:p>
        </w:tc>
        <w:tc>
          <w:tcPr>
            <w:tcW w:w="1212" w:type="dxa"/>
            <w:shd w:val="clear" w:color="auto" w:fill="auto"/>
            <w:noWrap/>
            <w:hideMark/>
          </w:tcPr>
          <w:p w:rsidR="00A268B9" w:rsidRPr="00AE49C8" w:rsidRDefault="00A268B9" w:rsidP="00A268B9">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(UHR)</w:t>
            </w:r>
          </w:p>
        </w:tc>
        <w:tc>
          <w:tcPr>
            <w:tcW w:w="1212" w:type="dxa"/>
            <w:shd w:val="clear" w:color="auto" w:fill="auto"/>
            <w:noWrap/>
            <w:hideMark/>
          </w:tcPr>
          <w:p w:rsidR="00A268B9" w:rsidRPr="00AE49C8" w:rsidRDefault="00A268B9" w:rsidP="00A268B9">
            <w:pPr>
              <w:spacing w:after="0" w:line="240" w:lineRule="auto"/>
              <w:rPr>
                <w:rFonts w:eastAsia="Times New Roman"/>
                <w:b/>
                <w:bCs/>
                <w:color w:val="000000"/>
                <w:szCs w:val="24"/>
                <w:lang w:eastAsia="en-GB"/>
              </w:rPr>
            </w:pPr>
            <w:r w:rsidRPr="00AE49C8">
              <w:rPr>
                <w:rFonts w:eastAsia="Times New Roman"/>
                <w:b/>
                <w:bCs/>
                <w:color w:val="000000"/>
                <w:szCs w:val="24"/>
                <w:lang w:eastAsia="en-GB"/>
              </w:rPr>
              <w:t>Capability (UHR) %</w:t>
            </w:r>
          </w:p>
        </w:tc>
        <w:tc>
          <w:tcPr>
            <w:tcW w:w="2254" w:type="dxa"/>
            <w:shd w:val="clear" w:color="auto" w:fill="auto"/>
            <w:noWrap/>
            <w:hideMark/>
          </w:tcPr>
          <w:p w:rsidR="00A268B9" w:rsidRPr="00AE49C8" w:rsidRDefault="00A268B9" w:rsidP="00A268B9">
            <w:pPr>
              <w:spacing w:after="0" w:line="240" w:lineRule="auto"/>
              <w:rPr>
                <w:rFonts w:eastAsia="Times New Roman"/>
                <w:b/>
                <w:bCs/>
                <w:color w:val="000000"/>
                <w:szCs w:val="24"/>
                <w:lang w:eastAsia="en-GB"/>
              </w:rPr>
            </w:pPr>
            <w:r w:rsidRPr="00AE49C8">
              <w:rPr>
                <w:rFonts w:eastAsia="Times New Roman"/>
                <w:b/>
                <w:bCs/>
                <w:color w:val="000000"/>
                <w:szCs w:val="24"/>
                <w:lang w:eastAsia="en-GB"/>
              </w:rPr>
              <w:t>Workforce Represen</w:t>
            </w:r>
            <w:r w:rsidR="007E749F" w:rsidRPr="00AE49C8">
              <w:rPr>
                <w:rFonts w:eastAsia="Times New Roman"/>
                <w:b/>
                <w:bCs/>
                <w:color w:val="000000"/>
                <w:szCs w:val="24"/>
                <w:lang w:eastAsia="en-GB"/>
              </w:rPr>
              <w:t>t</w:t>
            </w:r>
            <w:r w:rsidRPr="00AE49C8">
              <w:rPr>
                <w:rFonts w:eastAsia="Times New Roman"/>
                <w:b/>
                <w:bCs/>
                <w:color w:val="000000"/>
                <w:szCs w:val="24"/>
                <w:lang w:eastAsia="en-GB"/>
              </w:rPr>
              <w:t>ation %</w:t>
            </w:r>
          </w:p>
        </w:tc>
      </w:tr>
      <w:tr w:rsidR="00A268B9" w:rsidRPr="00AE49C8" w:rsidTr="00EA0AB6">
        <w:trPr>
          <w:cantSplit/>
          <w:trHeight w:val="312"/>
          <w:tblHeader/>
        </w:trPr>
        <w:tc>
          <w:tcPr>
            <w:tcW w:w="2000"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Gay or Lesbian</w:t>
            </w:r>
          </w:p>
        </w:tc>
        <w:tc>
          <w:tcPr>
            <w:tcW w:w="1559"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559"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6%</w:t>
            </w:r>
          </w:p>
        </w:tc>
        <w:tc>
          <w:tcPr>
            <w:tcW w:w="1212"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212"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25%</w:t>
            </w:r>
          </w:p>
        </w:tc>
        <w:tc>
          <w:tcPr>
            <w:tcW w:w="2254"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5.0%</w:t>
            </w:r>
          </w:p>
        </w:tc>
      </w:tr>
      <w:tr w:rsidR="00A268B9" w:rsidRPr="00AE49C8" w:rsidTr="00EA0AB6">
        <w:trPr>
          <w:cantSplit/>
          <w:trHeight w:val="312"/>
          <w:tblHeader/>
        </w:trPr>
        <w:tc>
          <w:tcPr>
            <w:tcW w:w="2000"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Heterosexual</w:t>
            </w:r>
          </w:p>
        </w:tc>
        <w:tc>
          <w:tcPr>
            <w:tcW w:w="1559"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23</w:t>
            </w:r>
          </w:p>
        </w:tc>
        <w:tc>
          <w:tcPr>
            <w:tcW w:w="1559"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72%</w:t>
            </w:r>
          </w:p>
        </w:tc>
        <w:tc>
          <w:tcPr>
            <w:tcW w:w="1212"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1212"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50%</w:t>
            </w:r>
          </w:p>
        </w:tc>
        <w:tc>
          <w:tcPr>
            <w:tcW w:w="2254"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72.8%</w:t>
            </w:r>
          </w:p>
        </w:tc>
      </w:tr>
      <w:tr w:rsidR="00A268B9" w:rsidRPr="00AE49C8" w:rsidTr="00EA0AB6">
        <w:trPr>
          <w:cantSplit/>
          <w:trHeight w:val="312"/>
          <w:tblHeader/>
        </w:trPr>
        <w:tc>
          <w:tcPr>
            <w:tcW w:w="2000"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 xml:space="preserve">Not Disclosed </w:t>
            </w:r>
          </w:p>
        </w:tc>
        <w:tc>
          <w:tcPr>
            <w:tcW w:w="1559"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7</w:t>
            </w:r>
          </w:p>
        </w:tc>
        <w:tc>
          <w:tcPr>
            <w:tcW w:w="1559"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22%</w:t>
            </w:r>
          </w:p>
        </w:tc>
        <w:tc>
          <w:tcPr>
            <w:tcW w:w="1212"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212"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25%</w:t>
            </w:r>
          </w:p>
        </w:tc>
        <w:tc>
          <w:tcPr>
            <w:tcW w:w="2254"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12.3%</w:t>
            </w:r>
          </w:p>
        </w:tc>
      </w:tr>
      <w:tr w:rsidR="00A268B9" w:rsidRPr="00AE49C8" w:rsidTr="00EA0AB6">
        <w:trPr>
          <w:cantSplit/>
          <w:trHeight w:val="312"/>
          <w:tblHeader/>
        </w:trPr>
        <w:tc>
          <w:tcPr>
            <w:tcW w:w="2000" w:type="dxa"/>
            <w:shd w:val="clear" w:color="auto" w:fill="auto"/>
            <w:noWrap/>
            <w:vAlign w:val="bottom"/>
            <w:hideMark/>
          </w:tcPr>
          <w:p w:rsidR="00A268B9" w:rsidRPr="00AE49C8" w:rsidRDefault="00A268B9" w:rsidP="00A268B9">
            <w:pPr>
              <w:spacing w:after="0" w:line="240" w:lineRule="auto"/>
              <w:rPr>
                <w:rFonts w:eastAsia="Times New Roman"/>
                <w:b/>
                <w:bCs/>
                <w:color w:val="000000"/>
                <w:szCs w:val="24"/>
                <w:lang w:eastAsia="en-GB"/>
              </w:rPr>
            </w:pPr>
            <w:r w:rsidRPr="00AE49C8">
              <w:rPr>
                <w:rFonts w:eastAsia="Times New Roman"/>
                <w:b/>
                <w:bCs/>
                <w:color w:val="000000"/>
                <w:szCs w:val="24"/>
                <w:lang w:eastAsia="en-GB"/>
              </w:rPr>
              <w:t>Total</w:t>
            </w:r>
          </w:p>
        </w:tc>
        <w:tc>
          <w:tcPr>
            <w:tcW w:w="1559" w:type="dxa"/>
            <w:shd w:val="clear" w:color="auto" w:fill="auto"/>
            <w:noWrap/>
            <w:vAlign w:val="bottom"/>
            <w:hideMark/>
          </w:tcPr>
          <w:p w:rsidR="00A268B9" w:rsidRPr="00AE49C8" w:rsidRDefault="00A268B9" w:rsidP="00A268B9">
            <w:pPr>
              <w:spacing w:after="0" w:line="240" w:lineRule="auto"/>
              <w:rPr>
                <w:rFonts w:eastAsia="Times New Roman"/>
                <w:b/>
                <w:bCs/>
                <w:color w:val="000000"/>
                <w:szCs w:val="24"/>
                <w:lang w:eastAsia="en-GB"/>
              </w:rPr>
            </w:pPr>
            <w:r w:rsidRPr="00AE49C8">
              <w:rPr>
                <w:rFonts w:eastAsia="Times New Roman"/>
                <w:b/>
                <w:bCs/>
                <w:color w:val="000000"/>
                <w:szCs w:val="24"/>
                <w:lang w:eastAsia="en-GB"/>
              </w:rPr>
              <w:t>32</w:t>
            </w:r>
          </w:p>
        </w:tc>
        <w:tc>
          <w:tcPr>
            <w:tcW w:w="1559"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r w:rsidRPr="00AE49C8">
              <w:rPr>
                <w:rFonts w:eastAsia="Times New Roman"/>
                <w:color w:val="000000"/>
                <w:szCs w:val="24"/>
                <w:lang w:eastAsia="en-GB"/>
              </w:rPr>
              <w:t>100%</w:t>
            </w:r>
          </w:p>
        </w:tc>
        <w:tc>
          <w:tcPr>
            <w:tcW w:w="1212" w:type="dxa"/>
            <w:shd w:val="clear" w:color="auto" w:fill="auto"/>
            <w:noWrap/>
            <w:vAlign w:val="bottom"/>
            <w:hideMark/>
          </w:tcPr>
          <w:p w:rsidR="00A268B9" w:rsidRPr="00AE49C8" w:rsidRDefault="00A268B9" w:rsidP="00A268B9">
            <w:pPr>
              <w:spacing w:after="0" w:line="240" w:lineRule="auto"/>
              <w:rPr>
                <w:rFonts w:eastAsia="Times New Roman"/>
                <w:b/>
                <w:bCs/>
                <w:color w:val="000000"/>
                <w:szCs w:val="24"/>
                <w:lang w:eastAsia="en-GB"/>
              </w:rPr>
            </w:pPr>
            <w:r w:rsidRPr="00AE49C8">
              <w:rPr>
                <w:rFonts w:eastAsia="Times New Roman"/>
                <w:b/>
                <w:bCs/>
                <w:color w:val="000000"/>
                <w:szCs w:val="24"/>
                <w:lang w:eastAsia="en-GB"/>
              </w:rPr>
              <w:t>8</w:t>
            </w:r>
          </w:p>
        </w:tc>
        <w:tc>
          <w:tcPr>
            <w:tcW w:w="1212" w:type="dxa"/>
            <w:shd w:val="clear" w:color="auto" w:fill="auto"/>
            <w:noWrap/>
            <w:vAlign w:val="bottom"/>
            <w:hideMark/>
          </w:tcPr>
          <w:p w:rsidR="00A268B9" w:rsidRPr="00AE49C8" w:rsidRDefault="00A268B9" w:rsidP="00A268B9">
            <w:pPr>
              <w:spacing w:after="0" w:line="240" w:lineRule="auto"/>
              <w:rPr>
                <w:rFonts w:eastAsia="Times New Roman"/>
                <w:b/>
                <w:bCs/>
                <w:color w:val="000000"/>
                <w:szCs w:val="24"/>
                <w:lang w:eastAsia="en-GB"/>
              </w:rPr>
            </w:pPr>
            <w:r w:rsidRPr="00AE49C8">
              <w:rPr>
                <w:rFonts w:eastAsia="Times New Roman"/>
                <w:b/>
                <w:bCs/>
                <w:color w:val="000000"/>
                <w:szCs w:val="24"/>
                <w:lang w:eastAsia="en-GB"/>
              </w:rPr>
              <w:t>100%</w:t>
            </w:r>
          </w:p>
        </w:tc>
        <w:tc>
          <w:tcPr>
            <w:tcW w:w="2254" w:type="dxa"/>
            <w:shd w:val="clear" w:color="auto" w:fill="auto"/>
            <w:noWrap/>
            <w:vAlign w:val="bottom"/>
            <w:hideMark/>
          </w:tcPr>
          <w:p w:rsidR="00A268B9" w:rsidRPr="00AE49C8" w:rsidRDefault="00A268B9" w:rsidP="00A268B9">
            <w:pPr>
              <w:spacing w:after="0" w:line="240" w:lineRule="auto"/>
              <w:rPr>
                <w:rFonts w:eastAsia="Times New Roman"/>
                <w:color w:val="000000"/>
                <w:szCs w:val="24"/>
                <w:lang w:eastAsia="en-GB"/>
              </w:rPr>
            </w:pPr>
          </w:p>
        </w:tc>
      </w:tr>
    </w:tbl>
    <w:p w:rsidR="001A2AAA" w:rsidRPr="00AE49C8" w:rsidRDefault="001A2AAA" w:rsidP="001A2AAA">
      <w:pPr>
        <w:rPr>
          <w:b/>
        </w:rPr>
      </w:pPr>
    </w:p>
    <w:p w:rsidR="001A2AAA" w:rsidRPr="00AE49C8" w:rsidRDefault="00A268B9" w:rsidP="001A2AAA">
      <w:pPr>
        <w:jc w:val="center"/>
        <w:rPr>
          <w:b/>
        </w:rPr>
      </w:pPr>
      <w:r w:rsidRPr="00AE49C8">
        <w:rPr>
          <w:noProof/>
          <w:lang w:eastAsia="en-GB"/>
        </w:rPr>
        <w:lastRenderedPageBreak/>
        <w:drawing>
          <wp:inline distT="0" distB="0" distL="0" distR="0" wp14:anchorId="6A6D025A" wp14:editId="730017A6">
            <wp:extent cx="5731510" cy="2904945"/>
            <wp:effectExtent l="0" t="0" r="2540" b="0"/>
            <wp:docPr id="8" name="Chart 8" title="Representation of sexual orientation in capability processes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bl>
      <w:tblPr>
        <w:tblW w:w="11802" w:type="dxa"/>
        <w:jc w:val="center"/>
        <w:tblBorders>
          <w:insideH w:val="dotted" w:sz="4" w:space="0" w:color="auto"/>
        </w:tblBorders>
        <w:tblLook w:val="04A0" w:firstRow="1" w:lastRow="0" w:firstColumn="1" w:lastColumn="0" w:noHBand="0" w:noVBand="1"/>
        <w:tblCaption w:val="Representation of sexual orientation in harassment, grievance and disciplinary cases"/>
      </w:tblPr>
      <w:tblGrid>
        <w:gridCol w:w="1533"/>
        <w:gridCol w:w="1558"/>
        <w:gridCol w:w="1476"/>
        <w:gridCol w:w="1281"/>
        <w:gridCol w:w="1281"/>
        <w:gridCol w:w="1464"/>
        <w:gridCol w:w="1464"/>
        <w:gridCol w:w="1818"/>
      </w:tblGrid>
      <w:tr w:rsidR="00A268B9" w:rsidRPr="00AE49C8" w:rsidTr="00775191">
        <w:trPr>
          <w:cantSplit/>
          <w:trHeight w:val="312"/>
          <w:tblHeader/>
          <w:jc w:val="center"/>
        </w:trPr>
        <w:tc>
          <w:tcPr>
            <w:tcW w:w="1533" w:type="dxa"/>
            <w:shd w:val="clear" w:color="auto" w:fill="auto"/>
            <w:noWrap/>
            <w:hideMark/>
          </w:tcPr>
          <w:p w:rsidR="00A268B9" w:rsidRPr="00775191" w:rsidRDefault="00A268B9" w:rsidP="00053511">
            <w:pPr>
              <w:spacing w:after="0" w:line="240" w:lineRule="auto"/>
              <w:rPr>
                <w:rFonts w:eastAsia="Times New Roman"/>
                <w:b/>
                <w:bCs/>
                <w:color w:val="000000"/>
                <w:sz w:val="22"/>
                <w:szCs w:val="24"/>
                <w:lang w:eastAsia="en-GB"/>
              </w:rPr>
            </w:pPr>
            <w:r w:rsidRPr="00775191">
              <w:rPr>
                <w:rFonts w:eastAsia="Times New Roman"/>
                <w:b/>
                <w:bCs/>
                <w:color w:val="000000"/>
                <w:sz w:val="22"/>
                <w:szCs w:val="24"/>
                <w:lang w:eastAsia="en-GB"/>
              </w:rPr>
              <w:t>Sexual Orientation</w:t>
            </w:r>
          </w:p>
        </w:tc>
        <w:tc>
          <w:tcPr>
            <w:tcW w:w="1558" w:type="dxa"/>
            <w:shd w:val="clear" w:color="auto" w:fill="auto"/>
            <w:noWrap/>
            <w:hideMark/>
          </w:tcPr>
          <w:p w:rsidR="00A268B9" w:rsidRPr="00775191" w:rsidRDefault="008E6F14" w:rsidP="00053511">
            <w:pPr>
              <w:spacing w:after="0" w:line="240" w:lineRule="auto"/>
              <w:rPr>
                <w:rFonts w:eastAsia="Times New Roman"/>
                <w:b/>
                <w:bCs/>
                <w:color w:val="000000"/>
                <w:sz w:val="22"/>
                <w:szCs w:val="24"/>
                <w:lang w:eastAsia="en-GB"/>
              </w:rPr>
            </w:pPr>
            <w:r w:rsidRPr="00775191">
              <w:rPr>
                <w:rFonts w:eastAsia="Times New Roman"/>
                <w:b/>
                <w:bCs/>
                <w:color w:val="000000"/>
                <w:sz w:val="22"/>
                <w:szCs w:val="24"/>
                <w:lang w:eastAsia="en-GB"/>
              </w:rPr>
              <w:t>Harassment</w:t>
            </w:r>
            <w:r w:rsidR="00A268B9" w:rsidRPr="00775191">
              <w:rPr>
                <w:rFonts w:eastAsia="Times New Roman"/>
                <w:b/>
                <w:bCs/>
                <w:color w:val="000000"/>
                <w:sz w:val="22"/>
                <w:szCs w:val="24"/>
                <w:lang w:eastAsia="en-GB"/>
              </w:rPr>
              <w:t xml:space="preserve"> Cases</w:t>
            </w:r>
          </w:p>
        </w:tc>
        <w:tc>
          <w:tcPr>
            <w:tcW w:w="1476" w:type="dxa"/>
            <w:shd w:val="clear" w:color="auto" w:fill="auto"/>
            <w:noWrap/>
            <w:hideMark/>
          </w:tcPr>
          <w:p w:rsidR="00A268B9" w:rsidRPr="00775191" w:rsidRDefault="00A268B9" w:rsidP="00053511">
            <w:pPr>
              <w:spacing w:after="0" w:line="240" w:lineRule="auto"/>
              <w:rPr>
                <w:rFonts w:eastAsia="Times New Roman"/>
                <w:b/>
                <w:bCs/>
                <w:color w:val="000000"/>
                <w:sz w:val="22"/>
                <w:szCs w:val="24"/>
                <w:lang w:eastAsia="en-GB"/>
              </w:rPr>
            </w:pPr>
            <w:r w:rsidRPr="00775191">
              <w:rPr>
                <w:rFonts w:eastAsia="Times New Roman"/>
                <w:b/>
                <w:bCs/>
                <w:color w:val="000000"/>
                <w:sz w:val="22"/>
                <w:szCs w:val="24"/>
                <w:lang w:eastAsia="en-GB"/>
              </w:rPr>
              <w:t>Harassment Cases %</w:t>
            </w:r>
          </w:p>
        </w:tc>
        <w:tc>
          <w:tcPr>
            <w:tcW w:w="1281" w:type="dxa"/>
            <w:shd w:val="clear" w:color="auto" w:fill="auto"/>
            <w:noWrap/>
            <w:hideMark/>
          </w:tcPr>
          <w:p w:rsidR="00A268B9" w:rsidRPr="00775191" w:rsidRDefault="00A268B9" w:rsidP="00053511">
            <w:pPr>
              <w:spacing w:after="0" w:line="240" w:lineRule="auto"/>
              <w:rPr>
                <w:rFonts w:eastAsia="Times New Roman"/>
                <w:b/>
                <w:bCs/>
                <w:color w:val="000000"/>
                <w:sz w:val="22"/>
                <w:szCs w:val="24"/>
                <w:lang w:eastAsia="en-GB"/>
              </w:rPr>
            </w:pPr>
            <w:r w:rsidRPr="00775191">
              <w:rPr>
                <w:rFonts w:eastAsia="Times New Roman"/>
                <w:b/>
                <w:bCs/>
                <w:color w:val="000000"/>
                <w:sz w:val="22"/>
                <w:szCs w:val="24"/>
                <w:lang w:eastAsia="en-GB"/>
              </w:rPr>
              <w:t>Grievance Cases</w:t>
            </w:r>
          </w:p>
        </w:tc>
        <w:tc>
          <w:tcPr>
            <w:tcW w:w="1281" w:type="dxa"/>
            <w:shd w:val="clear" w:color="auto" w:fill="auto"/>
            <w:noWrap/>
            <w:hideMark/>
          </w:tcPr>
          <w:p w:rsidR="00A268B9" w:rsidRPr="00775191" w:rsidRDefault="00A268B9" w:rsidP="00053511">
            <w:pPr>
              <w:spacing w:after="0" w:line="240" w:lineRule="auto"/>
              <w:rPr>
                <w:rFonts w:eastAsia="Times New Roman"/>
                <w:b/>
                <w:bCs/>
                <w:color w:val="000000"/>
                <w:sz w:val="22"/>
                <w:szCs w:val="24"/>
                <w:lang w:eastAsia="en-GB"/>
              </w:rPr>
            </w:pPr>
            <w:r w:rsidRPr="00775191">
              <w:rPr>
                <w:rFonts w:eastAsia="Times New Roman"/>
                <w:b/>
                <w:bCs/>
                <w:color w:val="000000"/>
                <w:sz w:val="22"/>
                <w:szCs w:val="24"/>
                <w:lang w:eastAsia="en-GB"/>
              </w:rPr>
              <w:t>Grievance Cases %</w:t>
            </w:r>
          </w:p>
        </w:tc>
        <w:tc>
          <w:tcPr>
            <w:tcW w:w="1464" w:type="dxa"/>
            <w:shd w:val="clear" w:color="auto" w:fill="auto"/>
            <w:noWrap/>
            <w:hideMark/>
          </w:tcPr>
          <w:p w:rsidR="00A268B9" w:rsidRPr="00775191" w:rsidRDefault="00A268B9" w:rsidP="00053511">
            <w:pPr>
              <w:spacing w:after="0" w:line="240" w:lineRule="auto"/>
              <w:rPr>
                <w:rFonts w:eastAsia="Times New Roman"/>
                <w:b/>
                <w:bCs/>
                <w:color w:val="000000"/>
                <w:sz w:val="22"/>
                <w:szCs w:val="24"/>
                <w:lang w:eastAsia="en-GB"/>
              </w:rPr>
            </w:pPr>
            <w:r w:rsidRPr="00775191">
              <w:rPr>
                <w:rFonts w:eastAsia="Times New Roman"/>
                <w:b/>
                <w:bCs/>
                <w:color w:val="000000"/>
                <w:sz w:val="22"/>
                <w:szCs w:val="24"/>
                <w:lang w:eastAsia="en-GB"/>
              </w:rPr>
              <w:t>Disciplinary Cases</w:t>
            </w:r>
          </w:p>
        </w:tc>
        <w:tc>
          <w:tcPr>
            <w:tcW w:w="1464" w:type="dxa"/>
            <w:shd w:val="clear" w:color="auto" w:fill="auto"/>
            <w:noWrap/>
            <w:hideMark/>
          </w:tcPr>
          <w:p w:rsidR="00A268B9" w:rsidRPr="00775191" w:rsidRDefault="00A268B9" w:rsidP="00053511">
            <w:pPr>
              <w:spacing w:after="0" w:line="240" w:lineRule="auto"/>
              <w:rPr>
                <w:rFonts w:eastAsia="Times New Roman"/>
                <w:b/>
                <w:bCs/>
                <w:color w:val="000000"/>
                <w:sz w:val="22"/>
                <w:szCs w:val="24"/>
                <w:lang w:eastAsia="en-GB"/>
              </w:rPr>
            </w:pPr>
            <w:r w:rsidRPr="00775191">
              <w:rPr>
                <w:rFonts w:eastAsia="Times New Roman"/>
                <w:b/>
                <w:bCs/>
                <w:color w:val="000000"/>
                <w:sz w:val="22"/>
                <w:szCs w:val="24"/>
                <w:lang w:eastAsia="en-GB"/>
              </w:rPr>
              <w:t>Disciplinary Cases %</w:t>
            </w:r>
          </w:p>
        </w:tc>
        <w:tc>
          <w:tcPr>
            <w:tcW w:w="1745" w:type="dxa"/>
            <w:shd w:val="clear" w:color="auto" w:fill="auto"/>
            <w:noWrap/>
            <w:hideMark/>
          </w:tcPr>
          <w:p w:rsidR="00A268B9" w:rsidRPr="00775191" w:rsidRDefault="00A268B9" w:rsidP="00053511">
            <w:pPr>
              <w:spacing w:after="0" w:line="240" w:lineRule="auto"/>
              <w:rPr>
                <w:rFonts w:eastAsia="Times New Roman"/>
                <w:b/>
                <w:bCs/>
                <w:color w:val="000000"/>
                <w:sz w:val="22"/>
                <w:szCs w:val="24"/>
                <w:lang w:eastAsia="en-GB"/>
              </w:rPr>
            </w:pPr>
            <w:r w:rsidRPr="00775191">
              <w:rPr>
                <w:rFonts w:eastAsia="Times New Roman"/>
                <w:b/>
                <w:bCs/>
                <w:color w:val="000000"/>
                <w:sz w:val="22"/>
                <w:szCs w:val="24"/>
                <w:lang w:eastAsia="en-GB"/>
              </w:rPr>
              <w:t xml:space="preserve">Workforce </w:t>
            </w:r>
            <w:r w:rsidR="008E6F14" w:rsidRPr="00775191">
              <w:rPr>
                <w:rFonts w:eastAsia="Times New Roman"/>
                <w:b/>
                <w:bCs/>
                <w:color w:val="000000"/>
                <w:sz w:val="22"/>
                <w:szCs w:val="24"/>
                <w:lang w:eastAsia="en-GB"/>
              </w:rPr>
              <w:t>Representation</w:t>
            </w:r>
            <w:r w:rsidRPr="00775191">
              <w:rPr>
                <w:rFonts w:eastAsia="Times New Roman"/>
                <w:b/>
                <w:bCs/>
                <w:color w:val="000000"/>
                <w:sz w:val="22"/>
                <w:szCs w:val="24"/>
                <w:lang w:eastAsia="en-GB"/>
              </w:rPr>
              <w:t xml:space="preserve"> %</w:t>
            </w:r>
          </w:p>
        </w:tc>
      </w:tr>
      <w:tr w:rsidR="00A268B9" w:rsidRPr="00AE49C8" w:rsidTr="00775191">
        <w:trPr>
          <w:cantSplit/>
          <w:trHeight w:val="312"/>
          <w:tblHeader/>
          <w:jc w:val="center"/>
        </w:trPr>
        <w:tc>
          <w:tcPr>
            <w:tcW w:w="1533"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Bisexual</w:t>
            </w:r>
          </w:p>
        </w:tc>
        <w:tc>
          <w:tcPr>
            <w:tcW w:w="1558"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0</w:t>
            </w:r>
          </w:p>
        </w:tc>
        <w:tc>
          <w:tcPr>
            <w:tcW w:w="1476"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0.0%</w:t>
            </w:r>
          </w:p>
        </w:tc>
        <w:tc>
          <w:tcPr>
            <w:tcW w:w="1281"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0</w:t>
            </w:r>
          </w:p>
        </w:tc>
        <w:tc>
          <w:tcPr>
            <w:tcW w:w="1281"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0.0%</w:t>
            </w:r>
          </w:p>
        </w:tc>
        <w:tc>
          <w:tcPr>
            <w:tcW w:w="1464"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2</w:t>
            </w:r>
          </w:p>
        </w:tc>
        <w:tc>
          <w:tcPr>
            <w:tcW w:w="1464"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8.7%</w:t>
            </w:r>
          </w:p>
        </w:tc>
        <w:tc>
          <w:tcPr>
            <w:tcW w:w="1745"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1.9%</w:t>
            </w:r>
          </w:p>
        </w:tc>
      </w:tr>
      <w:tr w:rsidR="00A268B9" w:rsidRPr="00AE49C8" w:rsidTr="00775191">
        <w:trPr>
          <w:cantSplit/>
          <w:trHeight w:val="312"/>
          <w:tblHeader/>
          <w:jc w:val="center"/>
        </w:trPr>
        <w:tc>
          <w:tcPr>
            <w:tcW w:w="1533"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Gay or Lesbian</w:t>
            </w:r>
          </w:p>
        </w:tc>
        <w:tc>
          <w:tcPr>
            <w:tcW w:w="1558"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0</w:t>
            </w:r>
          </w:p>
        </w:tc>
        <w:tc>
          <w:tcPr>
            <w:tcW w:w="1476"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0.0%</w:t>
            </w:r>
          </w:p>
        </w:tc>
        <w:tc>
          <w:tcPr>
            <w:tcW w:w="1281"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2</w:t>
            </w:r>
          </w:p>
        </w:tc>
        <w:tc>
          <w:tcPr>
            <w:tcW w:w="1281"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22.2%</w:t>
            </w:r>
          </w:p>
        </w:tc>
        <w:tc>
          <w:tcPr>
            <w:tcW w:w="1464"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0</w:t>
            </w:r>
          </w:p>
        </w:tc>
        <w:tc>
          <w:tcPr>
            <w:tcW w:w="1464"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0.0%</w:t>
            </w:r>
          </w:p>
        </w:tc>
        <w:tc>
          <w:tcPr>
            <w:tcW w:w="1745"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5.0%</w:t>
            </w:r>
          </w:p>
        </w:tc>
      </w:tr>
      <w:tr w:rsidR="00A268B9" w:rsidRPr="00AE49C8" w:rsidTr="00775191">
        <w:trPr>
          <w:cantSplit/>
          <w:trHeight w:val="312"/>
          <w:tblHeader/>
          <w:jc w:val="center"/>
        </w:trPr>
        <w:tc>
          <w:tcPr>
            <w:tcW w:w="1533"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Heterosexual</w:t>
            </w:r>
          </w:p>
        </w:tc>
        <w:tc>
          <w:tcPr>
            <w:tcW w:w="1558"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4</w:t>
            </w:r>
          </w:p>
        </w:tc>
        <w:tc>
          <w:tcPr>
            <w:tcW w:w="1476"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100.0%</w:t>
            </w:r>
          </w:p>
        </w:tc>
        <w:tc>
          <w:tcPr>
            <w:tcW w:w="1281"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4</w:t>
            </w:r>
          </w:p>
        </w:tc>
        <w:tc>
          <w:tcPr>
            <w:tcW w:w="1281"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44.4%</w:t>
            </w:r>
          </w:p>
        </w:tc>
        <w:tc>
          <w:tcPr>
            <w:tcW w:w="1464"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13</w:t>
            </w:r>
          </w:p>
        </w:tc>
        <w:tc>
          <w:tcPr>
            <w:tcW w:w="1464"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56.5%</w:t>
            </w:r>
          </w:p>
        </w:tc>
        <w:tc>
          <w:tcPr>
            <w:tcW w:w="1745"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72.8%</w:t>
            </w:r>
          </w:p>
        </w:tc>
      </w:tr>
      <w:tr w:rsidR="00A268B9" w:rsidRPr="00AE49C8" w:rsidTr="00775191">
        <w:trPr>
          <w:cantSplit/>
          <w:trHeight w:val="312"/>
          <w:tblHeader/>
          <w:jc w:val="center"/>
        </w:trPr>
        <w:tc>
          <w:tcPr>
            <w:tcW w:w="1533"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Prefer not to say</w:t>
            </w:r>
          </w:p>
        </w:tc>
        <w:tc>
          <w:tcPr>
            <w:tcW w:w="1558"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0</w:t>
            </w:r>
          </w:p>
        </w:tc>
        <w:tc>
          <w:tcPr>
            <w:tcW w:w="1476"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0.0%</w:t>
            </w:r>
          </w:p>
        </w:tc>
        <w:tc>
          <w:tcPr>
            <w:tcW w:w="1281"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3</w:t>
            </w:r>
          </w:p>
        </w:tc>
        <w:tc>
          <w:tcPr>
            <w:tcW w:w="1281"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33.3%</w:t>
            </w:r>
          </w:p>
        </w:tc>
        <w:tc>
          <w:tcPr>
            <w:tcW w:w="1464"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8</w:t>
            </w:r>
          </w:p>
        </w:tc>
        <w:tc>
          <w:tcPr>
            <w:tcW w:w="1464"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34.8%</w:t>
            </w:r>
          </w:p>
        </w:tc>
        <w:tc>
          <w:tcPr>
            <w:tcW w:w="1745"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12.3%</w:t>
            </w:r>
          </w:p>
        </w:tc>
      </w:tr>
      <w:tr w:rsidR="00A268B9" w:rsidRPr="00AE49C8" w:rsidTr="00775191">
        <w:trPr>
          <w:cantSplit/>
          <w:trHeight w:val="312"/>
          <w:tblHeader/>
          <w:jc w:val="center"/>
        </w:trPr>
        <w:tc>
          <w:tcPr>
            <w:tcW w:w="1533" w:type="dxa"/>
            <w:shd w:val="clear" w:color="auto" w:fill="auto"/>
            <w:noWrap/>
            <w:vAlign w:val="bottom"/>
            <w:hideMark/>
          </w:tcPr>
          <w:p w:rsidR="00A268B9" w:rsidRPr="00775191" w:rsidRDefault="00A268B9" w:rsidP="00A268B9">
            <w:pPr>
              <w:spacing w:after="0" w:line="240" w:lineRule="auto"/>
              <w:rPr>
                <w:rFonts w:eastAsia="Times New Roman"/>
                <w:b/>
                <w:bCs/>
                <w:color w:val="000000"/>
                <w:sz w:val="22"/>
                <w:szCs w:val="24"/>
                <w:lang w:eastAsia="en-GB"/>
              </w:rPr>
            </w:pPr>
            <w:r w:rsidRPr="00775191">
              <w:rPr>
                <w:rFonts w:eastAsia="Times New Roman"/>
                <w:b/>
                <w:bCs/>
                <w:color w:val="000000"/>
                <w:sz w:val="22"/>
                <w:szCs w:val="24"/>
                <w:lang w:eastAsia="en-GB"/>
              </w:rPr>
              <w:t>Total</w:t>
            </w:r>
          </w:p>
        </w:tc>
        <w:tc>
          <w:tcPr>
            <w:tcW w:w="1558" w:type="dxa"/>
            <w:shd w:val="clear" w:color="auto" w:fill="auto"/>
            <w:noWrap/>
            <w:vAlign w:val="bottom"/>
            <w:hideMark/>
          </w:tcPr>
          <w:p w:rsidR="00A268B9" w:rsidRPr="00775191" w:rsidRDefault="00A268B9" w:rsidP="00A268B9">
            <w:pPr>
              <w:spacing w:after="0" w:line="240" w:lineRule="auto"/>
              <w:rPr>
                <w:rFonts w:eastAsia="Times New Roman"/>
                <w:b/>
                <w:bCs/>
                <w:color w:val="000000"/>
                <w:sz w:val="22"/>
                <w:szCs w:val="24"/>
                <w:lang w:eastAsia="en-GB"/>
              </w:rPr>
            </w:pPr>
            <w:r w:rsidRPr="00775191">
              <w:rPr>
                <w:rFonts w:eastAsia="Times New Roman"/>
                <w:b/>
                <w:bCs/>
                <w:color w:val="000000"/>
                <w:sz w:val="22"/>
                <w:szCs w:val="24"/>
                <w:lang w:eastAsia="en-GB"/>
              </w:rPr>
              <w:t>4</w:t>
            </w:r>
          </w:p>
        </w:tc>
        <w:tc>
          <w:tcPr>
            <w:tcW w:w="1476"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100.0%</w:t>
            </w:r>
          </w:p>
        </w:tc>
        <w:tc>
          <w:tcPr>
            <w:tcW w:w="1281" w:type="dxa"/>
            <w:shd w:val="clear" w:color="auto" w:fill="auto"/>
            <w:noWrap/>
            <w:vAlign w:val="bottom"/>
            <w:hideMark/>
          </w:tcPr>
          <w:p w:rsidR="00A268B9" w:rsidRPr="00775191" w:rsidRDefault="00A268B9" w:rsidP="00A268B9">
            <w:pPr>
              <w:spacing w:after="0" w:line="240" w:lineRule="auto"/>
              <w:rPr>
                <w:rFonts w:eastAsia="Times New Roman"/>
                <w:b/>
                <w:bCs/>
                <w:color w:val="000000"/>
                <w:sz w:val="22"/>
                <w:szCs w:val="24"/>
                <w:lang w:eastAsia="en-GB"/>
              </w:rPr>
            </w:pPr>
            <w:r w:rsidRPr="00775191">
              <w:rPr>
                <w:rFonts w:eastAsia="Times New Roman"/>
                <w:b/>
                <w:bCs/>
                <w:color w:val="000000"/>
                <w:sz w:val="22"/>
                <w:szCs w:val="24"/>
                <w:lang w:eastAsia="en-GB"/>
              </w:rPr>
              <w:t>9</w:t>
            </w:r>
          </w:p>
        </w:tc>
        <w:tc>
          <w:tcPr>
            <w:tcW w:w="1281"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r w:rsidRPr="00775191">
              <w:rPr>
                <w:rFonts w:eastAsia="Times New Roman"/>
                <w:color w:val="000000"/>
                <w:sz w:val="22"/>
                <w:szCs w:val="24"/>
                <w:lang w:eastAsia="en-GB"/>
              </w:rPr>
              <w:t>100.0%</w:t>
            </w:r>
          </w:p>
        </w:tc>
        <w:tc>
          <w:tcPr>
            <w:tcW w:w="1464" w:type="dxa"/>
            <w:shd w:val="clear" w:color="auto" w:fill="auto"/>
            <w:noWrap/>
            <w:vAlign w:val="bottom"/>
            <w:hideMark/>
          </w:tcPr>
          <w:p w:rsidR="00A268B9" w:rsidRPr="00775191" w:rsidRDefault="00A268B9" w:rsidP="00A268B9">
            <w:pPr>
              <w:spacing w:after="0" w:line="240" w:lineRule="auto"/>
              <w:rPr>
                <w:rFonts w:eastAsia="Times New Roman"/>
                <w:b/>
                <w:bCs/>
                <w:color w:val="000000"/>
                <w:sz w:val="22"/>
                <w:szCs w:val="24"/>
                <w:lang w:eastAsia="en-GB"/>
              </w:rPr>
            </w:pPr>
            <w:r w:rsidRPr="00775191">
              <w:rPr>
                <w:rFonts w:eastAsia="Times New Roman"/>
                <w:b/>
                <w:bCs/>
                <w:color w:val="000000"/>
                <w:sz w:val="22"/>
                <w:szCs w:val="24"/>
                <w:lang w:eastAsia="en-GB"/>
              </w:rPr>
              <w:t>23</w:t>
            </w:r>
          </w:p>
        </w:tc>
        <w:tc>
          <w:tcPr>
            <w:tcW w:w="1464" w:type="dxa"/>
            <w:shd w:val="clear" w:color="auto" w:fill="auto"/>
            <w:noWrap/>
            <w:vAlign w:val="bottom"/>
            <w:hideMark/>
          </w:tcPr>
          <w:p w:rsidR="00A268B9" w:rsidRPr="00775191" w:rsidRDefault="00A268B9" w:rsidP="00A268B9">
            <w:pPr>
              <w:spacing w:after="0" w:line="240" w:lineRule="auto"/>
              <w:rPr>
                <w:rFonts w:eastAsia="Times New Roman"/>
                <w:b/>
                <w:bCs/>
                <w:color w:val="000000"/>
                <w:sz w:val="22"/>
                <w:szCs w:val="24"/>
                <w:lang w:eastAsia="en-GB"/>
              </w:rPr>
            </w:pPr>
            <w:r w:rsidRPr="00775191">
              <w:rPr>
                <w:rFonts w:eastAsia="Times New Roman"/>
                <w:b/>
                <w:bCs/>
                <w:color w:val="000000"/>
                <w:sz w:val="22"/>
                <w:szCs w:val="24"/>
                <w:lang w:eastAsia="en-GB"/>
              </w:rPr>
              <w:t>100.0%</w:t>
            </w:r>
          </w:p>
        </w:tc>
        <w:tc>
          <w:tcPr>
            <w:tcW w:w="1745" w:type="dxa"/>
            <w:shd w:val="clear" w:color="auto" w:fill="auto"/>
            <w:noWrap/>
            <w:vAlign w:val="bottom"/>
            <w:hideMark/>
          </w:tcPr>
          <w:p w:rsidR="00A268B9" w:rsidRPr="00775191" w:rsidRDefault="00A268B9" w:rsidP="00A268B9">
            <w:pPr>
              <w:spacing w:after="0" w:line="240" w:lineRule="auto"/>
              <w:rPr>
                <w:rFonts w:eastAsia="Times New Roman"/>
                <w:color w:val="000000"/>
                <w:sz w:val="22"/>
                <w:szCs w:val="24"/>
                <w:lang w:eastAsia="en-GB"/>
              </w:rPr>
            </w:pPr>
          </w:p>
        </w:tc>
      </w:tr>
    </w:tbl>
    <w:p w:rsidR="001A2AAA" w:rsidRPr="00AE49C8" w:rsidRDefault="001A2AAA" w:rsidP="001A2AAA">
      <w:pPr>
        <w:jc w:val="center"/>
        <w:rPr>
          <w:b/>
        </w:rPr>
      </w:pPr>
    </w:p>
    <w:p w:rsidR="001A2AAA" w:rsidRPr="00AE49C8" w:rsidRDefault="00053511" w:rsidP="00053511">
      <w:pPr>
        <w:jc w:val="center"/>
        <w:rPr>
          <w:b/>
        </w:rPr>
      </w:pPr>
      <w:r w:rsidRPr="00AE49C8">
        <w:rPr>
          <w:noProof/>
          <w:lang w:eastAsia="en-GB"/>
        </w:rPr>
        <w:drawing>
          <wp:inline distT="0" distB="0" distL="0" distR="0" wp14:anchorId="65983D27" wp14:editId="1C6EF921">
            <wp:extent cx="5731510" cy="2521007"/>
            <wp:effectExtent l="0" t="0" r="2540" b="0"/>
            <wp:docPr id="9" name="Chart 9" title="Representation of sexual orientation in harassment, grievance and disciplinary cases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1A2AAA" w:rsidRPr="00AE49C8" w:rsidRDefault="001A2AAA" w:rsidP="001A2AAA">
      <w:pPr>
        <w:jc w:val="center"/>
        <w:rPr>
          <w:b/>
        </w:rPr>
      </w:pPr>
    </w:p>
    <w:tbl>
      <w:tblPr>
        <w:tblW w:w="10865" w:type="dxa"/>
        <w:jc w:val="center"/>
        <w:tblBorders>
          <w:insideH w:val="dotted" w:sz="4" w:space="0" w:color="auto"/>
        </w:tblBorders>
        <w:tblLook w:val="04A0" w:firstRow="1" w:lastRow="0" w:firstColumn="1" w:lastColumn="0" w:noHBand="0" w:noVBand="1"/>
        <w:tblCaption w:val="Representation of sexual orientation in dismissals"/>
      </w:tblPr>
      <w:tblGrid>
        <w:gridCol w:w="2307"/>
        <w:gridCol w:w="1471"/>
        <w:gridCol w:w="1487"/>
        <w:gridCol w:w="1817"/>
        <w:gridCol w:w="2109"/>
        <w:gridCol w:w="1964"/>
      </w:tblGrid>
      <w:tr w:rsidR="00053511" w:rsidRPr="00AE49C8" w:rsidTr="00EA0AB6">
        <w:trPr>
          <w:cantSplit/>
          <w:trHeight w:val="312"/>
          <w:tblHeader/>
          <w:jc w:val="center"/>
        </w:trPr>
        <w:tc>
          <w:tcPr>
            <w:tcW w:w="2307"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Sexual Orientation</w:t>
            </w:r>
          </w:p>
        </w:tc>
        <w:tc>
          <w:tcPr>
            <w:tcW w:w="1241"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 xml:space="preserve">All Dismissals </w:t>
            </w:r>
          </w:p>
        </w:tc>
        <w:tc>
          <w:tcPr>
            <w:tcW w:w="1487"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All Dismissals %</w:t>
            </w:r>
          </w:p>
        </w:tc>
        <w:tc>
          <w:tcPr>
            <w:tcW w:w="1817"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Dismissals (Sickness only)</w:t>
            </w:r>
          </w:p>
        </w:tc>
        <w:tc>
          <w:tcPr>
            <w:tcW w:w="2109"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Dismissals (Sickness only) %</w:t>
            </w:r>
          </w:p>
        </w:tc>
        <w:tc>
          <w:tcPr>
            <w:tcW w:w="1904"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 xml:space="preserve">Workforce </w:t>
            </w:r>
            <w:r w:rsidR="008E6F14" w:rsidRPr="00AE49C8">
              <w:rPr>
                <w:rFonts w:eastAsia="Times New Roman"/>
                <w:b/>
                <w:bCs/>
                <w:color w:val="000000"/>
                <w:szCs w:val="24"/>
                <w:lang w:eastAsia="en-GB"/>
              </w:rPr>
              <w:t>Representation</w:t>
            </w:r>
            <w:r w:rsidRPr="00AE49C8">
              <w:rPr>
                <w:rFonts w:eastAsia="Times New Roman"/>
                <w:b/>
                <w:bCs/>
                <w:color w:val="000000"/>
                <w:szCs w:val="24"/>
                <w:lang w:eastAsia="en-GB"/>
              </w:rPr>
              <w:t xml:space="preserve"> %</w:t>
            </w:r>
          </w:p>
        </w:tc>
      </w:tr>
      <w:tr w:rsidR="00053511" w:rsidRPr="00AE49C8" w:rsidTr="00EA0AB6">
        <w:trPr>
          <w:cantSplit/>
          <w:trHeight w:val="312"/>
          <w:tblHeader/>
          <w:jc w:val="center"/>
        </w:trPr>
        <w:tc>
          <w:tcPr>
            <w:tcW w:w="2307"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lastRenderedPageBreak/>
              <w:t>Bisexual</w:t>
            </w:r>
          </w:p>
        </w:tc>
        <w:tc>
          <w:tcPr>
            <w:tcW w:w="1241"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1</w:t>
            </w:r>
          </w:p>
        </w:tc>
        <w:tc>
          <w:tcPr>
            <w:tcW w:w="1487"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5.9%</w:t>
            </w:r>
          </w:p>
        </w:tc>
        <w:tc>
          <w:tcPr>
            <w:tcW w:w="1817"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2109"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904"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1.9%</w:t>
            </w:r>
          </w:p>
        </w:tc>
      </w:tr>
      <w:tr w:rsidR="00053511" w:rsidRPr="00AE49C8" w:rsidTr="00EA0AB6">
        <w:trPr>
          <w:cantSplit/>
          <w:trHeight w:val="312"/>
          <w:tblHeader/>
          <w:jc w:val="center"/>
        </w:trPr>
        <w:tc>
          <w:tcPr>
            <w:tcW w:w="2307"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Heterosexual</w:t>
            </w:r>
          </w:p>
        </w:tc>
        <w:tc>
          <w:tcPr>
            <w:tcW w:w="1241"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12</w:t>
            </w:r>
          </w:p>
        </w:tc>
        <w:tc>
          <w:tcPr>
            <w:tcW w:w="1487"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70.6%</w:t>
            </w:r>
          </w:p>
        </w:tc>
        <w:tc>
          <w:tcPr>
            <w:tcW w:w="1817"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10</w:t>
            </w:r>
          </w:p>
        </w:tc>
        <w:tc>
          <w:tcPr>
            <w:tcW w:w="2109"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76.9%</w:t>
            </w:r>
          </w:p>
        </w:tc>
        <w:tc>
          <w:tcPr>
            <w:tcW w:w="1904"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72.8%</w:t>
            </w:r>
          </w:p>
        </w:tc>
      </w:tr>
      <w:tr w:rsidR="00053511" w:rsidRPr="00AE49C8" w:rsidTr="00EA0AB6">
        <w:trPr>
          <w:cantSplit/>
          <w:trHeight w:val="312"/>
          <w:tblHeader/>
          <w:jc w:val="center"/>
        </w:trPr>
        <w:tc>
          <w:tcPr>
            <w:tcW w:w="2307"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241"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4</w:t>
            </w:r>
          </w:p>
        </w:tc>
        <w:tc>
          <w:tcPr>
            <w:tcW w:w="1487"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23.5%</w:t>
            </w:r>
          </w:p>
        </w:tc>
        <w:tc>
          <w:tcPr>
            <w:tcW w:w="1817"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3</w:t>
            </w:r>
          </w:p>
        </w:tc>
        <w:tc>
          <w:tcPr>
            <w:tcW w:w="2109"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23.1%</w:t>
            </w:r>
          </w:p>
        </w:tc>
        <w:tc>
          <w:tcPr>
            <w:tcW w:w="1904"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12.3%</w:t>
            </w:r>
          </w:p>
        </w:tc>
      </w:tr>
      <w:tr w:rsidR="00053511" w:rsidRPr="00AE49C8" w:rsidTr="00EA0AB6">
        <w:trPr>
          <w:cantSplit/>
          <w:trHeight w:val="312"/>
          <w:tblHeader/>
          <w:jc w:val="center"/>
        </w:trPr>
        <w:tc>
          <w:tcPr>
            <w:tcW w:w="2307" w:type="dxa"/>
            <w:shd w:val="clear" w:color="auto" w:fill="auto"/>
            <w:noWrap/>
            <w:vAlign w:val="bottom"/>
            <w:hideMark/>
          </w:tcPr>
          <w:p w:rsidR="00053511" w:rsidRPr="00AE49C8" w:rsidRDefault="00053511" w:rsidP="00053511">
            <w:pPr>
              <w:spacing w:after="0" w:line="240" w:lineRule="auto"/>
              <w:rPr>
                <w:rFonts w:eastAsia="Times New Roman"/>
                <w:bCs/>
                <w:color w:val="000000"/>
                <w:szCs w:val="24"/>
                <w:lang w:eastAsia="en-GB"/>
              </w:rPr>
            </w:pPr>
            <w:r w:rsidRPr="00AE49C8">
              <w:rPr>
                <w:rFonts w:eastAsia="Times New Roman"/>
                <w:bCs/>
                <w:color w:val="000000"/>
                <w:szCs w:val="24"/>
                <w:lang w:eastAsia="en-GB"/>
              </w:rPr>
              <w:t>Total</w:t>
            </w:r>
          </w:p>
        </w:tc>
        <w:tc>
          <w:tcPr>
            <w:tcW w:w="1241" w:type="dxa"/>
            <w:shd w:val="clear" w:color="auto" w:fill="auto"/>
            <w:noWrap/>
            <w:vAlign w:val="bottom"/>
            <w:hideMark/>
          </w:tcPr>
          <w:p w:rsidR="00053511" w:rsidRPr="00AE49C8" w:rsidRDefault="00053511" w:rsidP="00053511">
            <w:pPr>
              <w:spacing w:after="0" w:line="240" w:lineRule="auto"/>
              <w:rPr>
                <w:rFonts w:eastAsia="Times New Roman"/>
                <w:bCs/>
                <w:color w:val="000000"/>
                <w:szCs w:val="24"/>
                <w:lang w:eastAsia="en-GB"/>
              </w:rPr>
            </w:pPr>
            <w:r w:rsidRPr="00AE49C8">
              <w:rPr>
                <w:rFonts w:eastAsia="Times New Roman"/>
                <w:bCs/>
                <w:color w:val="000000"/>
                <w:szCs w:val="24"/>
                <w:lang w:eastAsia="en-GB"/>
              </w:rPr>
              <w:t>17</w:t>
            </w:r>
          </w:p>
        </w:tc>
        <w:tc>
          <w:tcPr>
            <w:tcW w:w="1487" w:type="dxa"/>
            <w:shd w:val="clear" w:color="auto" w:fill="auto"/>
            <w:noWrap/>
            <w:vAlign w:val="bottom"/>
            <w:hideMark/>
          </w:tcPr>
          <w:p w:rsidR="00053511" w:rsidRPr="00AE49C8" w:rsidRDefault="00053511" w:rsidP="00053511">
            <w:pPr>
              <w:spacing w:after="0" w:line="240" w:lineRule="auto"/>
              <w:rPr>
                <w:rFonts w:eastAsia="Times New Roman"/>
                <w:bCs/>
                <w:color w:val="000000"/>
                <w:szCs w:val="24"/>
                <w:lang w:eastAsia="en-GB"/>
              </w:rPr>
            </w:pPr>
            <w:r w:rsidRPr="00AE49C8">
              <w:rPr>
                <w:rFonts w:eastAsia="Times New Roman"/>
                <w:bCs/>
                <w:color w:val="000000"/>
                <w:szCs w:val="24"/>
                <w:lang w:eastAsia="en-GB"/>
              </w:rPr>
              <w:t>100.0%</w:t>
            </w:r>
          </w:p>
        </w:tc>
        <w:tc>
          <w:tcPr>
            <w:tcW w:w="1817" w:type="dxa"/>
            <w:shd w:val="clear" w:color="auto" w:fill="auto"/>
            <w:noWrap/>
            <w:vAlign w:val="bottom"/>
            <w:hideMark/>
          </w:tcPr>
          <w:p w:rsidR="00053511" w:rsidRPr="00AE49C8" w:rsidRDefault="00053511" w:rsidP="00053511">
            <w:pPr>
              <w:spacing w:after="0" w:line="240" w:lineRule="auto"/>
              <w:rPr>
                <w:rFonts w:eastAsia="Times New Roman"/>
                <w:bCs/>
                <w:color w:val="000000"/>
                <w:szCs w:val="24"/>
                <w:lang w:eastAsia="en-GB"/>
              </w:rPr>
            </w:pPr>
            <w:r w:rsidRPr="00AE49C8">
              <w:rPr>
                <w:rFonts w:eastAsia="Times New Roman"/>
                <w:bCs/>
                <w:color w:val="000000"/>
                <w:szCs w:val="24"/>
                <w:lang w:eastAsia="en-GB"/>
              </w:rPr>
              <w:t>13</w:t>
            </w:r>
          </w:p>
        </w:tc>
        <w:tc>
          <w:tcPr>
            <w:tcW w:w="2109"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904"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p>
        </w:tc>
      </w:tr>
    </w:tbl>
    <w:p w:rsidR="001A2AAA" w:rsidRPr="00AE49C8" w:rsidRDefault="001A2AAA" w:rsidP="001A2AAA">
      <w:pPr>
        <w:rPr>
          <w:b/>
        </w:rPr>
      </w:pPr>
    </w:p>
    <w:p w:rsidR="001A2AAA" w:rsidRPr="00AE49C8" w:rsidRDefault="00053511" w:rsidP="001A2AAA">
      <w:pPr>
        <w:jc w:val="center"/>
        <w:rPr>
          <w:b/>
        </w:rPr>
      </w:pPr>
      <w:r w:rsidRPr="00AE49C8">
        <w:rPr>
          <w:noProof/>
          <w:lang w:eastAsia="en-GB"/>
        </w:rPr>
        <w:drawing>
          <wp:inline distT="0" distB="0" distL="0" distR="0" wp14:anchorId="68583968" wp14:editId="1B9F437E">
            <wp:extent cx="5731510" cy="2904945"/>
            <wp:effectExtent l="0" t="0" r="2540" b="0"/>
            <wp:docPr id="12" name="Chart 12" title="Representation of sexual orientation in dismissals compared to the overall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1A2AAA" w:rsidRPr="000D2F61" w:rsidRDefault="001A2AAA" w:rsidP="001A2AAA">
      <w:r w:rsidRPr="000D2F61">
        <w:t>Observations</w:t>
      </w:r>
    </w:p>
    <w:p w:rsidR="00EA0AB6" w:rsidRPr="00AE49C8" w:rsidRDefault="00EA0AB6" w:rsidP="001A2AAA">
      <w:r w:rsidRPr="00AE49C8">
        <w:t>Compared to the overall workforce representation</w:t>
      </w:r>
    </w:p>
    <w:p w:rsidR="00EA0AB6" w:rsidRPr="00AE49C8" w:rsidRDefault="00EA0AB6" w:rsidP="00EA0AB6">
      <w:pPr>
        <w:pStyle w:val="ListParagraph"/>
      </w:pPr>
      <w:r w:rsidRPr="00AE49C8">
        <w:t xml:space="preserve">Capability (non-underlying health reasons), gay or lesbian staff have a higher proportional representation. </w:t>
      </w:r>
    </w:p>
    <w:p w:rsidR="001A2AAA" w:rsidRPr="00AE49C8" w:rsidRDefault="00EA0AB6" w:rsidP="00EA0AB6">
      <w:pPr>
        <w:pStyle w:val="ListParagraph"/>
      </w:pPr>
      <w:r w:rsidRPr="00AE49C8">
        <w:t>Capability (underlying health reasons), gay or lesbian, heterosexual and staff that have not disclosed their sexual orientation have a higher proportional representation.</w:t>
      </w:r>
    </w:p>
    <w:p w:rsidR="00EA0AB6" w:rsidRPr="00AE49C8" w:rsidRDefault="00EA0AB6" w:rsidP="00EA0AB6">
      <w:pPr>
        <w:pStyle w:val="ListParagraph"/>
      </w:pPr>
      <w:r w:rsidRPr="00AE49C8">
        <w:t>In harassment cases, heterosexual staff have a higher proportional representation.</w:t>
      </w:r>
    </w:p>
    <w:p w:rsidR="00EA0AB6" w:rsidRPr="00AE49C8" w:rsidRDefault="00EA0AB6" w:rsidP="00EA0AB6">
      <w:pPr>
        <w:pStyle w:val="ListParagraph"/>
      </w:pPr>
      <w:r w:rsidRPr="00AE49C8">
        <w:t>In grievance cases, staff that are gay or lesbian and those who elected not to provide their sexual orientation have a higher proportional representation.</w:t>
      </w:r>
    </w:p>
    <w:p w:rsidR="00EA0AB6" w:rsidRPr="00AE49C8" w:rsidRDefault="00EA0AB6" w:rsidP="00EA0AB6">
      <w:pPr>
        <w:pStyle w:val="ListParagraph"/>
      </w:pPr>
      <w:r w:rsidRPr="00AE49C8">
        <w:t>In disciplinary cases, staff that are bisexual and those that elect not to declare their sexual orientation have a higher proportional representation.</w:t>
      </w:r>
    </w:p>
    <w:p w:rsidR="00EA0AB6" w:rsidRPr="00AE49C8" w:rsidRDefault="00EA0AB6" w:rsidP="00EA0AB6">
      <w:pPr>
        <w:pStyle w:val="ListParagraph"/>
      </w:pPr>
      <w:r w:rsidRPr="00AE49C8">
        <w:t>In all dismissals, staff that are bisexual and those that elect not to declare their sexual orientation have a higher proportional representation.  Heterosexual staff and those that elect not to declare their sexual orientation have a higher proportional representation in dismissals for sickness.</w:t>
      </w:r>
    </w:p>
    <w:p w:rsidR="001A2AAA" w:rsidRPr="00AE49C8" w:rsidRDefault="001A2AAA" w:rsidP="001A2AAA">
      <w:pPr>
        <w:rPr>
          <w:b/>
        </w:rPr>
      </w:pPr>
      <w:r w:rsidRPr="00AE49C8">
        <w:rPr>
          <w:b/>
        </w:rPr>
        <w:t>WSHT</w:t>
      </w:r>
    </w:p>
    <w:tbl>
      <w:tblPr>
        <w:tblW w:w="9980" w:type="dxa"/>
        <w:jc w:val="center"/>
        <w:tblBorders>
          <w:insideH w:val="dotted" w:sz="4" w:space="0" w:color="auto"/>
        </w:tblBorders>
        <w:tblLook w:val="04A0" w:firstRow="1" w:lastRow="0" w:firstColumn="1" w:lastColumn="0" w:noHBand="0" w:noVBand="1"/>
        <w:tblCaption w:val="Representation of sexual orientation in grievance and disciplinary cases"/>
      </w:tblPr>
      <w:tblGrid>
        <w:gridCol w:w="2866"/>
        <w:gridCol w:w="1377"/>
        <w:gridCol w:w="1377"/>
        <w:gridCol w:w="1577"/>
        <w:gridCol w:w="1577"/>
        <w:gridCol w:w="1964"/>
      </w:tblGrid>
      <w:tr w:rsidR="00053511" w:rsidRPr="00AE49C8" w:rsidTr="00EA0AB6">
        <w:trPr>
          <w:cantSplit/>
          <w:trHeight w:val="300"/>
          <w:tblHeader/>
          <w:jc w:val="center"/>
        </w:trPr>
        <w:tc>
          <w:tcPr>
            <w:tcW w:w="2866" w:type="dxa"/>
            <w:shd w:val="clear" w:color="auto" w:fill="auto"/>
            <w:noWrap/>
            <w:hideMark/>
          </w:tcPr>
          <w:p w:rsidR="00053511" w:rsidRPr="00AE49C8" w:rsidRDefault="00053511" w:rsidP="00053511">
            <w:pPr>
              <w:spacing w:after="0" w:line="240" w:lineRule="auto"/>
              <w:rPr>
                <w:rFonts w:eastAsia="Times New Roman"/>
                <w:b/>
                <w:bCs/>
                <w:color w:val="000000"/>
                <w:lang w:eastAsia="en-GB"/>
              </w:rPr>
            </w:pPr>
            <w:r w:rsidRPr="00AE49C8">
              <w:rPr>
                <w:rFonts w:eastAsia="Times New Roman"/>
                <w:b/>
                <w:bCs/>
                <w:color w:val="000000"/>
                <w:lang w:eastAsia="en-GB"/>
              </w:rPr>
              <w:lastRenderedPageBreak/>
              <w:t>Sexual Orientation</w:t>
            </w:r>
          </w:p>
        </w:tc>
        <w:tc>
          <w:tcPr>
            <w:tcW w:w="1217" w:type="dxa"/>
            <w:shd w:val="clear" w:color="auto" w:fill="auto"/>
            <w:noWrap/>
            <w:hideMark/>
          </w:tcPr>
          <w:p w:rsidR="00053511" w:rsidRPr="00AE49C8" w:rsidRDefault="00053511" w:rsidP="00053511">
            <w:pPr>
              <w:spacing w:after="0" w:line="240" w:lineRule="auto"/>
              <w:rPr>
                <w:rFonts w:eastAsia="Times New Roman"/>
                <w:b/>
                <w:bCs/>
                <w:color w:val="000000"/>
                <w:lang w:eastAsia="en-GB"/>
              </w:rPr>
            </w:pPr>
            <w:r w:rsidRPr="00AE49C8">
              <w:rPr>
                <w:rFonts w:eastAsia="Times New Roman"/>
                <w:b/>
                <w:bCs/>
                <w:color w:val="000000"/>
                <w:lang w:eastAsia="en-GB"/>
              </w:rPr>
              <w:t>Grievance Cases</w:t>
            </w:r>
          </w:p>
        </w:tc>
        <w:tc>
          <w:tcPr>
            <w:tcW w:w="1217" w:type="dxa"/>
            <w:shd w:val="clear" w:color="auto" w:fill="auto"/>
            <w:noWrap/>
            <w:hideMark/>
          </w:tcPr>
          <w:p w:rsidR="00053511" w:rsidRPr="00AE49C8" w:rsidRDefault="00053511" w:rsidP="00053511">
            <w:pPr>
              <w:spacing w:after="0" w:line="240" w:lineRule="auto"/>
              <w:rPr>
                <w:rFonts w:eastAsia="Times New Roman"/>
                <w:b/>
                <w:bCs/>
                <w:color w:val="000000"/>
                <w:lang w:eastAsia="en-GB"/>
              </w:rPr>
            </w:pPr>
            <w:r w:rsidRPr="00AE49C8">
              <w:rPr>
                <w:rFonts w:eastAsia="Times New Roman"/>
                <w:b/>
                <w:bCs/>
                <w:color w:val="000000"/>
                <w:lang w:eastAsia="en-GB"/>
              </w:rPr>
              <w:t>Grievance Cases %</w:t>
            </w:r>
          </w:p>
        </w:tc>
        <w:tc>
          <w:tcPr>
            <w:tcW w:w="1375" w:type="dxa"/>
            <w:shd w:val="clear" w:color="auto" w:fill="auto"/>
            <w:noWrap/>
            <w:hideMark/>
          </w:tcPr>
          <w:p w:rsidR="00053511" w:rsidRPr="00AE49C8" w:rsidRDefault="00053511" w:rsidP="00053511">
            <w:pPr>
              <w:spacing w:after="0" w:line="240" w:lineRule="auto"/>
              <w:rPr>
                <w:rFonts w:eastAsia="Times New Roman"/>
                <w:b/>
                <w:bCs/>
                <w:color w:val="000000"/>
                <w:lang w:eastAsia="en-GB"/>
              </w:rPr>
            </w:pPr>
            <w:r w:rsidRPr="00AE49C8">
              <w:rPr>
                <w:rFonts w:eastAsia="Times New Roman"/>
                <w:b/>
                <w:bCs/>
                <w:color w:val="000000"/>
                <w:lang w:eastAsia="en-GB"/>
              </w:rPr>
              <w:t>Disciplinary Cases</w:t>
            </w:r>
          </w:p>
        </w:tc>
        <w:tc>
          <w:tcPr>
            <w:tcW w:w="1375" w:type="dxa"/>
            <w:shd w:val="clear" w:color="auto" w:fill="auto"/>
            <w:noWrap/>
            <w:hideMark/>
          </w:tcPr>
          <w:p w:rsidR="00053511" w:rsidRPr="00AE49C8" w:rsidRDefault="00053511" w:rsidP="00053511">
            <w:pPr>
              <w:spacing w:after="0" w:line="240" w:lineRule="auto"/>
              <w:rPr>
                <w:rFonts w:eastAsia="Times New Roman"/>
                <w:b/>
                <w:bCs/>
                <w:color w:val="000000"/>
                <w:lang w:eastAsia="en-GB"/>
              </w:rPr>
            </w:pPr>
            <w:r w:rsidRPr="00AE49C8">
              <w:rPr>
                <w:rFonts w:eastAsia="Times New Roman"/>
                <w:b/>
                <w:bCs/>
                <w:color w:val="000000"/>
                <w:lang w:eastAsia="en-GB"/>
              </w:rPr>
              <w:t>Disciplinary Cases %</w:t>
            </w:r>
          </w:p>
        </w:tc>
        <w:tc>
          <w:tcPr>
            <w:tcW w:w="1930" w:type="dxa"/>
            <w:shd w:val="clear" w:color="auto" w:fill="auto"/>
            <w:noWrap/>
            <w:hideMark/>
          </w:tcPr>
          <w:p w:rsidR="00053511" w:rsidRPr="00AE49C8" w:rsidRDefault="00053511" w:rsidP="00053511">
            <w:pPr>
              <w:spacing w:after="0" w:line="240" w:lineRule="auto"/>
              <w:rPr>
                <w:rFonts w:eastAsia="Times New Roman"/>
                <w:b/>
                <w:bCs/>
                <w:color w:val="000000"/>
                <w:lang w:eastAsia="en-GB"/>
              </w:rPr>
            </w:pPr>
            <w:r w:rsidRPr="00AE49C8">
              <w:rPr>
                <w:rFonts w:eastAsia="Times New Roman"/>
                <w:b/>
                <w:bCs/>
                <w:color w:val="000000"/>
                <w:lang w:eastAsia="en-GB"/>
              </w:rPr>
              <w:t>Workforce Represen</w:t>
            </w:r>
            <w:r w:rsidR="00EA0AB6" w:rsidRPr="00AE49C8">
              <w:rPr>
                <w:rFonts w:eastAsia="Times New Roman"/>
                <w:b/>
                <w:bCs/>
                <w:color w:val="000000"/>
                <w:lang w:eastAsia="en-GB"/>
              </w:rPr>
              <w:t>t</w:t>
            </w:r>
            <w:r w:rsidRPr="00AE49C8">
              <w:rPr>
                <w:rFonts w:eastAsia="Times New Roman"/>
                <w:b/>
                <w:bCs/>
                <w:color w:val="000000"/>
                <w:lang w:eastAsia="en-GB"/>
              </w:rPr>
              <w:t>ation %</w:t>
            </w:r>
          </w:p>
        </w:tc>
      </w:tr>
      <w:tr w:rsidR="00053511" w:rsidRPr="00AE49C8" w:rsidTr="00EA0AB6">
        <w:trPr>
          <w:cantSplit/>
          <w:trHeight w:val="300"/>
          <w:tblHeader/>
          <w:jc w:val="center"/>
        </w:trPr>
        <w:tc>
          <w:tcPr>
            <w:tcW w:w="2866" w:type="dxa"/>
            <w:shd w:val="clear" w:color="auto" w:fill="auto"/>
            <w:noWrap/>
            <w:vAlign w:val="bottom"/>
            <w:hideMark/>
          </w:tcPr>
          <w:p w:rsidR="00053511" w:rsidRPr="00AE49C8" w:rsidRDefault="00053511" w:rsidP="00053511">
            <w:pPr>
              <w:spacing w:after="0" w:line="240" w:lineRule="auto"/>
              <w:rPr>
                <w:rFonts w:eastAsia="Times New Roman"/>
                <w:color w:val="000000"/>
                <w:lang w:eastAsia="en-GB"/>
              </w:rPr>
            </w:pPr>
            <w:r w:rsidRPr="00AE49C8">
              <w:rPr>
                <w:rFonts w:eastAsia="Times New Roman"/>
                <w:color w:val="000000"/>
                <w:lang w:eastAsia="en-GB"/>
              </w:rPr>
              <w:t>Heterosexual or Straight</w:t>
            </w:r>
          </w:p>
        </w:tc>
        <w:tc>
          <w:tcPr>
            <w:tcW w:w="1217" w:type="dxa"/>
            <w:shd w:val="clear" w:color="auto" w:fill="auto"/>
            <w:noWrap/>
            <w:vAlign w:val="bottom"/>
            <w:hideMark/>
          </w:tcPr>
          <w:p w:rsidR="00053511" w:rsidRPr="00AE49C8" w:rsidRDefault="00053511" w:rsidP="00053511">
            <w:pPr>
              <w:spacing w:after="0" w:line="240" w:lineRule="auto"/>
              <w:rPr>
                <w:rFonts w:eastAsia="Times New Roman"/>
                <w:color w:val="000000"/>
                <w:lang w:eastAsia="en-GB"/>
              </w:rPr>
            </w:pPr>
            <w:r w:rsidRPr="00AE49C8">
              <w:rPr>
                <w:rFonts w:eastAsia="Times New Roman"/>
                <w:color w:val="000000"/>
                <w:lang w:eastAsia="en-GB"/>
              </w:rPr>
              <w:t>19</w:t>
            </w:r>
          </w:p>
        </w:tc>
        <w:tc>
          <w:tcPr>
            <w:tcW w:w="1217" w:type="dxa"/>
            <w:shd w:val="clear" w:color="auto" w:fill="auto"/>
            <w:noWrap/>
            <w:vAlign w:val="bottom"/>
            <w:hideMark/>
          </w:tcPr>
          <w:p w:rsidR="00053511" w:rsidRPr="00AE49C8" w:rsidRDefault="00053511" w:rsidP="00053511">
            <w:pPr>
              <w:spacing w:after="0" w:line="240" w:lineRule="auto"/>
              <w:rPr>
                <w:rFonts w:eastAsia="Times New Roman"/>
                <w:color w:val="000000"/>
                <w:lang w:eastAsia="en-GB"/>
              </w:rPr>
            </w:pPr>
            <w:r w:rsidRPr="00AE49C8">
              <w:rPr>
                <w:rFonts w:eastAsia="Times New Roman"/>
                <w:color w:val="000000"/>
                <w:lang w:eastAsia="en-GB"/>
              </w:rPr>
              <w:t>67.9%</w:t>
            </w:r>
          </w:p>
        </w:tc>
        <w:tc>
          <w:tcPr>
            <w:tcW w:w="1375" w:type="dxa"/>
            <w:shd w:val="clear" w:color="auto" w:fill="auto"/>
            <w:noWrap/>
            <w:vAlign w:val="bottom"/>
            <w:hideMark/>
          </w:tcPr>
          <w:p w:rsidR="00053511" w:rsidRPr="00AE49C8" w:rsidRDefault="00053511" w:rsidP="00053511">
            <w:pPr>
              <w:spacing w:after="0" w:line="240" w:lineRule="auto"/>
              <w:rPr>
                <w:rFonts w:eastAsia="Times New Roman"/>
                <w:color w:val="000000"/>
                <w:lang w:eastAsia="en-GB"/>
              </w:rPr>
            </w:pPr>
            <w:r w:rsidRPr="00AE49C8">
              <w:rPr>
                <w:rFonts w:eastAsia="Times New Roman"/>
                <w:color w:val="000000"/>
                <w:lang w:eastAsia="en-GB"/>
              </w:rPr>
              <w:t>39</w:t>
            </w:r>
          </w:p>
        </w:tc>
        <w:tc>
          <w:tcPr>
            <w:tcW w:w="1375" w:type="dxa"/>
            <w:shd w:val="clear" w:color="auto" w:fill="auto"/>
            <w:noWrap/>
            <w:vAlign w:val="bottom"/>
            <w:hideMark/>
          </w:tcPr>
          <w:p w:rsidR="00053511" w:rsidRPr="00AE49C8" w:rsidRDefault="00053511" w:rsidP="00053511">
            <w:pPr>
              <w:spacing w:after="0" w:line="240" w:lineRule="auto"/>
              <w:rPr>
                <w:rFonts w:eastAsia="Times New Roman"/>
                <w:color w:val="000000"/>
                <w:lang w:eastAsia="en-GB"/>
              </w:rPr>
            </w:pPr>
            <w:r w:rsidRPr="00AE49C8">
              <w:rPr>
                <w:rFonts w:eastAsia="Times New Roman"/>
                <w:color w:val="000000"/>
                <w:lang w:eastAsia="en-GB"/>
              </w:rPr>
              <w:t>73.6%</w:t>
            </w:r>
          </w:p>
        </w:tc>
        <w:tc>
          <w:tcPr>
            <w:tcW w:w="1930" w:type="dxa"/>
            <w:shd w:val="clear" w:color="auto" w:fill="auto"/>
            <w:noWrap/>
            <w:vAlign w:val="bottom"/>
            <w:hideMark/>
          </w:tcPr>
          <w:p w:rsidR="00053511" w:rsidRPr="00AE49C8" w:rsidRDefault="00053511" w:rsidP="00053511">
            <w:pPr>
              <w:spacing w:after="0" w:line="240" w:lineRule="auto"/>
              <w:rPr>
                <w:rFonts w:eastAsia="Times New Roman"/>
                <w:color w:val="000000"/>
                <w:lang w:eastAsia="en-GB"/>
              </w:rPr>
            </w:pPr>
            <w:r w:rsidRPr="00AE49C8">
              <w:rPr>
                <w:rFonts w:eastAsia="Times New Roman"/>
                <w:color w:val="000000"/>
                <w:lang w:eastAsia="en-GB"/>
              </w:rPr>
              <w:t>76.9%</w:t>
            </w:r>
          </w:p>
        </w:tc>
      </w:tr>
      <w:tr w:rsidR="00053511" w:rsidRPr="00AE49C8" w:rsidTr="00EA0AB6">
        <w:trPr>
          <w:cantSplit/>
          <w:trHeight w:val="300"/>
          <w:tblHeader/>
          <w:jc w:val="center"/>
        </w:trPr>
        <w:tc>
          <w:tcPr>
            <w:tcW w:w="2866" w:type="dxa"/>
            <w:shd w:val="clear" w:color="auto" w:fill="auto"/>
            <w:noWrap/>
            <w:vAlign w:val="bottom"/>
            <w:hideMark/>
          </w:tcPr>
          <w:p w:rsidR="00053511" w:rsidRPr="00AE49C8" w:rsidRDefault="00053511" w:rsidP="00053511">
            <w:pPr>
              <w:spacing w:after="0" w:line="240" w:lineRule="auto"/>
              <w:rPr>
                <w:rFonts w:eastAsia="Times New Roman"/>
                <w:color w:val="000000"/>
                <w:lang w:eastAsia="en-GB"/>
              </w:rPr>
            </w:pPr>
            <w:r w:rsidRPr="00AE49C8">
              <w:rPr>
                <w:rFonts w:eastAsia="Times New Roman"/>
                <w:color w:val="000000"/>
                <w:lang w:eastAsia="en-GB"/>
              </w:rPr>
              <w:t>Declined to specify</w:t>
            </w:r>
          </w:p>
        </w:tc>
        <w:tc>
          <w:tcPr>
            <w:tcW w:w="1217" w:type="dxa"/>
            <w:shd w:val="clear" w:color="auto" w:fill="auto"/>
            <w:noWrap/>
            <w:vAlign w:val="bottom"/>
            <w:hideMark/>
          </w:tcPr>
          <w:p w:rsidR="00053511" w:rsidRPr="00AE49C8" w:rsidRDefault="00053511" w:rsidP="00053511">
            <w:pPr>
              <w:spacing w:after="0" w:line="240" w:lineRule="auto"/>
              <w:rPr>
                <w:rFonts w:eastAsia="Times New Roman"/>
                <w:color w:val="000000"/>
                <w:lang w:eastAsia="en-GB"/>
              </w:rPr>
            </w:pPr>
            <w:r w:rsidRPr="00AE49C8">
              <w:rPr>
                <w:rFonts w:eastAsia="Times New Roman"/>
                <w:color w:val="000000"/>
                <w:lang w:eastAsia="en-GB"/>
              </w:rPr>
              <w:t>9</w:t>
            </w:r>
          </w:p>
        </w:tc>
        <w:tc>
          <w:tcPr>
            <w:tcW w:w="1217" w:type="dxa"/>
            <w:shd w:val="clear" w:color="auto" w:fill="auto"/>
            <w:noWrap/>
            <w:vAlign w:val="bottom"/>
            <w:hideMark/>
          </w:tcPr>
          <w:p w:rsidR="00053511" w:rsidRPr="00AE49C8" w:rsidRDefault="00053511" w:rsidP="00053511">
            <w:pPr>
              <w:spacing w:after="0" w:line="240" w:lineRule="auto"/>
              <w:rPr>
                <w:rFonts w:eastAsia="Times New Roman"/>
                <w:color w:val="000000"/>
                <w:lang w:eastAsia="en-GB"/>
              </w:rPr>
            </w:pPr>
            <w:r w:rsidRPr="00AE49C8">
              <w:rPr>
                <w:rFonts w:eastAsia="Times New Roman"/>
                <w:color w:val="000000"/>
                <w:lang w:eastAsia="en-GB"/>
              </w:rPr>
              <w:t>32.1%</w:t>
            </w:r>
          </w:p>
        </w:tc>
        <w:tc>
          <w:tcPr>
            <w:tcW w:w="1375" w:type="dxa"/>
            <w:shd w:val="clear" w:color="auto" w:fill="auto"/>
            <w:noWrap/>
            <w:vAlign w:val="bottom"/>
            <w:hideMark/>
          </w:tcPr>
          <w:p w:rsidR="00053511" w:rsidRPr="00AE49C8" w:rsidRDefault="00053511" w:rsidP="00053511">
            <w:pPr>
              <w:spacing w:after="0" w:line="240" w:lineRule="auto"/>
              <w:rPr>
                <w:rFonts w:eastAsia="Times New Roman"/>
                <w:color w:val="000000"/>
                <w:lang w:eastAsia="en-GB"/>
              </w:rPr>
            </w:pPr>
            <w:r w:rsidRPr="00AE49C8">
              <w:rPr>
                <w:rFonts w:eastAsia="Times New Roman"/>
                <w:color w:val="000000"/>
                <w:lang w:eastAsia="en-GB"/>
              </w:rPr>
              <w:t>14</w:t>
            </w:r>
          </w:p>
        </w:tc>
        <w:tc>
          <w:tcPr>
            <w:tcW w:w="1375" w:type="dxa"/>
            <w:shd w:val="clear" w:color="auto" w:fill="auto"/>
            <w:noWrap/>
            <w:vAlign w:val="bottom"/>
            <w:hideMark/>
          </w:tcPr>
          <w:p w:rsidR="00053511" w:rsidRPr="00AE49C8" w:rsidRDefault="00053511" w:rsidP="00053511">
            <w:pPr>
              <w:spacing w:after="0" w:line="240" w:lineRule="auto"/>
              <w:rPr>
                <w:rFonts w:eastAsia="Times New Roman"/>
                <w:color w:val="000000"/>
                <w:lang w:eastAsia="en-GB"/>
              </w:rPr>
            </w:pPr>
            <w:r w:rsidRPr="00AE49C8">
              <w:rPr>
                <w:rFonts w:eastAsia="Times New Roman"/>
                <w:color w:val="000000"/>
                <w:lang w:eastAsia="en-GB"/>
              </w:rPr>
              <w:t>26.4%</w:t>
            </w:r>
          </w:p>
        </w:tc>
        <w:tc>
          <w:tcPr>
            <w:tcW w:w="1930" w:type="dxa"/>
            <w:shd w:val="clear" w:color="auto" w:fill="auto"/>
            <w:noWrap/>
            <w:vAlign w:val="bottom"/>
            <w:hideMark/>
          </w:tcPr>
          <w:p w:rsidR="00053511" w:rsidRPr="00AE49C8" w:rsidRDefault="00053511" w:rsidP="00053511">
            <w:pPr>
              <w:spacing w:after="0" w:line="240" w:lineRule="auto"/>
              <w:rPr>
                <w:rFonts w:eastAsia="Times New Roman"/>
                <w:color w:val="000000"/>
                <w:lang w:eastAsia="en-GB"/>
              </w:rPr>
            </w:pPr>
            <w:r w:rsidRPr="00AE49C8">
              <w:rPr>
                <w:rFonts w:eastAsia="Times New Roman"/>
                <w:color w:val="000000"/>
                <w:lang w:eastAsia="en-GB"/>
              </w:rPr>
              <w:t>19.9%</w:t>
            </w:r>
          </w:p>
        </w:tc>
      </w:tr>
      <w:tr w:rsidR="00053511" w:rsidRPr="00AE49C8" w:rsidTr="00EA0AB6">
        <w:trPr>
          <w:cantSplit/>
          <w:trHeight w:val="300"/>
          <w:tblHeader/>
          <w:jc w:val="center"/>
        </w:trPr>
        <w:tc>
          <w:tcPr>
            <w:tcW w:w="2866" w:type="dxa"/>
            <w:shd w:val="clear" w:color="auto" w:fill="auto"/>
            <w:noWrap/>
            <w:vAlign w:val="bottom"/>
            <w:hideMark/>
          </w:tcPr>
          <w:p w:rsidR="00053511" w:rsidRPr="00AE49C8" w:rsidRDefault="00053511" w:rsidP="00053511">
            <w:pPr>
              <w:spacing w:after="0" w:line="240" w:lineRule="auto"/>
              <w:rPr>
                <w:rFonts w:eastAsia="Times New Roman"/>
                <w:bCs/>
                <w:color w:val="000000"/>
                <w:lang w:eastAsia="en-GB"/>
              </w:rPr>
            </w:pPr>
            <w:r w:rsidRPr="00AE49C8">
              <w:rPr>
                <w:rFonts w:eastAsia="Times New Roman"/>
                <w:bCs/>
                <w:color w:val="000000"/>
                <w:lang w:eastAsia="en-GB"/>
              </w:rPr>
              <w:t>Total</w:t>
            </w:r>
          </w:p>
        </w:tc>
        <w:tc>
          <w:tcPr>
            <w:tcW w:w="1217" w:type="dxa"/>
            <w:shd w:val="clear" w:color="auto" w:fill="auto"/>
            <w:noWrap/>
            <w:vAlign w:val="bottom"/>
            <w:hideMark/>
          </w:tcPr>
          <w:p w:rsidR="00053511" w:rsidRPr="00AE49C8" w:rsidRDefault="00053511" w:rsidP="00053511">
            <w:pPr>
              <w:spacing w:after="0" w:line="240" w:lineRule="auto"/>
              <w:rPr>
                <w:rFonts w:eastAsia="Times New Roman"/>
                <w:bCs/>
                <w:color w:val="000000"/>
                <w:lang w:eastAsia="en-GB"/>
              </w:rPr>
            </w:pPr>
            <w:r w:rsidRPr="00AE49C8">
              <w:rPr>
                <w:rFonts w:eastAsia="Times New Roman"/>
                <w:bCs/>
                <w:color w:val="000000"/>
                <w:lang w:eastAsia="en-GB"/>
              </w:rPr>
              <w:t>28</w:t>
            </w:r>
          </w:p>
        </w:tc>
        <w:tc>
          <w:tcPr>
            <w:tcW w:w="1217" w:type="dxa"/>
            <w:shd w:val="clear" w:color="auto" w:fill="auto"/>
            <w:noWrap/>
            <w:vAlign w:val="bottom"/>
            <w:hideMark/>
          </w:tcPr>
          <w:p w:rsidR="00053511" w:rsidRPr="00AE49C8" w:rsidRDefault="00053511" w:rsidP="00053511">
            <w:pPr>
              <w:spacing w:after="0" w:line="240" w:lineRule="auto"/>
              <w:rPr>
                <w:rFonts w:eastAsia="Times New Roman"/>
                <w:bCs/>
                <w:color w:val="000000"/>
                <w:lang w:eastAsia="en-GB"/>
              </w:rPr>
            </w:pPr>
            <w:r w:rsidRPr="00AE49C8">
              <w:rPr>
                <w:rFonts w:eastAsia="Times New Roman"/>
                <w:bCs/>
                <w:color w:val="000000"/>
                <w:lang w:eastAsia="en-GB"/>
              </w:rPr>
              <w:t>100%</w:t>
            </w:r>
          </w:p>
        </w:tc>
        <w:tc>
          <w:tcPr>
            <w:tcW w:w="1375" w:type="dxa"/>
            <w:shd w:val="clear" w:color="auto" w:fill="auto"/>
            <w:noWrap/>
            <w:vAlign w:val="bottom"/>
            <w:hideMark/>
          </w:tcPr>
          <w:p w:rsidR="00053511" w:rsidRPr="00AE49C8" w:rsidRDefault="00053511" w:rsidP="00053511">
            <w:pPr>
              <w:spacing w:after="0" w:line="240" w:lineRule="auto"/>
              <w:rPr>
                <w:rFonts w:eastAsia="Times New Roman"/>
                <w:bCs/>
                <w:color w:val="000000"/>
                <w:lang w:eastAsia="en-GB"/>
              </w:rPr>
            </w:pPr>
            <w:r w:rsidRPr="00AE49C8">
              <w:rPr>
                <w:rFonts w:eastAsia="Times New Roman"/>
                <w:bCs/>
                <w:color w:val="000000"/>
                <w:lang w:eastAsia="en-GB"/>
              </w:rPr>
              <w:t>53</w:t>
            </w:r>
          </w:p>
        </w:tc>
        <w:tc>
          <w:tcPr>
            <w:tcW w:w="1375" w:type="dxa"/>
            <w:shd w:val="clear" w:color="auto" w:fill="auto"/>
            <w:noWrap/>
            <w:vAlign w:val="bottom"/>
            <w:hideMark/>
          </w:tcPr>
          <w:p w:rsidR="00053511" w:rsidRPr="00AE49C8" w:rsidRDefault="00053511" w:rsidP="00053511">
            <w:pPr>
              <w:spacing w:after="0" w:line="240" w:lineRule="auto"/>
              <w:rPr>
                <w:rFonts w:eastAsia="Times New Roman"/>
                <w:bCs/>
                <w:color w:val="000000"/>
                <w:lang w:eastAsia="en-GB"/>
              </w:rPr>
            </w:pPr>
            <w:r w:rsidRPr="00AE49C8">
              <w:rPr>
                <w:rFonts w:eastAsia="Times New Roman"/>
                <w:bCs/>
                <w:color w:val="000000"/>
                <w:lang w:eastAsia="en-GB"/>
              </w:rPr>
              <w:t>100%</w:t>
            </w:r>
          </w:p>
        </w:tc>
        <w:tc>
          <w:tcPr>
            <w:tcW w:w="1930" w:type="dxa"/>
            <w:shd w:val="clear" w:color="auto" w:fill="auto"/>
            <w:noWrap/>
            <w:vAlign w:val="bottom"/>
            <w:hideMark/>
          </w:tcPr>
          <w:p w:rsidR="00053511" w:rsidRPr="00AE49C8" w:rsidRDefault="00053511" w:rsidP="00053511">
            <w:pPr>
              <w:spacing w:after="0" w:line="240" w:lineRule="auto"/>
              <w:rPr>
                <w:rFonts w:eastAsia="Times New Roman"/>
                <w:color w:val="000000"/>
                <w:lang w:eastAsia="en-GB"/>
              </w:rPr>
            </w:pPr>
          </w:p>
        </w:tc>
      </w:tr>
    </w:tbl>
    <w:p w:rsidR="001A2AAA" w:rsidRPr="00AE49C8" w:rsidRDefault="001A2AAA" w:rsidP="001A2AAA">
      <w:pPr>
        <w:rPr>
          <w:b/>
        </w:rPr>
      </w:pPr>
    </w:p>
    <w:p w:rsidR="001A2AAA" w:rsidRPr="00AE49C8" w:rsidRDefault="000355A2" w:rsidP="001A2AAA">
      <w:pPr>
        <w:rPr>
          <w:b/>
        </w:rPr>
      </w:pPr>
      <w:r w:rsidRPr="00AE49C8">
        <w:rPr>
          <w:noProof/>
          <w:lang w:eastAsia="en-GB"/>
        </w:rPr>
        <w:drawing>
          <wp:inline distT="0" distB="0" distL="0" distR="0" wp14:anchorId="47ED0427" wp14:editId="6AC51BAA">
            <wp:extent cx="5731510" cy="2726141"/>
            <wp:effectExtent l="0" t="0" r="2540" b="0"/>
            <wp:docPr id="20" name="Chart 20" title="Representation of sexual orientation in grievance and disciplinary cases compared to the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1A2AAA" w:rsidRPr="000D2F61" w:rsidRDefault="001A2AAA" w:rsidP="001A2AAA">
      <w:r w:rsidRPr="000D2F61">
        <w:t>Observations</w:t>
      </w:r>
    </w:p>
    <w:p w:rsidR="001A2AAA" w:rsidRPr="00AE49C8" w:rsidRDefault="000355A2" w:rsidP="000355A2">
      <w:pPr>
        <w:pStyle w:val="ListParagraph"/>
      </w:pPr>
      <w:r w:rsidRPr="00AE49C8">
        <w:t xml:space="preserve">Staff </w:t>
      </w:r>
      <w:r w:rsidR="008E6F14" w:rsidRPr="00AE49C8">
        <w:t>that</w:t>
      </w:r>
      <w:r w:rsidRPr="00AE49C8">
        <w:t xml:space="preserve"> have elected to decline to specify their sexual orientation have a higher representation in grievance and disciplinary cases than the overall workforce.</w:t>
      </w:r>
    </w:p>
    <w:p w:rsidR="001A2AAA" w:rsidRPr="00AE49C8" w:rsidRDefault="001A2AAA" w:rsidP="00FF7E7E">
      <w:pPr>
        <w:pStyle w:val="Heading3"/>
      </w:pPr>
      <w:bookmarkStart w:id="79" w:name="_Toc88634026"/>
      <w:r w:rsidRPr="00AE49C8">
        <w:t>Leavers broken down by religion or belief</w:t>
      </w:r>
      <w:bookmarkEnd w:id="79"/>
    </w:p>
    <w:p w:rsidR="001A2AAA" w:rsidRPr="00AE49C8" w:rsidRDefault="001A2AAA" w:rsidP="001A2AAA">
      <w:pPr>
        <w:rPr>
          <w:b/>
        </w:rPr>
      </w:pPr>
      <w:r w:rsidRPr="00AE49C8">
        <w:rPr>
          <w:b/>
        </w:rPr>
        <w:t>BSUH</w:t>
      </w:r>
    </w:p>
    <w:tbl>
      <w:tblPr>
        <w:tblW w:w="10213" w:type="dxa"/>
        <w:jc w:val="center"/>
        <w:tblBorders>
          <w:insideH w:val="dotted" w:sz="4" w:space="0" w:color="auto"/>
        </w:tblBorders>
        <w:tblLook w:val="04A0" w:firstRow="1" w:lastRow="0" w:firstColumn="1" w:lastColumn="0" w:noHBand="0" w:noVBand="1"/>
        <w:tblCaption w:val="Representation of sexual orientation for leavers"/>
      </w:tblPr>
      <w:tblGrid>
        <w:gridCol w:w="3699"/>
        <w:gridCol w:w="1840"/>
        <w:gridCol w:w="1842"/>
        <w:gridCol w:w="1557"/>
        <w:gridCol w:w="1403"/>
      </w:tblGrid>
      <w:tr w:rsidR="00053511" w:rsidRPr="00AE49C8" w:rsidTr="00FF7E7E">
        <w:trPr>
          <w:cantSplit/>
          <w:trHeight w:val="312"/>
          <w:tblHeader/>
          <w:jc w:val="center"/>
        </w:trPr>
        <w:tc>
          <w:tcPr>
            <w:tcW w:w="3699"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Sexual Orientation</w:t>
            </w:r>
          </w:p>
        </w:tc>
        <w:tc>
          <w:tcPr>
            <w:tcW w:w="1840"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BSUH Leavers</w:t>
            </w:r>
          </w:p>
        </w:tc>
        <w:tc>
          <w:tcPr>
            <w:tcW w:w="1842"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BSUH Leavers (%)</w:t>
            </w:r>
          </w:p>
        </w:tc>
        <w:tc>
          <w:tcPr>
            <w:tcW w:w="1557"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in Workforce</w:t>
            </w:r>
          </w:p>
        </w:tc>
        <w:tc>
          <w:tcPr>
            <w:tcW w:w="1275"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 in Workforce</w:t>
            </w:r>
          </w:p>
        </w:tc>
      </w:tr>
      <w:tr w:rsidR="00053511" w:rsidRPr="00AE49C8" w:rsidTr="00FF7E7E">
        <w:trPr>
          <w:cantSplit/>
          <w:trHeight w:val="312"/>
          <w:tblHeader/>
          <w:jc w:val="center"/>
        </w:trPr>
        <w:tc>
          <w:tcPr>
            <w:tcW w:w="3699"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Bisexual</w:t>
            </w:r>
          </w:p>
        </w:tc>
        <w:tc>
          <w:tcPr>
            <w:tcW w:w="1840" w:type="dxa"/>
            <w:shd w:val="clear" w:color="auto" w:fill="auto"/>
            <w:noWrap/>
            <w:vAlign w:val="center"/>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35</w:t>
            </w:r>
          </w:p>
        </w:tc>
        <w:tc>
          <w:tcPr>
            <w:tcW w:w="1842"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2.3%</w:t>
            </w:r>
          </w:p>
        </w:tc>
        <w:tc>
          <w:tcPr>
            <w:tcW w:w="1557"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167</w:t>
            </w:r>
          </w:p>
        </w:tc>
        <w:tc>
          <w:tcPr>
            <w:tcW w:w="1275"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1.9%</w:t>
            </w:r>
          </w:p>
        </w:tc>
      </w:tr>
      <w:tr w:rsidR="00053511" w:rsidRPr="00AE49C8" w:rsidTr="00FF7E7E">
        <w:trPr>
          <w:cantSplit/>
          <w:trHeight w:val="312"/>
          <w:tblHeader/>
          <w:jc w:val="center"/>
        </w:trPr>
        <w:tc>
          <w:tcPr>
            <w:tcW w:w="3699"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Gay or Lesbian</w:t>
            </w:r>
          </w:p>
        </w:tc>
        <w:tc>
          <w:tcPr>
            <w:tcW w:w="1840" w:type="dxa"/>
            <w:shd w:val="clear" w:color="auto" w:fill="auto"/>
            <w:noWrap/>
            <w:vAlign w:val="center"/>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72</w:t>
            </w:r>
          </w:p>
        </w:tc>
        <w:tc>
          <w:tcPr>
            <w:tcW w:w="1842"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4.7%</w:t>
            </w:r>
          </w:p>
        </w:tc>
        <w:tc>
          <w:tcPr>
            <w:tcW w:w="1557"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440</w:t>
            </w:r>
          </w:p>
        </w:tc>
        <w:tc>
          <w:tcPr>
            <w:tcW w:w="1275"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5.0%</w:t>
            </w:r>
          </w:p>
        </w:tc>
      </w:tr>
      <w:tr w:rsidR="00053511" w:rsidRPr="00AE49C8" w:rsidTr="00FF7E7E">
        <w:trPr>
          <w:cantSplit/>
          <w:trHeight w:val="312"/>
          <w:tblHeader/>
          <w:jc w:val="center"/>
        </w:trPr>
        <w:tc>
          <w:tcPr>
            <w:tcW w:w="3699"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Heterosexual or Straight</w:t>
            </w:r>
          </w:p>
        </w:tc>
        <w:tc>
          <w:tcPr>
            <w:tcW w:w="1840" w:type="dxa"/>
            <w:shd w:val="clear" w:color="auto" w:fill="auto"/>
            <w:noWrap/>
            <w:vAlign w:val="center"/>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1096</w:t>
            </w:r>
          </w:p>
        </w:tc>
        <w:tc>
          <w:tcPr>
            <w:tcW w:w="1842"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71.8%</w:t>
            </w:r>
          </w:p>
        </w:tc>
        <w:tc>
          <w:tcPr>
            <w:tcW w:w="1557"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6461</w:t>
            </w:r>
          </w:p>
        </w:tc>
        <w:tc>
          <w:tcPr>
            <w:tcW w:w="1275"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72.8%</w:t>
            </w:r>
          </w:p>
        </w:tc>
      </w:tr>
      <w:tr w:rsidR="00053511" w:rsidRPr="00AE49C8" w:rsidTr="00FF7E7E">
        <w:trPr>
          <w:cantSplit/>
          <w:trHeight w:val="312"/>
          <w:tblHeader/>
          <w:jc w:val="center"/>
        </w:trPr>
        <w:tc>
          <w:tcPr>
            <w:tcW w:w="3699"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Other sexual orientation not listed</w:t>
            </w:r>
          </w:p>
        </w:tc>
        <w:tc>
          <w:tcPr>
            <w:tcW w:w="1840" w:type="dxa"/>
            <w:shd w:val="clear" w:color="auto" w:fill="auto"/>
            <w:noWrap/>
            <w:vAlign w:val="center"/>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3</w:t>
            </w:r>
          </w:p>
        </w:tc>
        <w:tc>
          <w:tcPr>
            <w:tcW w:w="1842"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0.2%</w:t>
            </w:r>
          </w:p>
        </w:tc>
        <w:tc>
          <w:tcPr>
            <w:tcW w:w="1557"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19</w:t>
            </w:r>
          </w:p>
        </w:tc>
        <w:tc>
          <w:tcPr>
            <w:tcW w:w="1275"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0.2%</w:t>
            </w:r>
          </w:p>
        </w:tc>
      </w:tr>
      <w:tr w:rsidR="00053511" w:rsidRPr="00AE49C8" w:rsidTr="00FF7E7E">
        <w:trPr>
          <w:cantSplit/>
          <w:trHeight w:val="312"/>
          <w:tblHeader/>
          <w:jc w:val="center"/>
        </w:trPr>
        <w:tc>
          <w:tcPr>
            <w:tcW w:w="3699"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Undecided</w:t>
            </w:r>
          </w:p>
        </w:tc>
        <w:tc>
          <w:tcPr>
            <w:tcW w:w="1840" w:type="dxa"/>
            <w:shd w:val="clear" w:color="auto" w:fill="auto"/>
            <w:noWrap/>
            <w:vAlign w:val="center"/>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1</w:t>
            </w:r>
          </w:p>
        </w:tc>
        <w:tc>
          <w:tcPr>
            <w:tcW w:w="1842"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0.1%</w:t>
            </w:r>
          </w:p>
        </w:tc>
        <w:tc>
          <w:tcPr>
            <w:tcW w:w="1557"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9</w:t>
            </w:r>
          </w:p>
        </w:tc>
        <w:tc>
          <w:tcPr>
            <w:tcW w:w="1275"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0.1%</w:t>
            </w:r>
          </w:p>
        </w:tc>
      </w:tr>
      <w:tr w:rsidR="00053511" w:rsidRPr="00AE49C8" w:rsidTr="00FF7E7E">
        <w:trPr>
          <w:cantSplit/>
          <w:trHeight w:val="312"/>
          <w:tblHeader/>
          <w:jc w:val="center"/>
        </w:trPr>
        <w:tc>
          <w:tcPr>
            <w:tcW w:w="3699"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840" w:type="dxa"/>
            <w:shd w:val="clear" w:color="auto" w:fill="auto"/>
            <w:noWrap/>
            <w:vAlign w:val="center"/>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235</w:t>
            </w:r>
          </w:p>
        </w:tc>
        <w:tc>
          <w:tcPr>
            <w:tcW w:w="1842"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15.4%</w:t>
            </w:r>
          </w:p>
        </w:tc>
        <w:tc>
          <w:tcPr>
            <w:tcW w:w="1557"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1094</w:t>
            </w:r>
          </w:p>
        </w:tc>
        <w:tc>
          <w:tcPr>
            <w:tcW w:w="1275"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12.3%</w:t>
            </w:r>
          </w:p>
        </w:tc>
      </w:tr>
      <w:tr w:rsidR="00053511" w:rsidRPr="00AE49C8" w:rsidTr="00FF7E7E">
        <w:trPr>
          <w:cantSplit/>
          <w:trHeight w:val="312"/>
          <w:tblHeader/>
          <w:jc w:val="center"/>
        </w:trPr>
        <w:tc>
          <w:tcPr>
            <w:tcW w:w="3699"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840" w:type="dxa"/>
            <w:shd w:val="clear" w:color="auto" w:fill="auto"/>
            <w:noWrap/>
            <w:vAlign w:val="center"/>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85</w:t>
            </w:r>
          </w:p>
        </w:tc>
        <w:tc>
          <w:tcPr>
            <w:tcW w:w="1842"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5.6%</w:t>
            </w:r>
          </w:p>
        </w:tc>
        <w:tc>
          <w:tcPr>
            <w:tcW w:w="1557"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683</w:t>
            </w:r>
          </w:p>
        </w:tc>
        <w:tc>
          <w:tcPr>
            <w:tcW w:w="1275"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7.7%</w:t>
            </w:r>
          </w:p>
        </w:tc>
      </w:tr>
      <w:tr w:rsidR="00053511" w:rsidRPr="00AE49C8" w:rsidTr="00FF7E7E">
        <w:trPr>
          <w:cantSplit/>
          <w:trHeight w:val="312"/>
          <w:tblHeader/>
          <w:jc w:val="center"/>
        </w:trPr>
        <w:tc>
          <w:tcPr>
            <w:tcW w:w="3699"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Grand Total</w:t>
            </w:r>
          </w:p>
        </w:tc>
        <w:tc>
          <w:tcPr>
            <w:tcW w:w="1840" w:type="dxa"/>
            <w:shd w:val="clear" w:color="auto" w:fill="auto"/>
            <w:noWrap/>
            <w:vAlign w:val="center"/>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1527</w:t>
            </w:r>
          </w:p>
        </w:tc>
        <w:tc>
          <w:tcPr>
            <w:tcW w:w="1842"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100.0%</w:t>
            </w:r>
          </w:p>
        </w:tc>
        <w:tc>
          <w:tcPr>
            <w:tcW w:w="1557"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8873</w:t>
            </w:r>
          </w:p>
        </w:tc>
        <w:tc>
          <w:tcPr>
            <w:tcW w:w="1275" w:type="dxa"/>
            <w:shd w:val="clear" w:color="auto" w:fill="auto"/>
            <w:noWrap/>
            <w:vAlign w:val="bottom"/>
            <w:hideMark/>
          </w:tcPr>
          <w:p w:rsidR="00053511" w:rsidRPr="00AE49C8" w:rsidRDefault="00053511" w:rsidP="00053511">
            <w:pPr>
              <w:spacing w:after="0" w:line="240" w:lineRule="auto"/>
              <w:jc w:val="both"/>
              <w:rPr>
                <w:rFonts w:eastAsia="Times New Roman"/>
                <w:color w:val="000000"/>
                <w:szCs w:val="24"/>
                <w:lang w:eastAsia="en-GB"/>
              </w:rPr>
            </w:pPr>
            <w:r w:rsidRPr="00AE49C8">
              <w:rPr>
                <w:rFonts w:eastAsia="Times New Roman"/>
                <w:color w:val="000000"/>
                <w:szCs w:val="24"/>
                <w:lang w:eastAsia="en-GB"/>
              </w:rPr>
              <w:t>100.0%</w:t>
            </w:r>
          </w:p>
        </w:tc>
      </w:tr>
    </w:tbl>
    <w:p w:rsidR="001A2AAA" w:rsidRPr="00AE49C8" w:rsidRDefault="001A2AAA" w:rsidP="001A2AAA">
      <w:pPr>
        <w:rPr>
          <w:b/>
        </w:rPr>
      </w:pPr>
    </w:p>
    <w:p w:rsidR="001A2AAA" w:rsidRPr="00AE49C8" w:rsidRDefault="00053511" w:rsidP="001A2AAA">
      <w:pPr>
        <w:jc w:val="center"/>
        <w:rPr>
          <w:b/>
        </w:rPr>
      </w:pPr>
      <w:r w:rsidRPr="00AE49C8">
        <w:rPr>
          <w:noProof/>
          <w:lang w:eastAsia="en-GB"/>
        </w:rPr>
        <w:lastRenderedPageBreak/>
        <w:drawing>
          <wp:inline distT="0" distB="0" distL="0" distR="0" wp14:anchorId="26C33E3F" wp14:editId="2B37C989">
            <wp:extent cx="5731510" cy="3374610"/>
            <wp:effectExtent l="0" t="0" r="2540" b="0"/>
            <wp:docPr id="13" name="Chart 13" title="Representation of sexual orientation for leavers compared to the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A2AAA" w:rsidRPr="000D2F61" w:rsidRDefault="001A2AAA" w:rsidP="001A2AAA">
      <w:r w:rsidRPr="000D2F61">
        <w:t>Observations</w:t>
      </w:r>
    </w:p>
    <w:p w:rsidR="001A2AAA" w:rsidRPr="00AE49C8" w:rsidRDefault="00FF7E7E" w:rsidP="001A2AAA">
      <w:r w:rsidRPr="00AE49C8">
        <w:t>Compared to the overall workforce representation</w:t>
      </w:r>
    </w:p>
    <w:p w:rsidR="00FF7E7E" w:rsidRPr="00AE49C8" w:rsidRDefault="00FF7E7E" w:rsidP="00FF7E7E">
      <w:pPr>
        <w:pStyle w:val="ListParagraph"/>
      </w:pPr>
      <w:r w:rsidRPr="00AE49C8">
        <w:t>Staff that are bisexual or those that elected not to declare their sexual orientation have a proportionally higher representation in leavers data.  All other groups representation is either in proportion or lower.</w:t>
      </w:r>
    </w:p>
    <w:p w:rsidR="00FF7E7E" w:rsidRPr="00AE49C8" w:rsidRDefault="00FF7E7E" w:rsidP="00FF7E7E">
      <w:pPr>
        <w:pStyle w:val="ListParagraph"/>
      </w:pPr>
      <w:r w:rsidRPr="00AE49C8">
        <w:t>Over 20% of leavers either chose not to declare their sexual orientation, or it was unknown.</w:t>
      </w:r>
    </w:p>
    <w:p w:rsidR="001A2AAA" w:rsidRPr="00AE49C8" w:rsidRDefault="001A2AAA" w:rsidP="001A2AAA">
      <w:pPr>
        <w:rPr>
          <w:b/>
        </w:rPr>
      </w:pPr>
      <w:r w:rsidRPr="00AE49C8">
        <w:rPr>
          <w:b/>
        </w:rPr>
        <w:t>WSHT</w:t>
      </w:r>
    </w:p>
    <w:tbl>
      <w:tblPr>
        <w:tblW w:w="10362" w:type="dxa"/>
        <w:jc w:val="center"/>
        <w:tblBorders>
          <w:insideH w:val="dotted" w:sz="4" w:space="0" w:color="auto"/>
        </w:tblBorders>
        <w:tblLook w:val="04A0" w:firstRow="1" w:lastRow="0" w:firstColumn="1" w:lastColumn="0" w:noHBand="0" w:noVBand="1"/>
        <w:tblCaption w:val="Representation of sexual orientation for leavers"/>
      </w:tblPr>
      <w:tblGrid>
        <w:gridCol w:w="3701"/>
        <w:gridCol w:w="1840"/>
        <w:gridCol w:w="1845"/>
        <w:gridCol w:w="1701"/>
        <w:gridCol w:w="1403"/>
      </w:tblGrid>
      <w:tr w:rsidR="00053511" w:rsidRPr="00AE49C8" w:rsidTr="00FF7E7E">
        <w:trPr>
          <w:cantSplit/>
          <w:trHeight w:val="312"/>
          <w:tblHeader/>
          <w:jc w:val="center"/>
        </w:trPr>
        <w:tc>
          <w:tcPr>
            <w:tcW w:w="3701"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Sexual Orientation</w:t>
            </w:r>
          </w:p>
        </w:tc>
        <w:tc>
          <w:tcPr>
            <w:tcW w:w="1840"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WSHT Leavers</w:t>
            </w:r>
          </w:p>
        </w:tc>
        <w:tc>
          <w:tcPr>
            <w:tcW w:w="1845"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2020/21 WSHT Leavers (%)</w:t>
            </w:r>
          </w:p>
        </w:tc>
        <w:tc>
          <w:tcPr>
            <w:tcW w:w="1701"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Number in Workforce</w:t>
            </w:r>
          </w:p>
        </w:tc>
        <w:tc>
          <w:tcPr>
            <w:tcW w:w="1275" w:type="dxa"/>
            <w:shd w:val="clear" w:color="auto" w:fill="auto"/>
            <w:noWrap/>
            <w:hideMark/>
          </w:tcPr>
          <w:p w:rsidR="00053511" w:rsidRPr="00AE49C8" w:rsidRDefault="00053511" w:rsidP="00053511">
            <w:pPr>
              <w:spacing w:after="0" w:line="240" w:lineRule="auto"/>
              <w:rPr>
                <w:rFonts w:eastAsia="Times New Roman"/>
                <w:b/>
                <w:bCs/>
                <w:color w:val="000000"/>
                <w:szCs w:val="24"/>
                <w:lang w:eastAsia="en-GB"/>
              </w:rPr>
            </w:pPr>
            <w:r w:rsidRPr="00AE49C8">
              <w:rPr>
                <w:rFonts w:eastAsia="Times New Roman"/>
                <w:b/>
                <w:bCs/>
                <w:color w:val="000000"/>
                <w:szCs w:val="24"/>
                <w:lang w:eastAsia="en-GB"/>
              </w:rPr>
              <w:t>% in Workforce</w:t>
            </w:r>
          </w:p>
        </w:tc>
      </w:tr>
      <w:tr w:rsidR="00053511" w:rsidRPr="00AE49C8" w:rsidTr="00FF7E7E">
        <w:trPr>
          <w:cantSplit/>
          <w:trHeight w:val="312"/>
          <w:tblHeader/>
          <w:jc w:val="center"/>
        </w:trPr>
        <w:tc>
          <w:tcPr>
            <w:tcW w:w="3701"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Bisexual</w:t>
            </w:r>
          </w:p>
        </w:tc>
        <w:tc>
          <w:tcPr>
            <w:tcW w:w="1840"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14</w:t>
            </w:r>
          </w:p>
        </w:tc>
        <w:tc>
          <w:tcPr>
            <w:tcW w:w="184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2.1%</w:t>
            </w:r>
          </w:p>
        </w:tc>
        <w:tc>
          <w:tcPr>
            <w:tcW w:w="1701"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67</w:t>
            </w:r>
          </w:p>
        </w:tc>
        <w:tc>
          <w:tcPr>
            <w:tcW w:w="127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0.9%</w:t>
            </w:r>
          </w:p>
        </w:tc>
      </w:tr>
      <w:tr w:rsidR="00053511" w:rsidRPr="00AE49C8" w:rsidTr="00FF7E7E">
        <w:trPr>
          <w:cantSplit/>
          <w:trHeight w:val="312"/>
          <w:tblHeader/>
          <w:jc w:val="center"/>
        </w:trPr>
        <w:tc>
          <w:tcPr>
            <w:tcW w:w="3701"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Gay or Lesbian</w:t>
            </w:r>
          </w:p>
        </w:tc>
        <w:tc>
          <w:tcPr>
            <w:tcW w:w="1840"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19</w:t>
            </w:r>
          </w:p>
        </w:tc>
        <w:tc>
          <w:tcPr>
            <w:tcW w:w="184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2.8%</w:t>
            </w:r>
          </w:p>
        </w:tc>
        <w:tc>
          <w:tcPr>
            <w:tcW w:w="1701"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123</w:t>
            </w:r>
          </w:p>
        </w:tc>
        <w:tc>
          <w:tcPr>
            <w:tcW w:w="127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1.6%</w:t>
            </w:r>
          </w:p>
        </w:tc>
      </w:tr>
      <w:tr w:rsidR="00053511" w:rsidRPr="00AE49C8" w:rsidTr="00FF7E7E">
        <w:trPr>
          <w:cantSplit/>
          <w:trHeight w:val="312"/>
          <w:tblHeader/>
          <w:jc w:val="center"/>
        </w:trPr>
        <w:tc>
          <w:tcPr>
            <w:tcW w:w="3701"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Heterosexual or Straight</w:t>
            </w:r>
          </w:p>
        </w:tc>
        <w:tc>
          <w:tcPr>
            <w:tcW w:w="1840"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500</w:t>
            </w:r>
          </w:p>
        </w:tc>
        <w:tc>
          <w:tcPr>
            <w:tcW w:w="184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73.3%</w:t>
            </w:r>
          </w:p>
        </w:tc>
        <w:tc>
          <w:tcPr>
            <w:tcW w:w="1701"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5779</w:t>
            </w:r>
          </w:p>
        </w:tc>
        <w:tc>
          <w:tcPr>
            <w:tcW w:w="127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76.9%</w:t>
            </w:r>
          </w:p>
        </w:tc>
      </w:tr>
      <w:tr w:rsidR="00053511" w:rsidRPr="00AE49C8" w:rsidTr="00FF7E7E">
        <w:trPr>
          <w:cantSplit/>
          <w:trHeight w:val="312"/>
          <w:tblHeader/>
          <w:jc w:val="center"/>
        </w:trPr>
        <w:tc>
          <w:tcPr>
            <w:tcW w:w="3701"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Other sexual orientation not listed</w:t>
            </w:r>
          </w:p>
        </w:tc>
        <w:tc>
          <w:tcPr>
            <w:tcW w:w="1840"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84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0.3%</w:t>
            </w:r>
          </w:p>
        </w:tc>
        <w:tc>
          <w:tcPr>
            <w:tcW w:w="1701"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27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053511" w:rsidRPr="00AE49C8" w:rsidTr="00FF7E7E">
        <w:trPr>
          <w:cantSplit/>
          <w:trHeight w:val="312"/>
          <w:tblHeader/>
          <w:jc w:val="center"/>
        </w:trPr>
        <w:tc>
          <w:tcPr>
            <w:tcW w:w="3701"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Undecided</w:t>
            </w:r>
          </w:p>
        </w:tc>
        <w:tc>
          <w:tcPr>
            <w:tcW w:w="1840"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0</w:t>
            </w:r>
          </w:p>
        </w:tc>
        <w:tc>
          <w:tcPr>
            <w:tcW w:w="184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0.0%</w:t>
            </w:r>
          </w:p>
        </w:tc>
        <w:tc>
          <w:tcPr>
            <w:tcW w:w="1701"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2</w:t>
            </w:r>
          </w:p>
        </w:tc>
        <w:tc>
          <w:tcPr>
            <w:tcW w:w="127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0.0%</w:t>
            </w:r>
          </w:p>
        </w:tc>
      </w:tr>
      <w:tr w:rsidR="00053511" w:rsidRPr="00AE49C8" w:rsidTr="00FF7E7E">
        <w:trPr>
          <w:cantSplit/>
          <w:trHeight w:val="312"/>
          <w:tblHeader/>
          <w:jc w:val="center"/>
        </w:trPr>
        <w:tc>
          <w:tcPr>
            <w:tcW w:w="3701"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Prefer not to say</w:t>
            </w:r>
          </w:p>
        </w:tc>
        <w:tc>
          <w:tcPr>
            <w:tcW w:w="1840"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141</w:t>
            </w:r>
          </w:p>
        </w:tc>
        <w:tc>
          <w:tcPr>
            <w:tcW w:w="184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20.7%</w:t>
            </w:r>
          </w:p>
        </w:tc>
        <w:tc>
          <w:tcPr>
            <w:tcW w:w="1701"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1495</w:t>
            </w:r>
          </w:p>
        </w:tc>
        <w:tc>
          <w:tcPr>
            <w:tcW w:w="127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19.9%</w:t>
            </w:r>
          </w:p>
        </w:tc>
      </w:tr>
      <w:tr w:rsidR="00053511" w:rsidRPr="00AE49C8" w:rsidTr="00FF7E7E">
        <w:trPr>
          <w:cantSplit/>
          <w:trHeight w:val="312"/>
          <w:tblHeader/>
          <w:jc w:val="center"/>
        </w:trPr>
        <w:tc>
          <w:tcPr>
            <w:tcW w:w="3701"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Unknown</w:t>
            </w:r>
          </w:p>
        </w:tc>
        <w:tc>
          <w:tcPr>
            <w:tcW w:w="1840"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6</w:t>
            </w:r>
          </w:p>
        </w:tc>
        <w:tc>
          <w:tcPr>
            <w:tcW w:w="184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0.9%</w:t>
            </w:r>
          </w:p>
        </w:tc>
        <w:tc>
          <w:tcPr>
            <w:tcW w:w="1701"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51</w:t>
            </w:r>
          </w:p>
        </w:tc>
        <w:tc>
          <w:tcPr>
            <w:tcW w:w="127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0.7%</w:t>
            </w:r>
          </w:p>
        </w:tc>
      </w:tr>
      <w:tr w:rsidR="00053511" w:rsidRPr="00AE49C8" w:rsidTr="00FF7E7E">
        <w:trPr>
          <w:cantSplit/>
          <w:trHeight w:val="312"/>
          <w:tblHeader/>
          <w:jc w:val="center"/>
        </w:trPr>
        <w:tc>
          <w:tcPr>
            <w:tcW w:w="3701"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Grand Total</w:t>
            </w:r>
          </w:p>
        </w:tc>
        <w:tc>
          <w:tcPr>
            <w:tcW w:w="1840" w:type="dxa"/>
            <w:shd w:val="clear" w:color="auto" w:fill="auto"/>
            <w:noWrap/>
            <w:vAlign w:val="center"/>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682</w:t>
            </w:r>
          </w:p>
        </w:tc>
        <w:tc>
          <w:tcPr>
            <w:tcW w:w="184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c>
          <w:tcPr>
            <w:tcW w:w="1701"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7519</w:t>
            </w:r>
          </w:p>
        </w:tc>
        <w:tc>
          <w:tcPr>
            <w:tcW w:w="1275" w:type="dxa"/>
            <w:shd w:val="clear" w:color="auto" w:fill="auto"/>
            <w:noWrap/>
            <w:vAlign w:val="bottom"/>
            <w:hideMark/>
          </w:tcPr>
          <w:p w:rsidR="00053511" w:rsidRPr="00AE49C8" w:rsidRDefault="00053511" w:rsidP="00053511">
            <w:pPr>
              <w:spacing w:after="0" w:line="240" w:lineRule="auto"/>
              <w:rPr>
                <w:rFonts w:eastAsia="Times New Roman"/>
                <w:color w:val="000000"/>
                <w:szCs w:val="24"/>
                <w:lang w:eastAsia="en-GB"/>
              </w:rPr>
            </w:pPr>
            <w:r w:rsidRPr="00AE49C8">
              <w:rPr>
                <w:rFonts w:eastAsia="Times New Roman"/>
                <w:color w:val="000000"/>
                <w:szCs w:val="24"/>
                <w:lang w:eastAsia="en-GB"/>
              </w:rPr>
              <w:t>100.0%</w:t>
            </w:r>
          </w:p>
        </w:tc>
      </w:tr>
    </w:tbl>
    <w:p w:rsidR="001A2AAA" w:rsidRPr="00AE49C8" w:rsidRDefault="001A2AAA" w:rsidP="00053511">
      <w:pPr>
        <w:jc w:val="center"/>
        <w:rPr>
          <w:b/>
        </w:rPr>
      </w:pPr>
    </w:p>
    <w:p w:rsidR="001A2AAA" w:rsidRPr="00AE49C8" w:rsidRDefault="00053511" w:rsidP="001A2AAA">
      <w:pPr>
        <w:jc w:val="center"/>
        <w:rPr>
          <w:b/>
        </w:rPr>
      </w:pPr>
      <w:r w:rsidRPr="00AE49C8">
        <w:rPr>
          <w:noProof/>
          <w:lang w:eastAsia="en-GB"/>
        </w:rPr>
        <w:lastRenderedPageBreak/>
        <w:drawing>
          <wp:inline distT="0" distB="0" distL="0" distR="0" wp14:anchorId="163B4DA9" wp14:editId="7C1F0B68">
            <wp:extent cx="5731510" cy="3374610"/>
            <wp:effectExtent l="0" t="0" r="2540" b="0"/>
            <wp:docPr id="14" name="Chart 14" title="Representation of sexual orientation for leavers compared to the overall workforce repres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1A2AAA" w:rsidRPr="000D2F61" w:rsidRDefault="001A2AAA" w:rsidP="001A2AAA">
      <w:r w:rsidRPr="000D2F61">
        <w:t>Observations</w:t>
      </w:r>
    </w:p>
    <w:p w:rsidR="00FF7E7E" w:rsidRPr="00AE49C8" w:rsidRDefault="00FF7E7E" w:rsidP="00FF7E7E">
      <w:r w:rsidRPr="00AE49C8">
        <w:t>Compared to the overall workforce representation</w:t>
      </w:r>
    </w:p>
    <w:p w:rsidR="001A2AAA" w:rsidRPr="00AE49C8" w:rsidRDefault="00FF7E7E" w:rsidP="00FF7E7E">
      <w:pPr>
        <w:pStyle w:val="ListParagraph"/>
        <w:rPr>
          <w:b/>
        </w:rPr>
      </w:pPr>
      <w:r w:rsidRPr="00AE49C8">
        <w:t>Staff who are bisexual, gay or lesbian, and other sexual orientations prefer not to say, or unknown left the organisation at a higher proportional rate.  Heterosexual and undecided left the organisation either proportionally or lower.</w:t>
      </w:r>
    </w:p>
    <w:p w:rsidR="00881E07" w:rsidRDefault="00FF7E7E" w:rsidP="00FF7E7E">
      <w:pPr>
        <w:pStyle w:val="ListParagraph"/>
      </w:pPr>
      <w:r w:rsidRPr="00AE49C8">
        <w:t>Circa 20% of leavers either chose not to declare their sexual orientation, or it was unknown.</w:t>
      </w:r>
    </w:p>
    <w:p w:rsidR="00881E07" w:rsidRDefault="00881E07">
      <w:pPr>
        <w:widowControl w:val="0"/>
      </w:pPr>
      <w:r>
        <w:br w:type="page"/>
      </w:r>
    </w:p>
    <w:p w:rsidR="00FF7E7E" w:rsidRDefault="00881E07" w:rsidP="00881E07">
      <w:pPr>
        <w:pStyle w:val="Heading1"/>
      </w:pPr>
      <w:bookmarkStart w:id="80" w:name="_Toc88634027"/>
      <w:r>
        <w:lastRenderedPageBreak/>
        <w:t>The Trust’s Patients</w:t>
      </w:r>
      <w:bookmarkEnd w:id="80"/>
    </w:p>
    <w:p w:rsidR="00881E07" w:rsidRDefault="00881E07" w:rsidP="00881E07">
      <w:r>
        <w:t>This section reviews available data that shows information about the patients that use BSUH and WSHT’s services.</w:t>
      </w:r>
    </w:p>
    <w:p w:rsidR="00AF5514" w:rsidRDefault="00AF5514" w:rsidP="00881E07">
      <w:r>
        <w:t>During 2020/21</w:t>
      </w:r>
      <w:r w:rsidR="00A53C2E">
        <w:t>,</w:t>
      </w:r>
      <w:r>
        <w:t xml:space="preserve"> BSUH saw:</w:t>
      </w:r>
    </w:p>
    <w:p w:rsidR="00AF5514" w:rsidRDefault="00AF5514" w:rsidP="00AF5514">
      <w:pPr>
        <w:pStyle w:val="ListParagraph"/>
        <w:numPr>
          <w:ilvl w:val="0"/>
          <w:numId w:val="25"/>
        </w:numPr>
      </w:pPr>
      <w:r>
        <w:t>127,046 inpatients</w:t>
      </w:r>
    </w:p>
    <w:p w:rsidR="00AF5514" w:rsidRDefault="00AF5514" w:rsidP="00AF5514">
      <w:pPr>
        <w:pStyle w:val="ListParagraph"/>
        <w:numPr>
          <w:ilvl w:val="0"/>
          <w:numId w:val="25"/>
        </w:numPr>
      </w:pPr>
      <w:r>
        <w:t>605,979 outpatients</w:t>
      </w:r>
    </w:p>
    <w:p w:rsidR="00AF5514" w:rsidRDefault="00881E07" w:rsidP="00881E07">
      <w:r>
        <w:t>Please note that due to operational pressures during 2020/21</w:t>
      </w:r>
      <w:r w:rsidR="00A53C2E">
        <w:t>,</w:t>
      </w:r>
      <w:r>
        <w:t xml:space="preserve"> not all patient information was available when </w:t>
      </w:r>
      <w:r w:rsidR="00EA09CE">
        <w:t>writing</w:t>
      </w:r>
      <w:r>
        <w:t xml:space="preserve"> this report.</w:t>
      </w:r>
    </w:p>
    <w:p w:rsidR="00881E07" w:rsidRDefault="00881E07" w:rsidP="00881E07">
      <w:pPr>
        <w:pStyle w:val="Heading2"/>
      </w:pPr>
      <w:bookmarkStart w:id="81" w:name="_Toc88634028"/>
      <w:r>
        <w:t>Patient Demographics</w:t>
      </w:r>
      <w:bookmarkEnd w:id="81"/>
    </w:p>
    <w:p w:rsidR="00881E07" w:rsidRDefault="00881E07" w:rsidP="00881E07">
      <w:pPr>
        <w:pStyle w:val="Heading3"/>
      </w:pPr>
      <w:bookmarkStart w:id="82" w:name="_Toc88634029"/>
      <w:r>
        <w:t>Age</w:t>
      </w:r>
      <w:bookmarkEnd w:id="82"/>
    </w:p>
    <w:p w:rsidR="00AF5514" w:rsidRDefault="00AF5514" w:rsidP="00AF5514"/>
    <w:p w:rsidR="00AF5514" w:rsidRPr="00AF5514" w:rsidRDefault="00AF5514" w:rsidP="00AF5514">
      <w:pPr>
        <w:rPr>
          <w:b/>
        </w:rPr>
      </w:pPr>
      <w:r w:rsidRPr="00AF5514">
        <w:rPr>
          <w:b/>
        </w:rPr>
        <w:t>BSUH:</w:t>
      </w:r>
    </w:p>
    <w:tbl>
      <w:tblPr>
        <w:tblW w:w="6140" w:type="dxa"/>
        <w:jc w:val="center"/>
        <w:tblLook w:val="04A0" w:firstRow="1" w:lastRow="0" w:firstColumn="1" w:lastColumn="0" w:noHBand="0" w:noVBand="1"/>
        <w:tblCaption w:val="Breakdown of in and outpatients by age"/>
      </w:tblPr>
      <w:tblGrid>
        <w:gridCol w:w="1740"/>
        <w:gridCol w:w="1360"/>
        <w:gridCol w:w="1550"/>
        <w:gridCol w:w="1600"/>
      </w:tblGrid>
      <w:tr w:rsidR="00AF5514" w:rsidRPr="00AF5514" w:rsidTr="00A53C2E">
        <w:trPr>
          <w:cantSplit/>
          <w:trHeight w:val="936"/>
          <w:tblHeader/>
          <w:jc w:val="center"/>
        </w:trPr>
        <w:tc>
          <w:tcPr>
            <w:tcW w:w="1740" w:type="dxa"/>
            <w:tcBorders>
              <w:top w:val="nil"/>
              <w:left w:val="nil"/>
              <w:bottom w:val="nil"/>
              <w:right w:val="nil"/>
            </w:tcBorders>
            <w:shd w:val="clear" w:color="auto" w:fill="auto"/>
            <w:noWrap/>
            <w:hideMark/>
          </w:tcPr>
          <w:p w:rsidR="00AF5514" w:rsidRPr="00AF5514" w:rsidRDefault="00AF5514" w:rsidP="00AF5514">
            <w:pPr>
              <w:spacing w:after="0" w:line="240" w:lineRule="auto"/>
              <w:jc w:val="center"/>
              <w:rPr>
                <w:rFonts w:eastAsia="Times New Roman"/>
                <w:b/>
                <w:bCs/>
                <w:color w:val="000000"/>
                <w:szCs w:val="24"/>
                <w:lang w:eastAsia="en-GB"/>
              </w:rPr>
            </w:pPr>
            <w:r w:rsidRPr="00AF5514">
              <w:rPr>
                <w:rFonts w:eastAsia="Times New Roman"/>
                <w:b/>
                <w:bCs/>
                <w:color w:val="000000"/>
                <w:szCs w:val="24"/>
                <w:lang w:eastAsia="en-GB"/>
              </w:rPr>
              <w:t>Age Range</w:t>
            </w:r>
          </w:p>
        </w:tc>
        <w:tc>
          <w:tcPr>
            <w:tcW w:w="1360" w:type="dxa"/>
            <w:tcBorders>
              <w:top w:val="nil"/>
              <w:left w:val="nil"/>
              <w:bottom w:val="nil"/>
              <w:right w:val="nil"/>
            </w:tcBorders>
            <w:shd w:val="clear" w:color="000000" w:fill="C5D9F1"/>
            <w:hideMark/>
          </w:tcPr>
          <w:p w:rsidR="00AF5514" w:rsidRPr="00AF5514" w:rsidRDefault="00AF5514" w:rsidP="00AF5514">
            <w:pPr>
              <w:spacing w:after="0" w:line="240" w:lineRule="auto"/>
              <w:jc w:val="center"/>
              <w:rPr>
                <w:rFonts w:eastAsia="Times New Roman"/>
                <w:b/>
                <w:bCs/>
                <w:szCs w:val="24"/>
                <w:lang w:eastAsia="en-GB"/>
              </w:rPr>
            </w:pPr>
            <w:r w:rsidRPr="00AF5514">
              <w:rPr>
                <w:rFonts w:eastAsia="Times New Roman"/>
                <w:b/>
                <w:bCs/>
                <w:szCs w:val="24"/>
                <w:lang w:eastAsia="en-GB"/>
              </w:rPr>
              <w:t>BSUH Inpatients</w:t>
            </w:r>
          </w:p>
        </w:tc>
        <w:tc>
          <w:tcPr>
            <w:tcW w:w="1440" w:type="dxa"/>
            <w:tcBorders>
              <w:top w:val="nil"/>
              <w:left w:val="nil"/>
              <w:bottom w:val="nil"/>
              <w:right w:val="nil"/>
            </w:tcBorders>
            <w:shd w:val="clear" w:color="000000" w:fill="41B6E6"/>
            <w:hideMark/>
          </w:tcPr>
          <w:p w:rsidR="00AF5514" w:rsidRPr="00AF5514" w:rsidRDefault="00AF5514" w:rsidP="00AF5514">
            <w:pPr>
              <w:spacing w:after="0" w:line="240" w:lineRule="auto"/>
              <w:jc w:val="center"/>
              <w:rPr>
                <w:rFonts w:eastAsia="Times New Roman"/>
                <w:b/>
                <w:bCs/>
                <w:szCs w:val="24"/>
                <w:lang w:eastAsia="en-GB"/>
              </w:rPr>
            </w:pPr>
            <w:r w:rsidRPr="00AF5514">
              <w:rPr>
                <w:rFonts w:eastAsia="Times New Roman"/>
                <w:b/>
                <w:bCs/>
                <w:szCs w:val="24"/>
                <w:lang w:eastAsia="en-GB"/>
              </w:rPr>
              <w:t>BSUH Outpatients</w:t>
            </w:r>
          </w:p>
        </w:tc>
        <w:tc>
          <w:tcPr>
            <w:tcW w:w="1600" w:type="dxa"/>
            <w:tcBorders>
              <w:top w:val="nil"/>
              <w:left w:val="nil"/>
              <w:bottom w:val="nil"/>
              <w:right w:val="nil"/>
            </w:tcBorders>
            <w:shd w:val="clear" w:color="000000" w:fill="FFB81C"/>
            <w:hideMark/>
          </w:tcPr>
          <w:p w:rsidR="00AF5514" w:rsidRPr="00AF5514" w:rsidRDefault="00AF5514" w:rsidP="00AF5514">
            <w:pPr>
              <w:spacing w:after="0" w:line="240" w:lineRule="auto"/>
              <w:jc w:val="center"/>
              <w:rPr>
                <w:rFonts w:eastAsia="Times New Roman"/>
                <w:b/>
                <w:bCs/>
                <w:color w:val="000000"/>
                <w:szCs w:val="24"/>
                <w:lang w:eastAsia="en-GB"/>
              </w:rPr>
            </w:pPr>
            <w:r w:rsidRPr="00AF5514">
              <w:rPr>
                <w:rFonts w:eastAsia="Times New Roman"/>
                <w:b/>
                <w:bCs/>
                <w:color w:val="000000"/>
                <w:szCs w:val="24"/>
                <w:lang w:eastAsia="en-GB"/>
              </w:rPr>
              <w:t>Census 2011 (SE England)</w:t>
            </w:r>
          </w:p>
        </w:tc>
      </w:tr>
      <w:tr w:rsidR="00AF5514" w:rsidRPr="00AF5514" w:rsidTr="00A53C2E">
        <w:trPr>
          <w:cantSplit/>
          <w:trHeight w:val="312"/>
          <w:tblHeader/>
          <w:jc w:val="center"/>
        </w:trPr>
        <w:tc>
          <w:tcPr>
            <w:tcW w:w="1740" w:type="dxa"/>
            <w:tcBorders>
              <w:top w:val="nil"/>
              <w:left w:val="nil"/>
              <w:bottom w:val="nil"/>
              <w:right w:val="nil"/>
            </w:tcBorders>
            <w:shd w:val="clear" w:color="auto" w:fill="auto"/>
            <w:noWrap/>
            <w:vAlign w:val="bottom"/>
            <w:hideMark/>
          </w:tcPr>
          <w:p w:rsidR="00AF5514" w:rsidRPr="00AF5514" w:rsidRDefault="00AF5514" w:rsidP="00AF5514">
            <w:pPr>
              <w:spacing w:after="0" w:line="240" w:lineRule="auto"/>
              <w:jc w:val="center"/>
              <w:rPr>
                <w:rFonts w:eastAsia="Times New Roman"/>
                <w:b/>
                <w:bCs/>
                <w:color w:val="000000"/>
                <w:szCs w:val="24"/>
                <w:lang w:eastAsia="en-GB"/>
              </w:rPr>
            </w:pPr>
            <w:r w:rsidRPr="00AF5514">
              <w:rPr>
                <w:rFonts w:eastAsia="Times New Roman"/>
                <w:b/>
                <w:bCs/>
                <w:color w:val="000000"/>
                <w:szCs w:val="24"/>
                <w:lang w:eastAsia="en-GB"/>
              </w:rPr>
              <w:t>&lt;=20 Years</w:t>
            </w:r>
          </w:p>
        </w:tc>
        <w:tc>
          <w:tcPr>
            <w:tcW w:w="1360" w:type="dxa"/>
            <w:tcBorders>
              <w:top w:val="nil"/>
              <w:left w:val="nil"/>
              <w:bottom w:val="nil"/>
              <w:right w:val="nil"/>
            </w:tcBorders>
            <w:shd w:val="clear" w:color="000000" w:fill="C5D9F1"/>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12.0%</w:t>
            </w:r>
          </w:p>
        </w:tc>
        <w:tc>
          <w:tcPr>
            <w:tcW w:w="1440" w:type="dxa"/>
            <w:tcBorders>
              <w:top w:val="nil"/>
              <w:left w:val="nil"/>
              <w:bottom w:val="nil"/>
              <w:right w:val="nil"/>
            </w:tcBorders>
            <w:shd w:val="clear" w:color="000000" w:fill="41B6E6"/>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11.4%</w:t>
            </w:r>
          </w:p>
        </w:tc>
        <w:tc>
          <w:tcPr>
            <w:tcW w:w="1600" w:type="dxa"/>
            <w:tcBorders>
              <w:top w:val="nil"/>
              <w:left w:val="nil"/>
              <w:bottom w:val="nil"/>
              <w:right w:val="nil"/>
            </w:tcBorders>
            <w:shd w:val="clear" w:color="000000" w:fill="FFB81C"/>
            <w:noWrap/>
            <w:vAlign w:val="center"/>
            <w:hideMark/>
          </w:tcPr>
          <w:p w:rsidR="00AF5514" w:rsidRPr="00AF5514" w:rsidRDefault="00AF5514" w:rsidP="00AF5514">
            <w:pPr>
              <w:spacing w:after="0" w:line="240" w:lineRule="auto"/>
              <w:jc w:val="center"/>
              <w:rPr>
                <w:rFonts w:eastAsia="Times New Roman"/>
                <w:color w:val="000000"/>
                <w:szCs w:val="24"/>
                <w:lang w:eastAsia="en-GB"/>
              </w:rPr>
            </w:pPr>
            <w:r w:rsidRPr="00AF5514">
              <w:rPr>
                <w:rFonts w:eastAsia="Times New Roman"/>
                <w:color w:val="000000"/>
                <w:szCs w:val="24"/>
                <w:lang w:eastAsia="en-GB"/>
              </w:rPr>
              <w:t>25.3%</w:t>
            </w:r>
          </w:p>
        </w:tc>
      </w:tr>
      <w:tr w:rsidR="00AF5514" w:rsidRPr="00AF5514" w:rsidTr="00A53C2E">
        <w:trPr>
          <w:cantSplit/>
          <w:trHeight w:val="312"/>
          <w:tblHeader/>
          <w:jc w:val="center"/>
        </w:trPr>
        <w:tc>
          <w:tcPr>
            <w:tcW w:w="1740" w:type="dxa"/>
            <w:tcBorders>
              <w:top w:val="nil"/>
              <w:left w:val="nil"/>
              <w:bottom w:val="nil"/>
              <w:right w:val="nil"/>
            </w:tcBorders>
            <w:shd w:val="clear" w:color="auto" w:fill="auto"/>
            <w:noWrap/>
            <w:vAlign w:val="bottom"/>
            <w:hideMark/>
          </w:tcPr>
          <w:p w:rsidR="00AF5514" w:rsidRPr="00AF5514" w:rsidRDefault="00AF5514" w:rsidP="00AF5514">
            <w:pPr>
              <w:spacing w:after="0" w:line="240" w:lineRule="auto"/>
              <w:jc w:val="center"/>
              <w:rPr>
                <w:rFonts w:eastAsia="Times New Roman"/>
                <w:b/>
                <w:bCs/>
                <w:color w:val="000000"/>
                <w:szCs w:val="24"/>
                <w:lang w:eastAsia="en-GB"/>
              </w:rPr>
            </w:pPr>
            <w:r w:rsidRPr="00AF5514">
              <w:rPr>
                <w:rFonts w:eastAsia="Times New Roman"/>
                <w:b/>
                <w:bCs/>
                <w:color w:val="000000"/>
                <w:szCs w:val="24"/>
                <w:lang w:eastAsia="en-GB"/>
              </w:rPr>
              <w:t>21-25</w:t>
            </w:r>
          </w:p>
        </w:tc>
        <w:tc>
          <w:tcPr>
            <w:tcW w:w="1360" w:type="dxa"/>
            <w:tcBorders>
              <w:top w:val="nil"/>
              <w:left w:val="nil"/>
              <w:bottom w:val="nil"/>
              <w:right w:val="nil"/>
            </w:tcBorders>
            <w:shd w:val="clear" w:color="000000" w:fill="C5D9F1"/>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3.2%</w:t>
            </w:r>
          </w:p>
        </w:tc>
        <w:tc>
          <w:tcPr>
            <w:tcW w:w="1440" w:type="dxa"/>
            <w:tcBorders>
              <w:top w:val="nil"/>
              <w:left w:val="nil"/>
              <w:bottom w:val="nil"/>
              <w:right w:val="nil"/>
            </w:tcBorders>
            <w:shd w:val="clear" w:color="000000" w:fill="41B6E6"/>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3.4%</w:t>
            </w:r>
          </w:p>
        </w:tc>
        <w:tc>
          <w:tcPr>
            <w:tcW w:w="1600" w:type="dxa"/>
            <w:tcBorders>
              <w:top w:val="nil"/>
              <w:left w:val="nil"/>
              <w:bottom w:val="nil"/>
              <w:right w:val="nil"/>
            </w:tcBorders>
            <w:shd w:val="clear" w:color="000000" w:fill="FFB81C"/>
            <w:noWrap/>
            <w:vAlign w:val="center"/>
            <w:hideMark/>
          </w:tcPr>
          <w:p w:rsidR="00AF5514" w:rsidRPr="00AF5514" w:rsidRDefault="00AF5514" w:rsidP="00AF5514">
            <w:pPr>
              <w:spacing w:after="0" w:line="240" w:lineRule="auto"/>
              <w:jc w:val="center"/>
              <w:rPr>
                <w:rFonts w:eastAsia="Times New Roman"/>
                <w:color w:val="000000"/>
                <w:szCs w:val="24"/>
                <w:lang w:eastAsia="en-GB"/>
              </w:rPr>
            </w:pPr>
            <w:r w:rsidRPr="00AF5514">
              <w:rPr>
                <w:rFonts w:eastAsia="Times New Roman"/>
                <w:color w:val="000000"/>
                <w:szCs w:val="24"/>
                <w:lang w:eastAsia="en-GB"/>
              </w:rPr>
              <w:t>6.1%</w:t>
            </w:r>
          </w:p>
        </w:tc>
      </w:tr>
      <w:tr w:rsidR="00AF5514" w:rsidRPr="00AF5514" w:rsidTr="00A53C2E">
        <w:trPr>
          <w:cantSplit/>
          <w:trHeight w:val="312"/>
          <w:tblHeader/>
          <w:jc w:val="center"/>
        </w:trPr>
        <w:tc>
          <w:tcPr>
            <w:tcW w:w="1740" w:type="dxa"/>
            <w:tcBorders>
              <w:top w:val="nil"/>
              <w:left w:val="nil"/>
              <w:bottom w:val="nil"/>
              <w:right w:val="nil"/>
            </w:tcBorders>
            <w:shd w:val="clear" w:color="auto" w:fill="auto"/>
            <w:noWrap/>
            <w:vAlign w:val="bottom"/>
            <w:hideMark/>
          </w:tcPr>
          <w:p w:rsidR="00AF5514" w:rsidRPr="00AF5514" w:rsidRDefault="00AF5514" w:rsidP="00AF5514">
            <w:pPr>
              <w:spacing w:after="0" w:line="240" w:lineRule="auto"/>
              <w:jc w:val="center"/>
              <w:rPr>
                <w:rFonts w:eastAsia="Times New Roman"/>
                <w:b/>
                <w:bCs/>
                <w:color w:val="000000"/>
                <w:szCs w:val="24"/>
                <w:lang w:eastAsia="en-GB"/>
              </w:rPr>
            </w:pPr>
            <w:r w:rsidRPr="00AF5514">
              <w:rPr>
                <w:rFonts w:eastAsia="Times New Roman"/>
                <w:b/>
                <w:bCs/>
                <w:color w:val="000000"/>
                <w:szCs w:val="24"/>
                <w:lang w:eastAsia="en-GB"/>
              </w:rPr>
              <w:t>26-30</w:t>
            </w:r>
          </w:p>
        </w:tc>
        <w:tc>
          <w:tcPr>
            <w:tcW w:w="1360" w:type="dxa"/>
            <w:tcBorders>
              <w:top w:val="nil"/>
              <w:left w:val="nil"/>
              <w:bottom w:val="nil"/>
              <w:right w:val="nil"/>
            </w:tcBorders>
            <w:shd w:val="clear" w:color="000000" w:fill="C5D9F1"/>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4.6%</w:t>
            </w:r>
          </w:p>
        </w:tc>
        <w:tc>
          <w:tcPr>
            <w:tcW w:w="1440" w:type="dxa"/>
            <w:tcBorders>
              <w:top w:val="nil"/>
              <w:left w:val="nil"/>
              <w:bottom w:val="nil"/>
              <w:right w:val="nil"/>
            </w:tcBorders>
            <w:shd w:val="clear" w:color="000000" w:fill="41B6E6"/>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5.0%</w:t>
            </w:r>
          </w:p>
        </w:tc>
        <w:tc>
          <w:tcPr>
            <w:tcW w:w="1600" w:type="dxa"/>
            <w:tcBorders>
              <w:top w:val="nil"/>
              <w:left w:val="nil"/>
              <w:bottom w:val="nil"/>
              <w:right w:val="nil"/>
            </w:tcBorders>
            <w:shd w:val="clear" w:color="000000" w:fill="FFB81C"/>
            <w:noWrap/>
            <w:vAlign w:val="center"/>
            <w:hideMark/>
          </w:tcPr>
          <w:p w:rsidR="00AF5514" w:rsidRPr="00AF5514" w:rsidRDefault="00AF5514" w:rsidP="00AF5514">
            <w:pPr>
              <w:spacing w:after="0" w:line="240" w:lineRule="auto"/>
              <w:jc w:val="center"/>
              <w:rPr>
                <w:rFonts w:eastAsia="Times New Roman"/>
                <w:color w:val="000000"/>
                <w:szCs w:val="24"/>
                <w:lang w:eastAsia="en-GB"/>
              </w:rPr>
            </w:pPr>
            <w:r w:rsidRPr="00AF5514">
              <w:rPr>
                <w:rFonts w:eastAsia="Times New Roman"/>
                <w:color w:val="000000"/>
                <w:szCs w:val="24"/>
                <w:lang w:eastAsia="en-GB"/>
              </w:rPr>
              <w:t>6.2%</w:t>
            </w:r>
          </w:p>
        </w:tc>
      </w:tr>
      <w:tr w:rsidR="00AF5514" w:rsidRPr="00AF5514" w:rsidTr="00A53C2E">
        <w:trPr>
          <w:cantSplit/>
          <w:trHeight w:val="312"/>
          <w:tblHeader/>
          <w:jc w:val="center"/>
        </w:trPr>
        <w:tc>
          <w:tcPr>
            <w:tcW w:w="1740" w:type="dxa"/>
            <w:tcBorders>
              <w:top w:val="nil"/>
              <w:left w:val="nil"/>
              <w:bottom w:val="nil"/>
              <w:right w:val="nil"/>
            </w:tcBorders>
            <w:shd w:val="clear" w:color="auto" w:fill="auto"/>
            <w:noWrap/>
            <w:vAlign w:val="bottom"/>
            <w:hideMark/>
          </w:tcPr>
          <w:p w:rsidR="00AF5514" w:rsidRPr="00AF5514" w:rsidRDefault="00AF5514" w:rsidP="00AF5514">
            <w:pPr>
              <w:spacing w:after="0" w:line="240" w:lineRule="auto"/>
              <w:jc w:val="center"/>
              <w:rPr>
                <w:rFonts w:eastAsia="Times New Roman"/>
                <w:b/>
                <w:bCs/>
                <w:color w:val="000000"/>
                <w:szCs w:val="24"/>
                <w:lang w:eastAsia="en-GB"/>
              </w:rPr>
            </w:pPr>
            <w:r w:rsidRPr="00AF5514">
              <w:rPr>
                <w:rFonts w:eastAsia="Times New Roman"/>
                <w:b/>
                <w:bCs/>
                <w:color w:val="000000"/>
                <w:szCs w:val="24"/>
                <w:lang w:eastAsia="en-GB"/>
              </w:rPr>
              <w:t>31-35</w:t>
            </w:r>
          </w:p>
        </w:tc>
        <w:tc>
          <w:tcPr>
            <w:tcW w:w="1360" w:type="dxa"/>
            <w:tcBorders>
              <w:top w:val="nil"/>
              <w:left w:val="nil"/>
              <w:bottom w:val="nil"/>
              <w:right w:val="nil"/>
            </w:tcBorders>
            <w:shd w:val="clear" w:color="000000" w:fill="C5D9F1"/>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5.6%</w:t>
            </w:r>
          </w:p>
        </w:tc>
        <w:tc>
          <w:tcPr>
            <w:tcW w:w="1440" w:type="dxa"/>
            <w:tcBorders>
              <w:top w:val="nil"/>
              <w:left w:val="nil"/>
              <w:bottom w:val="nil"/>
              <w:right w:val="nil"/>
            </w:tcBorders>
            <w:shd w:val="clear" w:color="000000" w:fill="41B6E6"/>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6.2%</w:t>
            </w:r>
          </w:p>
        </w:tc>
        <w:tc>
          <w:tcPr>
            <w:tcW w:w="1600" w:type="dxa"/>
            <w:tcBorders>
              <w:top w:val="nil"/>
              <w:left w:val="nil"/>
              <w:bottom w:val="nil"/>
              <w:right w:val="nil"/>
            </w:tcBorders>
            <w:shd w:val="clear" w:color="000000" w:fill="FFB81C"/>
            <w:noWrap/>
            <w:vAlign w:val="center"/>
            <w:hideMark/>
          </w:tcPr>
          <w:p w:rsidR="00AF5514" w:rsidRPr="00AF5514" w:rsidRDefault="00AF5514" w:rsidP="00AF5514">
            <w:pPr>
              <w:spacing w:after="0" w:line="240" w:lineRule="auto"/>
              <w:jc w:val="center"/>
              <w:rPr>
                <w:rFonts w:eastAsia="Times New Roman"/>
                <w:color w:val="000000"/>
                <w:szCs w:val="24"/>
                <w:lang w:eastAsia="en-GB"/>
              </w:rPr>
            </w:pPr>
            <w:r w:rsidRPr="00AF5514">
              <w:rPr>
                <w:rFonts w:eastAsia="Times New Roman"/>
                <w:color w:val="000000"/>
                <w:szCs w:val="24"/>
                <w:lang w:eastAsia="en-GB"/>
              </w:rPr>
              <w:t>6.2%</w:t>
            </w:r>
          </w:p>
        </w:tc>
      </w:tr>
      <w:tr w:rsidR="00AF5514" w:rsidRPr="00AF5514" w:rsidTr="00A53C2E">
        <w:trPr>
          <w:cantSplit/>
          <w:trHeight w:val="312"/>
          <w:tblHeader/>
          <w:jc w:val="center"/>
        </w:trPr>
        <w:tc>
          <w:tcPr>
            <w:tcW w:w="1740" w:type="dxa"/>
            <w:tcBorders>
              <w:top w:val="nil"/>
              <w:left w:val="nil"/>
              <w:bottom w:val="nil"/>
              <w:right w:val="nil"/>
            </w:tcBorders>
            <w:shd w:val="clear" w:color="auto" w:fill="auto"/>
            <w:noWrap/>
            <w:vAlign w:val="bottom"/>
            <w:hideMark/>
          </w:tcPr>
          <w:p w:rsidR="00AF5514" w:rsidRPr="00AF5514" w:rsidRDefault="00AF5514" w:rsidP="00AF5514">
            <w:pPr>
              <w:spacing w:after="0" w:line="240" w:lineRule="auto"/>
              <w:jc w:val="center"/>
              <w:rPr>
                <w:rFonts w:eastAsia="Times New Roman"/>
                <w:b/>
                <w:bCs/>
                <w:color w:val="000000"/>
                <w:szCs w:val="24"/>
                <w:lang w:eastAsia="en-GB"/>
              </w:rPr>
            </w:pPr>
            <w:r w:rsidRPr="00AF5514">
              <w:rPr>
                <w:rFonts w:eastAsia="Times New Roman"/>
                <w:b/>
                <w:bCs/>
                <w:color w:val="000000"/>
                <w:szCs w:val="24"/>
                <w:lang w:eastAsia="en-GB"/>
              </w:rPr>
              <w:t>36-40</w:t>
            </w:r>
          </w:p>
        </w:tc>
        <w:tc>
          <w:tcPr>
            <w:tcW w:w="1360" w:type="dxa"/>
            <w:tcBorders>
              <w:top w:val="nil"/>
              <w:left w:val="nil"/>
              <w:bottom w:val="nil"/>
              <w:right w:val="nil"/>
            </w:tcBorders>
            <w:shd w:val="clear" w:color="000000" w:fill="C5D9F1"/>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5.0%</w:t>
            </w:r>
          </w:p>
        </w:tc>
        <w:tc>
          <w:tcPr>
            <w:tcW w:w="1440" w:type="dxa"/>
            <w:tcBorders>
              <w:top w:val="nil"/>
              <w:left w:val="nil"/>
              <w:bottom w:val="nil"/>
              <w:right w:val="nil"/>
            </w:tcBorders>
            <w:shd w:val="clear" w:color="000000" w:fill="41B6E6"/>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6.0%</w:t>
            </w:r>
          </w:p>
        </w:tc>
        <w:tc>
          <w:tcPr>
            <w:tcW w:w="1600" w:type="dxa"/>
            <w:tcBorders>
              <w:top w:val="nil"/>
              <w:left w:val="nil"/>
              <w:bottom w:val="nil"/>
              <w:right w:val="nil"/>
            </w:tcBorders>
            <w:shd w:val="clear" w:color="000000" w:fill="FFB81C"/>
            <w:noWrap/>
            <w:vAlign w:val="center"/>
            <w:hideMark/>
          </w:tcPr>
          <w:p w:rsidR="00AF5514" w:rsidRPr="00AF5514" w:rsidRDefault="00AF5514" w:rsidP="00AF5514">
            <w:pPr>
              <w:spacing w:after="0" w:line="240" w:lineRule="auto"/>
              <w:jc w:val="center"/>
              <w:rPr>
                <w:rFonts w:eastAsia="Times New Roman"/>
                <w:color w:val="000000"/>
                <w:szCs w:val="24"/>
                <w:lang w:eastAsia="en-GB"/>
              </w:rPr>
            </w:pPr>
            <w:r w:rsidRPr="00AF5514">
              <w:rPr>
                <w:rFonts w:eastAsia="Times New Roman"/>
                <w:color w:val="000000"/>
                <w:szCs w:val="24"/>
                <w:lang w:eastAsia="en-GB"/>
              </w:rPr>
              <w:t>6.9%</w:t>
            </w:r>
          </w:p>
        </w:tc>
      </w:tr>
      <w:tr w:rsidR="00AF5514" w:rsidRPr="00AF5514" w:rsidTr="00A53C2E">
        <w:trPr>
          <w:cantSplit/>
          <w:trHeight w:val="312"/>
          <w:tblHeader/>
          <w:jc w:val="center"/>
        </w:trPr>
        <w:tc>
          <w:tcPr>
            <w:tcW w:w="1740" w:type="dxa"/>
            <w:tcBorders>
              <w:top w:val="nil"/>
              <w:left w:val="nil"/>
              <w:bottom w:val="nil"/>
              <w:right w:val="nil"/>
            </w:tcBorders>
            <w:shd w:val="clear" w:color="auto" w:fill="auto"/>
            <w:noWrap/>
            <w:vAlign w:val="bottom"/>
            <w:hideMark/>
          </w:tcPr>
          <w:p w:rsidR="00AF5514" w:rsidRPr="00AF5514" w:rsidRDefault="00AF5514" w:rsidP="00AF5514">
            <w:pPr>
              <w:spacing w:after="0" w:line="240" w:lineRule="auto"/>
              <w:jc w:val="center"/>
              <w:rPr>
                <w:rFonts w:eastAsia="Times New Roman"/>
                <w:b/>
                <w:bCs/>
                <w:color w:val="000000"/>
                <w:szCs w:val="24"/>
                <w:lang w:eastAsia="en-GB"/>
              </w:rPr>
            </w:pPr>
            <w:r w:rsidRPr="00AF5514">
              <w:rPr>
                <w:rFonts w:eastAsia="Times New Roman"/>
                <w:b/>
                <w:bCs/>
                <w:color w:val="000000"/>
                <w:szCs w:val="24"/>
                <w:lang w:eastAsia="en-GB"/>
              </w:rPr>
              <w:t>41-45</w:t>
            </w:r>
          </w:p>
        </w:tc>
        <w:tc>
          <w:tcPr>
            <w:tcW w:w="1360" w:type="dxa"/>
            <w:tcBorders>
              <w:top w:val="nil"/>
              <w:left w:val="nil"/>
              <w:bottom w:val="nil"/>
              <w:right w:val="nil"/>
            </w:tcBorders>
            <w:shd w:val="clear" w:color="000000" w:fill="C5D9F1"/>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4.3%</w:t>
            </w:r>
          </w:p>
        </w:tc>
        <w:tc>
          <w:tcPr>
            <w:tcW w:w="1440" w:type="dxa"/>
            <w:tcBorders>
              <w:top w:val="nil"/>
              <w:left w:val="nil"/>
              <w:bottom w:val="nil"/>
              <w:right w:val="nil"/>
            </w:tcBorders>
            <w:shd w:val="clear" w:color="000000" w:fill="41B6E6"/>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5.0%</w:t>
            </w:r>
          </w:p>
        </w:tc>
        <w:tc>
          <w:tcPr>
            <w:tcW w:w="1600" w:type="dxa"/>
            <w:tcBorders>
              <w:top w:val="nil"/>
              <w:left w:val="nil"/>
              <w:bottom w:val="nil"/>
              <w:right w:val="nil"/>
            </w:tcBorders>
            <w:shd w:val="clear" w:color="000000" w:fill="FFB81C"/>
            <w:noWrap/>
            <w:vAlign w:val="center"/>
            <w:hideMark/>
          </w:tcPr>
          <w:p w:rsidR="00AF5514" w:rsidRPr="00AF5514" w:rsidRDefault="00AF5514" w:rsidP="00AF5514">
            <w:pPr>
              <w:spacing w:after="0" w:line="240" w:lineRule="auto"/>
              <w:jc w:val="center"/>
              <w:rPr>
                <w:rFonts w:eastAsia="Times New Roman"/>
                <w:color w:val="000000"/>
                <w:szCs w:val="24"/>
                <w:lang w:eastAsia="en-GB"/>
              </w:rPr>
            </w:pPr>
            <w:r w:rsidRPr="00AF5514">
              <w:rPr>
                <w:rFonts w:eastAsia="Times New Roman"/>
                <w:color w:val="000000"/>
                <w:szCs w:val="24"/>
                <w:lang w:eastAsia="en-GB"/>
              </w:rPr>
              <w:t>7.5%</w:t>
            </w:r>
          </w:p>
        </w:tc>
      </w:tr>
      <w:tr w:rsidR="00AF5514" w:rsidRPr="00AF5514" w:rsidTr="00A53C2E">
        <w:trPr>
          <w:cantSplit/>
          <w:trHeight w:val="312"/>
          <w:tblHeader/>
          <w:jc w:val="center"/>
        </w:trPr>
        <w:tc>
          <w:tcPr>
            <w:tcW w:w="1740" w:type="dxa"/>
            <w:tcBorders>
              <w:top w:val="nil"/>
              <w:left w:val="nil"/>
              <w:bottom w:val="nil"/>
              <w:right w:val="nil"/>
            </w:tcBorders>
            <w:shd w:val="clear" w:color="auto" w:fill="auto"/>
            <w:noWrap/>
            <w:vAlign w:val="bottom"/>
            <w:hideMark/>
          </w:tcPr>
          <w:p w:rsidR="00AF5514" w:rsidRPr="00AF5514" w:rsidRDefault="00AF5514" w:rsidP="00AF5514">
            <w:pPr>
              <w:spacing w:after="0" w:line="240" w:lineRule="auto"/>
              <w:jc w:val="center"/>
              <w:rPr>
                <w:rFonts w:eastAsia="Times New Roman"/>
                <w:b/>
                <w:bCs/>
                <w:color w:val="000000"/>
                <w:szCs w:val="24"/>
                <w:lang w:eastAsia="en-GB"/>
              </w:rPr>
            </w:pPr>
            <w:r w:rsidRPr="00AF5514">
              <w:rPr>
                <w:rFonts w:eastAsia="Times New Roman"/>
                <w:b/>
                <w:bCs/>
                <w:color w:val="000000"/>
                <w:szCs w:val="24"/>
                <w:lang w:eastAsia="en-GB"/>
              </w:rPr>
              <w:t>46-50</w:t>
            </w:r>
          </w:p>
        </w:tc>
        <w:tc>
          <w:tcPr>
            <w:tcW w:w="1360" w:type="dxa"/>
            <w:tcBorders>
              <w:top w:val="nil"/>
              <w:left w:val="nil"/>
              <w:bottom w:val="nil"/>
              <w:right w:val="nil"/>
            </w:tcBorders>
            <w:shd w:val="clear" w:color="000000" w:fill="C5D9F1"/>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4.8%</w:t>
            </w:r>
          </w:p>
        </w:tc>
        <w:tc>
          <w:tcPr>
            <w:tcW w:w="1440" w:type="dxa"/>
            <w:tcBorders>
              <w:top w:val="nil"/>
              <w:left w:val="nil"/>
              <w:bottom w:val="nil"/>
              <w:right w:val="nil"/>
            </w:tcBorders>
            <w:shd w:val="clear" w:color="000000" w:fill="41B6E6"/>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6.1%</w:t>
            </w:r>
          </w:p>
        </w:tc>
        <w:tc>
          <w:tcPr>
            <w:tcW w:w="1600" w:type="dxa"/>
            <w:tcBorders>
              <w:top w:val="nil"/>
              <w:left w:val="nil"/>
              <w:bottom w:val="nil"/>
              <w:right w:val="nil"/>
            </w:tcBorders>
            <w:shd w:val="clear" w:color="000000" w:fill="FFB81C"/>
            <w:noWrap/>
            <w:vAlign w:val="center"/>
            <w:hideMark/>
          </w:tcPr>
          <w:p w:rsidR="00AF5514" w:rsidRPr="00AF5514" w:rsidRDefault="00AF5514" w:rsidP="00AF5514">
            <w:pPr>
              <w:spacing w:after="0" w:line="240" w:lineRule="auto"/>
              <w:jc w:val="center"/>
              <w:rPr>
                <w:rFonts w:eastAsia="Times New Roman"/>
                <w:color w:val="000000"/>
                <w:szCs w:val="24"/>
                <w:lang w:eastAsia="en-GB"/>
              </w:rPr>
            </w:pPr>
            <w:r w:rsidRPr="00AF5514">
              <w:rPr>
                <w:rFonts w:eastAsia="Times New Roman"/>
                <w:color w:val="000000"/>
                <w:szCs w:val="24"/>
                <w:lang w:eastAsia="en-GB"/>
              </w:rPr>
              <w:t>7.4%</w:t>
            </w:r>
          </w:p>
        </w:tc>
      </w:tr>
      <w:tr w:rsidR="00AF5514" w:rsidRPr="00AF5514" w:rsidTr="00A53C2E">
        <w:trPr>
          <w:cantSplit/>
          <w:trHeight w:val="312"/>
          <w:tblHeader/>
          <w:jc w:val="center"/>
        </w:trPr>
        <w:tc>
          <w:tcPr>
            <w:tcW w:w="1740" w:type="dxa"/>
            <w:tcBorders>
              <w:top w:val="nil"/>
              <w:left w:val="nil"/>
              <w:bottom w:val="nil"/>
              <w:right w:val="nil"/>
            </w:tcBorders>
            <w:shd w:val="clear" w:color="auto" w:fill="auto"/>
            <w:noWrap/>
            <w:vAlign w:val="bottom"/>
            <w:hideMark/>
          </w:tcPr>
          <w:p w:rsidR="00AF5514" w:rsidRPr="00AF5514" w:rsidRDefault="00AF5514" w:rsidP="00AF5514">
            <w:pPr>
              <w:spacing w:after="0" w:line="240" w:lineRule="auto"/>
              <w:jc w:val="center"/>
              <w:rPr>
                <w:rFonts w:eastAsia="Times New Roman"/>
                <w:b/>
                <w:bCs/>
                <w:color w:val="000000"/>
                <w:szCs w:val="24"/>
                <w:lang w:eastAsia="en-GB"/>
              </w:rPr>
            </w:pPr>
            <w:r w:rsidRPr="00AF5514">
              <w:rPr>
                <w:rFonts w:eastAsia="Times New Roman"/>
                <w:b/>
                <w:bCs/>
                <w:color w:val="000000"/>
                <w:szCs w:val="24"/>
                <w:lang w:eastAsia="en-GB"/>
              </w:rPr>
              <w:t>51-55</w:t>
            </w:r>
          </w:p>
        </w:tc>
        <w:tc>
          <w:tcPr>
            <w:tcW w:w="1360" w:type="dxa"/>
            <w:tcBorders>
              <w:top w:val="nil"/>
              <w:left w:val="nil"/>
              <w:bottom w:val="nil"/>
              <w:right w:val="nil"/>
            </w:tcBorders>
            <w:shd w:val="clear" w:color="000000" w:fill="C5D9F1"/>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6.4%</w:t>
            </w:r>
          </w:p>
        </w:tc>
        <w:tc>
          <w:tcPr>
            <w:tcW w:w="1440" w:type="dxa"/>
            <w:tcBorders>
              <w:top w:val="nil"/>
              <w:left w:val="nil"/>
              <w:bottom w:val="nil"/>
              <w:right w:val="nil"/>
            </w:tcBorders>
            <w:shd w:val="clear" w:color="000000" w:fill="41B6E6"/>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7.4%</w:t>
            </w:r>
          </w:p>
        </w:tc>
        <w:tc>
          <w:tcPr>
            <w:tcW w:w="1600" w:type="dxa"/>
            <w:tcBorders>
              <w:top w:val="nil"/>
              <w:left w:val="nil"/>
              <w:bottom w:val="nil"/>
              <w:right w:val="nil"/>
            </w:tcBorders>
            <w:shd w:val="clear" w:color="000000" w:fill="FFB81C"/>
            <w:noWrap/>
            <w:vAlign w:val="center"/>
            <w:hideMark/>
          </w:tcPr>
          <w:p w:rsidR="00AF5514" w:rsidRPr="00AF5514" w:rsidRDefault="00AF5514" w:rsidP="00AF5514">
            <w:pPr>
              <w:spacing w:after="0" w:line="240" w:lineRule="auto"/>
              <w:jc w:val="center"/>
              <w:rPr>
                <w:rFonts w:eastAsia="Times New Roman"/>
                <w:color w:val="000000"/>
                <w:szCs w:val="24"/>
                <w:lang w:eastAsia="en-GB"/>
              </w:rPr>
            </w:pPr>
            <w:r w:rsidRPr="00AF5514">
              <w:rPr>
                <w:rFonts w:eastAsia="Times New Roman"/>
                <w:color w:val="000000"/>
                <w:szCs w:val="24"/>
                <w:lang w:eastAsia="en-GB"/>
              </w:rPr>
              <w:t>6.4%</w:t>
            </w:r>
          </w:p>
        </w:tc>
      </w:tr>
      <w:tr w:rsidR="00AF5514" w:rsidRPr="00AF5514" w:rsidTr="00A53C2E">
        <w:trPr>
          <w:cantSplit/>
          <w:trHeight w:val="312"/>
          <w:tblHeader/>
          <w:jc w:val="center"/>
        </w:trPr>
        <w:tc>
          <w:tcPr>
            <w:tcW w:w="1740" w:type="dxa"/>
            <w:tcBorders>
              <w:top w:val="nil"/>
              <w:left w:val="nil"/>
              <w:bottom w:val="nil"/>
              <w:right w:val="nil"/>
            </w:tcBorders>
            <w:shd w:val="clear" w:color="auto" w:fill="auto"/>
            <w:noWrap/>
            <w:vAlign w:val="bottom"/>
            <w:hideMark/>
          </w:tcPr>
          <w:p w:rsidR="00AF5514" w:rsidRPr="00AF5514" w:rsidRDefault="00AF5514" w:rsidP="00AF5514">
            <w:pPr>
              <w:spacing w:after="0" w:line="240" w:lineRule="auto"/>
              <w:jc w:val="center"/>
              <w:rPr>
                <w:rFonts w:eastAsia="Times New Roman"/>
                <w:b/>
                <w:bCs/>
                <w:color w:val="000000"/>
                <w:szCs w:val="24"/>
                <w:lang w:eastAsia="en-GB"/>
              </w:rPr>
            </w:pPr>
            <w:r w:rsidRPr="00AF5514">
              <w:rPr>
                <w:rFonts w:eastAsia="Times New Roman"/>
                <w:b/>
                <w:bCs/>
                <w:color w:val="000000"/>
                <w:szCs w:val="24"/>
                <w:lang w:eastAsia="en-GB"/>
              </w:rPr>
              <w:t>56-60</w:t>
            </w:r>
          </w:p>
        </w:tc>
        <w:tc>
          <w:tcPr>
            <w:tcW w:w="1360" w:type="dxa"/>
            <w:tcBorders>
              <w:top w:val="nil"/>
              <w:left w:val="nil"/>
              <w:bottom w:val="nil"/>
              <w:right w:val="nil"/>
            </w:tcBorders>
            <w:shd w:val="clear" w:color="000000" w:fill="C5D9F1"/>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6.5%</w:t>
            </w:r>
          </w:p>
        </w:tc>
        <w:tc>
          <w:tcPr>
            <w:tcW w:w="1440" w:type="dxa"/>
            <w:tcBorders>
              <w:top w:val="nil"/>
              <w:left w:val="nil"/>
              <w:bottom w:val="nil"/>
              <w:right w:val="nil"/>
            </w:tcBorders>
            <w:shd w:val="clear" w:color="000000" w:fill="41B6E6"/>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7.4%</w:t>
            </w:r>
          </w:p>
        </w:tc>
        <w:tc>
          <w:tcPr>
            <w:tcW w:w="1600" w:type="dxa"/>
            <w:tcBorders>
              <w:top w:val="nil"/>
              <w:left w:val="nil"/>
              <w:bottom w:val="nil"/>
              <w:right w:val="nil"/>
            </w:tcBorders>
            <w:shd w:val="clear" w:color="000000" w:fill="FFB81C"/>
            <w:noWrap/>
            <w:vAlign w:val="center"/>
            <w:hideMark/>
          </w:tcPr>
          <w:p w:rsidR="00AF5514" w:rsidRPr="00AF5514" w:rsidRDefault="00AF5514" w:rsidP="00AF5514">
            <w:pPr>
              <w:spacing w:after="0" w:line="240" w:lineRule="auto"/>
              <w:jc w:val="center"/>
              <w:rPr>
                <w:rFonts w:eastAsia="Times New Roman"/>
                <w:color w:val="000000"/>
                <w:szCs w:val="24"/>
                <w:lang w:eastAsia="en-GB"/>
              </w:rPr>
            </w:pPr>
            <w:r w:rsidRPr="00AF5514">
              <w:rPr>
                <w:rFonts w:eastAsia="Times New Roman"/>
                <w:color w:val="000000"/>
                <w:szCs w:val="24"/>
                <w:lang w:eastAsia="en-GB"/>
              </w:rPr>
              <w:t>5.7%</w:t>
            </w:r>
          </w:p>
        </w:tc>
      </w:tr>
      <w:tr w:rsidR="00AF5514" w:rsidRPr="00AF5514" w:rsidTr="00A53C2E">
        <w:trPr>
          <w:cantSplit/>
          <w:trHeight w:val="312"/>
          <w:tblHeader/>
          <w:jc w:val="center"/>
        </w:trPr>
        <w:tc>
          <w:tcPr>
            <w:tcW w:w="1740" w:type="dxa"/>
            <w:tcBorders>
              <w:top w:val="nil"/>
              <w:left w:val="nil"/>
              <w:bottom w:val="nil"/>
              <w:right w:val="nil"/>
            </w:tcBorders>
            <w:shd w:val="clear" w:color="auto" w:fill="auto"/>
            <w:noWrap/>
            <w:vAlign w:val="bottom"/>
            <w:hideMark/>
          </w:tcPr>
          <w:p w:rsidR="00AF5514" w:rsidRPr="00AF5514" w:rsidRDefault="00AF5514" w:rsidP="00AF5514">
            <w:pPr>
              <w:spacing w:after="0" w:line="240" w:lineRule="auto"/>
              <w:jc w:val="center"/>
              <w:rPr>
                <w:rFonts w:eastAsia="Times New Roman"/>
                <w:b/>
                <w:bCs/>
                <w:color w:val="000000"/>
                <w:szCs w:val="24"/>
                <w:lang w:eastAsia="en-GB"/>
              </w:rPr>
            </w:pPr>
            <w:r w:rsidRPr="00AF5514">
              <w:rPr>
                <w:rFonts w:eastAsia="Times New Roman"/>
                <w:b/>
                <w:bCs/>
                <w:color w:val="000000"/>
                <w:szCs w:val="24"/>
                <w:lang w:eastAsia="en-GB"/>
              </w:rPr>
              <w:t>61-65</w:t>
            </w:r>
          </w:p>
        </w:tc>
        <w:tc>
          <w:tcPr>
            <w:tcW w:w="1360" w:type="dxa"/>
            <w:tcBorders>
              <w:top w:val="nil"/>
              <w:left w:val="nil"/>
              <w:bottom w:val="nil"/>
              <w:right w:val="nil"/>
            </w:tcBorders>
            <w:shd w:val="clear" w:color="000000" w:fill="C5D9F1"/>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6.2%</w:t>
            </w:r>
          </w:p>
        </w:tc>
        <w:tc>
          <w:tcPr>
            <w:tcW w:w="1440" w:type="dxa"/>
            <w:tcBorders>
              <w:top w:val="nil"/>
              <w:left w:val="nil"/>
              <w:bottom w:val="nil"/>
              <w:right w:val="nil"/>
            </w:tcBorders>
            <w:shd w:val="clear" w:color="000000" w:fill="41B6E6"/>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7.4%</w:t>
            </w:r>
          </w:p>
        </w:tc>
        <w:tc>
          <w:tcPr>
            <w:tcW w:w="1600" w:type="dxa"/>
            <w:tcBorders>
              <w:top w:val="nil"/>
              <w:left w:val="nil"/>
              <w:bottom w:val="nil"/>
              <w:right w:val="nil"/>
            </w:tcBorders>
            <w:shd w:val="clear" w:color="000000" w:fill="FFB81C"/>
            <w:noWrap/>
            <w:vAlign w:val="center"/>
            <w:hideMark/>
          </w:tcPr>
          <w:p w:rsidR="00AF5514" w:rsidRPr="00AF5514" w:rsidRDefault="00AF5514" w:rsidP="00AF5514">
            <w:pPr>
              <w:spacing w:after="0" w:line="240" w:lineRule="auto"/>
              <w:jc w:val="center"/>
              <w:rPr>
                <w:rFonts w:eastAsia="Times New Roman"/>
                <w:color w:val="000000"/>
                <w:szCs w:val="24"/>
                <w:lang w:eastAsia="en-GB"/>
              </w:rPr>
            </w:pPr>
            <w:r w:rsidRPr="00AF5514">
              <w:rPr>
                <w:rFonts w:eastAsia="Times New Roman"/>
                <w:color w:val="000000"/>
                <w:szCs w:val="24"/>
                <w:lang w:eastAsia="en-GB"/>
              </w:rPr>
              <w:t>6.1%</w:t>
            </w:r>
          </w:p>
        </w:tc>
      </w:tr>
      <w:tr w:rsidR="00AF5514" w:rsidRPr="00AF5514" w:rsidTr="00A53C2E">
        <w:trPr>
          <w:cantSplit/>
          <w:trHeight w:val="312"/>
          <w:tblHeader/>
          <w:jc w:val="center"/>
        </w:trPr>
        <w:tc>
          <w:tcPr>
            <w:tcW w:w="1740" w:type="dxa"/>
            <w:tcBorders>
              <w:top w:val="nil"/>
              <w:left w:val="nil"/>
              <w:bottom w:val="nil"/>
              <w:right w:val="nil"/>
            </w:tcBorders>
            <w:shd w:val="clear" w:color="auto" w:fill="auto"/>
            <w:noWrap/>
            <w:vAlign w:val="bottom"/>
            <w:hideMark/>
          </w:tcPr>
          <w:p w:rsidR="00AF5514" w:rsidRPr="00AF5514" w:rsidRDefault="00AF5514" w:rsidP="00AF5514">
            <w:pPr>
              <w:spacing w:after="0" w:line="240" w:lineRule="auto"/>
              <w:jc w:val="center"/>
              <w:rPr>
                <w:rFonts w:eastAsia="Times New Roman"/>
                <w:b/>
                <w:bCs/>
                <w:color w:val="000000"/>
                <w:szCs w:val="24"/>
                <w:lang w:eastAsia="en-GB"/>
              </w:rPr>
            </w:pPr>
            <w:r w:rsidRPr="00AF5514">
              <w:rPr>
                <w:rFonts w:eastAsia="Times New Roman"/>
                <w:b/>
                <w:bCs/>
                <w:color w:val="000000"/>
                <w:szCs w:val="24"/>
                <w:lang w:eastAsia="en-GB"/>
              </w:rPr>
              <w:t>66-70</w:t>
            </w:r>
          </w:p>
        </w:tc>
        <w:tc>
          <w:tcPr>
            <w:tcW w:w="1360" w:type="dxa"/>
            <w:tcBorders>
              <w:top w:val="nil"/>
              <w:left w:val="nil"/>
              <w:bottom w:val="nil"/>
              <w:right w:val="nil"/>
            </w:tcBorders>
            <w:shd w:val="clear" w:color="000000" w:fill="C5D9F1"/>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7.2%</w:t>
            </w:r>
          </w:p>
        </w:tc>
        <w:tc>
          <w:tcPr>
            <w:tcW w:w="1440" w:type="dxa"/>
            <w:tcBorders>
              <w:top w:val="nil"/>
              <w:left w:val="nil"/>
              <w:bottom w:val="nil"/>
              <w:right w:val="nil"/>
            </w:tcBorders>
            <w:shd w:val="clear" w:color="000000" w:fill="41B6E6"/>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8.2%</w:t>
            </w:r>
          </w:p>
        </w:tc>
        <w:tc>
          <w:tcPr>
            <w:tcW w:w="1600" w:type="dxa"/>
            <w:tcBorders>
              <w:top w:val="nil"/>
              <w:left w:val="nil"/>
              <w:bottom w:val="nil"/>
              <w:right w:val="nil"/>
            </w:tcBorders>
            <w:shd w:val="clear" w:color="000000" w:fill="FFB81C"/>
            <w:noWrap/>
            <w:vAlign w:val="center"/>
            <w:hideMark/>
          </w:tcPr>
          <w:p w:rsidR="00AF5514" w:rsidRPr="00AF5514" w:rsidRDefault="00AF5514" w:rsidP="00AF5514">
            <w:pPr>
              <w:spacing w:after="0" w:line="240" w:lineRule="auto"/>
              <w:jc w:val="center"/>
              <w:rPr>
                <w:rFonts w:eastAsia="Times New Roman"/>
                <w:color w:val="000000"/>
                <w:szCs w:val="24"/>
                <w:lang w:eastAsia="en-GB"/>
              </w:rPr>
            </w:pPr>
            <w:r w:rsidRPr="00AF5514">
              <w:rPr>
                <w:rFonts w:eastAsia="Times New Roman"/>
                <w:color w:val="000000"/>
                <w:szCs w:val="24"/>
                <w:lang w:eastAsia="en-GB"/>
              </w:rPr>
              <w:t>4.7%</w:t>
            </w:r>
          </w:p>
        </w:tc>
      </w:tr>
      <w:tr w:rsidR="00AF5514" w:rsidRPr="00AF5514" w:rsidTr="00A53C2E">
        <w:trPr>
          <w:cantSplit/>
          <w:trHeight w:val="312"/>
          <w:tblHeader/>
          <w:jc w:val="center"/>
        </w:trPr>
        <w:tc>
          <w:tcPr>
            <w:tcW w:w="1740" w:type="dxa"/>
            <w:tcBorders>
              <w:top w:val="nil"/>
              <w:left w:val="nil"/>
              <w:bottom w:val="nil"/>
              <w:right w:val="nil"/>
            </w:tcBorders>
            <w:shd w:val="clear" w:color="auto" w:fill="auto"/>
            <w:noWrap/>
            <w:vAlign w:val="bottom"/>
            <w:hideMark/>
          </w:tcPr>
          <w:p w:rsidR="00AF5514" w:rsidRPr="00AF5514" w:rsidRDefault="00AF5514" w:rsidP="00AF5514">
            <w:pPr>
              <w:spacing w:after="0" w:line="240" w:lineRule="auto"/>
              <w:jc w:val="center"/>
              <w:rPr>
                <w:rFonts w:eastAsia="Times New Roman"/>
                <w:b/>
                <w:bCs/>
                <w:color w:val="000000"/>
                <w:szCs w:val="24"/>
                <w:lang w:eastAsia="en-GB"/>
              </w:rPr>
            </w:pPr>
            <w:r w:rsidRPr="00AF5514">
              <w:rPr>
                <w:rFonts w:eastAsia="Times New Roman"/>
                <w:b/>
                <w:bCs/>
                <w:color w:val="000000"/>
                <w:szCs w:val="24"/>
                <w:lang w:eastAsia="en-GB"/>
              </w:rPr>
              <w:t>&gt;=71 Years</w:t>
            </w:r>
          </w:p>
        </w:tc>
        <w:tc>
          <w:tcPr>
            <w:tcW w:w="1360" w:type="dxa"/>
            <w:tcBorders>
              <w:top w:val="nil"/>
              <w:left w:val="nil"/>
              <w:bottom w:val="nil"/>
              <w:right w:val="nil"/>
            </w:tcBorders>
            <w:shd w:val="clear" w:color="000000" w:fill="C5D9F1"/>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34.2%</w:t>
            </w:r>
          </w:p>
        </w:tc>
        <w:tc>
          <w:tcPr>
            <w:tcW w:w="1440" w:type="dxa"/>
            <w:tcBorders>
              <w:top w:val="nil"/>
              <w:left w:val="nil"/>
              <w:bottom w:val="nil"/>
              <w:right w:val="nil"/>
            </w:tcBorders>
            <w:shd w:val="clear" w:color="000000" w:fill="41B6E6"/>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26.4%</w:t>
            </w:r>
          </w:p>
        </w:tc>
        <w:tc>
          <w:tcPr>
            <w:tcW w:w="1600" w:type="dxa"/>
            <w:tcBorders>
              <w:top w:val="nil"/>
              <w:left w:val="nil"/>
              <w:bottom w:val="nil"/>
              <w:right w:val="nil"/>
            </w:tcBorders>
            <w:shd w:val="clear" w:color="000000" w:fill="FFB81C"/>
            <w:noWrap/>
            <w:vAlign w:val="center"/>
            <w:hideMark/>
          </w:tcPr>
          <w:p w:rsidR="00AF5514" w:rsidRPr="00AF5514" w:rsidRDefault="00AF5514" w:rsidP="00AF5514">
            <w:pPr>
              <w:spacing w:after="0" w:line="240" w:lineRule="auto"/>
              <w:jc w:val="center"/>
              <w:rPr>
                <w:rFonts w:eastAsia="Times New Roman"/>
                <w:color w:val="000000"/>
                <w:szCs w:val="24"/>
                <w:lang w:eastAsia="en-GB"/>
              </w:rPr>
            </w:pPr>
            <w:r w:rsidRPr="00AF5514">
              <w:rPr>
                <w:rFonts w:eastAsia="Times New Roman"/>
                <w:color w:val="000000"/>
                <w:szCs w:val="24"/>
                <w:lang w:eastAsia="en-GB"/>
              </w:rPr>
              <w:t>11.5%</w:t>
            </w:r>
          </w:p>
        </w:tc>
      </w:tr>
      <w:tr w:rsidR="00AF5514" w:rsidRPr="00AF5514" w:rsidTr="00A53C2E">
        <w:trPr>
          <w:cantSplit/>
          <w:trHeight w:val="312"/>
          <w:tblHeader/>
          <w:jc w:val="center"/>
        </w:trPr>
        <w:tc>
          <w:tcPr>
            <w:tcW w:w="1740" w:type="dxa"/>
            <w:tcBorders>
              <w:top w:val="nil"/>
              <w:left w:val="nil"/>
              <w:bottom w:val="nil"/>
              <w:right w:val="nil"/>
            </w:tcBorders>
            <w:shd w:val="clear" w:color="auto" w:fill="auto"/>
            <w:noWrap/>
            <w:vAlign w:val="bottom"/>
            <w:hideMark/>
          </w:tcPr>
          <w:p w:rsidR="00AF5514" w:rsidRPr="00AF5514" w:rsidRDefault="00AF5514" w:rsidP="00AF5514">
            <w:pPr>
              <w:spacing w:after="0" w:line="240" w:lineRule="auto"/>
              <w:jc w:val="center"/>
              <w:rPr>
                <w:rFonts w:eastAsia="Times New Roman"/>
                <w:b/>
                <w:bCs/>
                <w:color w:val="000000"/>
                <w:szCs w:val="24"/>
                <w:lang w:eastAsia="en-GB"/>
              </w:rPr>
            </w:pPr>
            <w:r w:rsidRPr="00AF5514">
              <w:rPr>
                <w:rFonts w:eastAsia="Times New Roman"/>
                <w:b/>
                <w:bCs/>
                <w:color w:val="000000"/>
                <w:szCs w:val="24"/>
                <w:lang w:eastAsia="en-GB"/>
              </w:rPr>
              <w:t>Total</w:t>
            </w:r>
          </w:p>
        </w:tc>
        <w:tc>
          <w:tcPr>
            <w:tcW w:w="1360" w:type="dxa"/>
            <w:tcBorders>
              <w:top w:val="nil"/>
              <w:left w:val="nil"/>
              <w:bottom w:val="nil"/>
              <w:right w:val="nil"/>
            </w:tcBorders>
            <w:shd w:val="clear" w:color="000000" w:fill="C5D9F1"/>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100.0%</w:t>
            </w:r>
          </w:p>
        </w:tc>
        <w:tc>
          <w:tcPr>
            <w:tcW w:w="1440" w:type="dxa"/>
            <w:tcBorders>
              <w:top w:val="nil"/>
              <w:left w:val="nil"/>
              <w:bottom w:val="nil"/>
              <w:right w:val="nil"/>
            </w:tcBorders>
            <w:shd w:val="clear" w:color="000000" w:fill="41B6E6"/>
            <w:noWrap/>
            <w:vAlign w:val="bottom"/>
            <w:hideMark/>
          </w:tcPr>
          <w:p w:rsidR="00AF5514" w:rsidRPr="00AF5514" w:rsidRDefault="00AF5514" w:rsidP="00AF5514">
            <w:pPr>
              <w:spacing w:after="0" w:line="240" w:lineRule="auto"/>
              <w:jc w:val="center"/>
              <w:rPr>
                <w:rFonts w:eastAsia="Times New Roman"/>
                <w:szCs w:val="24"/>
                <w:lang w:eastAsia="en-GB"/>
              </w:rPr>
            </w:pPr>
            <w:r w:rsidRPr="00AF5514">
              <w:rPr>
                <w:rFonts w:eastAsia="Times New Roman"/>
                <w:szCs w:val="24"/>
                <w:lang w:eastAsia="en-GB"/>
              </w:rPr>
              <w:t>100.0%</w:t>
            </w:r>
          </w:p>
        </w:tc>
        <w:tc>
          <w:tcPr>
            <w:tcW w:w="1600" w:type="dxa"/>
            <w:tcBorders>
              <w:top w:val="nil"/>
              <w:left w:val="nil"/>
              <w:bottom w:val="nil"/>
              <w:right w:val="nil"/>
            </w:tcBorders>
            <w:shd w:val="clear" w:color="000000" w:fill="FFB81C"/>
            <w:noWrap/>
            <w:vAlign w:val="center"/>
            <w:hideMark/>
          </w:tcPr>
          <w:p w:rsidR="00AF5514" w:rsidRPr="00AF5514" w:rsidRDefault="00AF5514" w:rsidP="00AF5514">
            <w:pPr>
              <w:spacing w:after="0" w:line="240" w:lineRule="auto"/>
              <w:jc w:val="center"/>
              <w:rPr>
                <w:rFonts w:eastAsia="Times New Roman"/>
                <w:color w:val="000000"/>
                <w:szCs w:val="24"/>
                <w:lang w:eastAsia="en-GB"/>
              </w:rPr>
            </w:pPr>
            <w:r w:rsidRPr="00AF5514">
              <w:rPr>
                <w:rFonts w:eastAsia="Times New Roman"/>
                <w:color w:val="000000"/>
                <w:szCs w:val="24"/>
                <w:lang w:eastAsia="en-GB"/>
              </w:rPr>
              <w:t>100.0%</w:t>
            </w:r>
          </w:p>
        </w:tc>
      </w:tr>
    </w:tbl>
    <w:p w:rsidR="00AF5514" w:rsidRDefault="00AF5514" w:rsidP="00AF5514"/>
    <w:p w:rsidR="00AF5514" w:rsidRPr="00AF5514" w:rsidRDefault="00AF5514" w:rsidP="00AF5514">
      <w:r>
        <w:rPr>
          <w:noProof/>
          <w:lang w:eastAsia="en-GB"/>
        </w:rPr>
        <w:lastRenderedPageBreak/>
        <w:drawing>
          <wp:inline distT="0" distB="0" distL="0" distR="0" wp14:anchorId="4E058BC4" wp14:editId="45CFC920">
            <wp:extent cx="5731510" cy="3597356"/>
            <wp:effectExtent l="0" t="0" r="2540" b="3175"/>
            <wp:docPr id="21" name="Chart 21" title="Breakdown of patient attendance by age compared to 2011 Census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A09CE" w:rsidRPr="00BF3AC8" w:rsidRDefault="00EA09CE" w:rsidP="00EA09CE">
      <w:r w:rsidRPr="00BF3AC8">
        <w:t>What the data tells us</w:t>
      </w:r>
    </w:p>
    <w:p w:rsidR="00EA09CE" w:rsidRDefault="00EA09CE" w:rsidP="00EA09CE">
      <w:r>
        <w:t>Compared to the 2011 Census Data:</w:t>
      </w:r>
    </w:p>
    <w:p w:rsidR="00EA09CE" w:rsidRDefault="00EA09CE" w:rsidP="00EA09CE">
      <w:pPr>
        <w:pStyle w:val="ListParagraph"/>
      </w:pPr>
      <w:r>
        <w:t>There is a much lower representation of patients under 20 but a higher representation of patients 71+ using Trust services.</w:t>
      </w:r>
    </w:p>
    <w:p w:rsidR="00EA09CE" w:rsidRDefault="00EA09CE" w:rsidP="00EA09CE">
      <w:pPr>
        <w:pStyle w:val="ListParagraph"/>
      </w:pPr>
      <w:r>
        <w:t>Patients aged 0-50 have a lower representation in general service use.</w:t>
      </w:r>
    </w:p>
    <w:p w:rsidR="00EA09CE" w:rsidRDefault="00EA09CE" w:rsidP="00EA09CE">
      <w:pPr>
        <w:pStyle w:val="ListParagraph"/>
      </w:pPr>
      <w:r>
        <w:t>Patients aged 51+ generally have a higher representation in general services use.</w:t>
      </w:r>
    </w:p>
    <w:p w:rsidR="00EA09CE" w:rsidRPr="00EA09CE" w:rsidRDefault="00EA09CE" w:rsidP="00EA09CE">
      <w:pPr>
        <w:pStyle w:val="ListParagraph"/>
      </w:pPr>
      <w:r>
        <w:t>Patients aged 21-70 have a higher representation in outpatient services than inpatient services.  Patients aged under 20 and over 71+ have a higher representation in inpatient services compared to outpatient services.</w:t>
      </w:r>
    </w:p>
    <w:p w:rsidR="00AF5514" w:rsidRPr="00AF5514" w:rsidRDefault="00925893" w:rsidP="00925893">
      <w:pPr>
        <w:pStyle w:val="Heading3"/>
      </w:pPr>
      <w:bookmarkStart w:id="83" w:name="_Toc88634030"/>
      <w:r>
        <w:t>Ethnicity</w:t>
      </w:r>
      <w:bookmarkEnd w:id="83"/>
    </w:p>
    <w:tbl>
      <w:tblPr>
        <w:tblW w:w="6920" w:type="dxa"/>
        <w:jc w:val="center"/>
        <w:tblLook w:val="04A0" w:firstRow="1" w:lastRow="0" w:firstColumn="1" w:lastColumn="0" w:noHBand="0" w:noVBand="1"/>
      </w:tblPr>
      <w:tblGrid>
        <w:gridCol w:w="1540"/>
        <w:gridCol w:w="1840"/>
        <w:gridCol w:w="2040"/>
        <w:gridCol w:w="1500"/>
      </w:tblGrid>
      <w:tr w:rsidR="00925893" w:rsidRPr="00925893" w:rsidTr="00A53C2E">
        <w:trPr>
          <w:cantSplit/>
          <w:trHeight w:val="300"/>
          <w:tblHeader/>
          <w:jc w:val="center"/>
        </w:trPr>
        <w:tc>
          <w:tcPr>
            <w:tcW w:w="1540" w:type="dxa"/>
            <w:tcBorders>
              <w:top w:val="nil"/>
              <w:left w:val="nil"/>
              <w:bottom w:val="nil"/>
              <w:right w:val="nil"/>
            </w:tcBorders>
            <w:shd w:val="clear" w:color="auto" w:fill="auto"/>
            <w:noWrap/>
            <w:hideMark/>
          </w:tcPr>
          <w:p w:rsidR="00925893" w:rsidRPr="00925893" w:rsidRDefault="00925893" w:rsidP="00925893">
            <w:pPr>
              <w:spacing w:after="0" w:line="240" w:lineRule="auto"/>
              <w:rPr>
                <w:rFonts w:eastAsia="Times New Roman"/>
                <w:b/>
                <w:color w:val="000000"/>
                <w:szCs w:val="24"/>
                <w:lang w:eastAsia="en-GB"/>
              </w:rPr>
            </w:pPr>
            <w:r w:rsidRPr="00925893">
              <w:rPr>
                <w:rFonts w:eastAsia="Times New Roman"/>
                <w:b/>
                <w:color w:val="000000"/>
                <w:szCs w:val="24"/>
                <w:lang w:eastAsia="en-GB"/>
              </w:rPr>
              <w:t>Ethnicity</w:t>
            </w:r>
          </w:p>
        </w:tc>
        <w:tc>
          <w:tcPr>
            <w:tcW w:w="1840" w:type="dxa"/>
            <w:tcBorders>
              <w:top w:val="nil"/>
              <w:left w:val="nil"/>
              <w:bottom w:val="nil"/>
              <w:right w:val="nil"/>
            </w:tcBorders>
            <w:shd w:val="clear" w:color="000000" w:fill="C5D9F1"/>
            <w:noWrap/>
            <w:hideMark/>
          </w:tcPr>
          <w:p w:rsidR="00925893" w:rsidRPr="00925893" w:rsidRDefault="00925893" w:rsidP="00925893">
            <w:pPr>
              <w:spacing w:after="0" w:line="240" w:lineRule="auto"/>
              <w:rPr>
                <w:rFonts w:eastAsia="Times New Roman"/>
                <w:b/>
                <w:color w:val="000000"/>
                <w:szCs w:val="24"/>
                <w:lang w:eastAsia="en-GB"/>
              </w:rPr>
            </w:pPr>
            <w:r w:rsidRPr="00925893">
              <w:rPr>
                <w:rFonts w:eastAsia="Times New Roman"/>
                <w:b/>
                <w:color w:val="000000"/>
                <w:szCs w:val="24"/>
                <w:lang w:eastAsia="en-GB"/>
              </w:rPr>
              <w:t>BSUH Inpatients</w:t>
            </w:r>
          </w:p>
        </w:tc>
        <w:tc>
          <w:tcPr>
            <w:tcW w:w="2040" w:type="dxa"/>
            <w:tcBorders>
              <w:top w:val="nil"/>
              <w:left w:val="nil"/>
              <w:bottom w:val="nil"/>
              <w:right w:val="nil"/>
            </w:tcBorders>
            <w:shd w:val="clear" w:color="000000" w:fill="41B6E6"/>
            <w:noWrap/>
            <w:hideMark/>
          </w:tcPr>
          <w:p w:rsidR="00925893" w:rsidRPr="00925893" w:rsidRDefault="00925893" w:rsidP="00925893">
            <w:pPr>
              <w:spacing w:after="0" w:line="240" w:lineRule="auto"/>
              <w:rPr>
                <w:rFonts w:eastAsia="Times New Roman"/>
                <w:b/>
                <w:color w:val="000000"/>
                <w:szCs w:val="24"/>
                <w:lang w:eastAsia="en-GB"/>
              </w:rPr>
            </w:pPr>
            <w:r w:rsidRPr="00925893">
              <w:rPr>
                <w:rFonts w:eastAsia="Times New Roman"/>
                <w:b/>
                <w:color w:val="000000"/>
                <w:szCs w:val="24"/>
                <w:lang w:eastAsia="en-GB"/>
              </w:rPr>
              <w:t>BSUH Outpatients</w:t>
            </w:r>
          </w:p>
        </w:tc>
        <w:tc>
          <w:tcPr>
            <w:tcW w:w="1500" w:type="dxa"/>
            <w:tcBorders>
              <w:top w:val="nil"/>
              <w:left w:val="nil"/>
              <w:bottom w:val="nil"/>
              <w:right w:val="nil"/>
            </w:tcBorders>
            <w:shd w:val="clear" w:color="000000" w:fill="FFB81C"/>
            <w:noWrap/>
            <w:hideMark/>
          </w:tcPr>
          <w:p w:rsidR="00925893" w:rsidRPr="00925893" w:rsidRDefault="00925893" w:rsidP="00925893">
            <w:pPr>
              <w:spacing w:after="0" w:line="240" w:lineRule="auto"/>
              <w:rPr>
                <w:rFonts w:eastAsia="Times New Roman"/>
                <w:b/>
                <w:color w:val="000000"/>
                <w:szCs w:val="24"/>
                <w:lang w:eastAsia="en-GB"/>
              </w:rPr>
            </w:pPr>
            <w:r w:rsidRPr="00925893">
              <w:rPr>
                <w:rFonts w:eastAsia="Times New Roman"/>
                <w:b/>
                <w:color w:val="000000"/>
                <w:szCs w:val="24"/>
                <w:lang w:eastAsia="en-GB"/>
              </w:rPr>
              <w:t>2011 Census</w:t>
            </w:r>
          </w:p>
        </w:tc>
      </w:tr>
      <w:tr w:rsidR="00925893" w:rsidRPr="00925893" w:rsidTr="00A53C2E">
        <w:trPr>
          <w:cantSplit/>
          <w:trHeight w:val="300"/>
          <w:tblHeader/>
          <w:jc w:val="center"/>
        </w:trPr>
        <w:tc>
          <w:tcPr>
            <w:tcW w:w="1540" w:type="dxa"/>
            <w:tcBorders>
              <w:top w:val="nil"/>
              <w:left w:val="nil"/>
              <w:bottom w:val="nil"/>
              <w:right w:val="nil"/>
            </w:tcBorders>
            <w:shd w:val="clear" w:color="auto" w:fill="auto"/>
            <w:noWrap/>
            <w:vAlign w:val="bottom"/>
            <w:hideMark/>
          </w:tcPr>
          <w:p w:rsidR="00925893" w:rsidRPr="00925893" w:rsidRDefault="00925893" w:rsidP="00925893">
            <w:pPr>
              <w:spacing w:after="0" w:line="240" w:lineRule="auto"/>
              <w:rPr>
                <w:rFonts w:eastAsia="Times New Roman"/>
                <w:b/>
                <w:color w:val="000000"/>
                <w:szCs w:val="24"/>
                <w:lang w:eastAsia="en-GB"/>
              </w:rPr>
            </w:pPr>
            <w:r w:rsidRPr="00925893">
              <w:rPr>
                <w:rFonts w:eastAsia="Times New Roman"/>
                <w:b/>
                <w:color w:val="000000"/>
                <w:szCs w:val="24"/>
                <w:lang w:eastAsia="en-GB"/>
              </w:rPr>
              <w:t>Asian</w:t>
            </w:r>
          </w:p>
        </w:tc>
        <w:tc>
          <w:tcPr>
            <w:tcW w:w="1840" w:type="dxa"/>
            <w:tcBorders>
              <w:top w:val="nil"/>
              <w:left w:val="nil"/>
              <w:bottom w:val="nil"/>
              <w:right w:val="nil"/>
            </w:tcBorders>
            <w:shd w:val="clear" w:color="000000" w:fill="C5D9F1"/>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2.4%</w:t>
            </w:r>
          </w:p>
        </w:tc>
        <w:tc>
          <w:tcPr>
            <w:tcW w:w="2040" w:type="dxa"/>
            <w:tcBorders>
              <w:top w:val="nil"/>
              <w:left w:val="nil"/>
              <w:bottom w:val="nil"/>
              <w:right w:val="nil"/>
            </w:tcBorders>
            <w:shd w:val="clear" w:color="000000" w:fill="41B6E6"/>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2.9%</w:t>
            </w:r>
          </w:p>
        </w:tc>
        <w:tc>
          <w:tcPr>
            <w:tcW w:w="1500" w:type="dxa"/>
            <w:tcBorders>
              <w:top w:val="nil"/>
              <w:left w:val="nil"/>
              <w:bottom w:val="nil"/>
              <w:right w:val="nil"/>
            </w:tcBorders>
            <w:shd w:val="clear" w:color="000000" w:fill="FFB81C"/>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5.2%</w:t>
            </w:r>
          </w:p>
        </w:tc>
      </w:tr>
      <w:tr w:rsidR="00925893" w:rsidRPr="00925893" w:rsidTr="00A53C2E">
        <w:trPr>
          <w:cantSplit/>
          <w:trHeight w:val="300"/>
          <w:tblHeader/>
          <w:jc w:val="center"/>
        </w:trPr>
        <w:tc>
          <w:tcPr>
            <w:tcW w:w="1540" w:type="dxa"/>
            <w:tcBorders>
              <w:top w:val="nil"/>
              <w:left w:val="nil"/>
              <w:bottom w:val="nil"/>
              <w:right w:val="nil"/>
            </w:tcBorders>
            <w:shd w:val="clear" w:color="auto" w:fill="auto"/>
            <w:noWrap/>
            <w:vAlign w:val="bottom"/>
            <w:hideMark/>
          </w:tcPr>
          <w:p w:rsidR="00925893" w:rsidRPr="00925893" w:rsidRDefault="00925893" w:rsidP="00925893">
            <w:pPr>
              <w:spacing w:after="0" w:line="240" w:lineRule="auto"/>
              <w:rPr>
                <w:rFonts w:eastAsia="Times New Roman"/>
                <w:b/>
                <w:color w:val="000000"/>
                <w:szCs w:val="24"/>
                <w:lang w:eastAsia="en-GB"/>
              </w:rPr>
            </w:pPr>
            <w:r w:rsidRPr="00925893">
              <w:rPr>
                <w:rFonts w:eastAsia="Times New Roman"/>
                <w:b/>
                <w:color w:val="000000"/>
                <w:szCs w:val="24"/>
                <w:lang w:eastAsia="en-GB"/>
              </w:rPr>
              <w:t>Black</w:t>
            </w:r>
          </w:p>
        </w:tc>
        <w:tc>
          <w:tcPr>
            <w:tcW w:w="1840" w:type="dxa"/>
            <w:tcBorders>
              <w:top w:val="nil"/>
              <w:left w:val="nil"/>
              <w:bottom w:val="nil"/>
              <w:right w:val="nil"/>
            </w:tcBorders>
            <w:shd w:val="clear" w:color="000000" w:fill="C5D9F1"/>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1.0%</w:t>
            </w:r>
          </w:p>
        </w:tc>
        <w:tc>
          <w:tcPr>
            <w:tcW w:w="2040" w:type="dxa"/>
            <w:tcBorders>
              <w:top w:val="nil"/>
              <w:left w:val="nil"/>
              <w:bottom w:val="nil"/>
              <w:right w:val="nil"/>
            </w:tcBorders>
            <w:shd w:val="clear" w:color="000000" w:fill="41B6E6"/>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1.1%</w:t>
            </w:r>
          </w:p>
        </w:tc>
        <w:tc>
          <w:tcPr>
            <w:tcW w:w="1500" w:type="dxa"/>
            <w:tcBorders>
              <w:top w:val="nil"/>
              <w:left w:val="nil"/>
              <w:bottom w:val="nil"/>
              <w:right w:val="nil"/>
            </w:tcBorders>
            <w:shd w:val="clear" w:color="000000" w:fill="FFB81C"/>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1.6%</w:t>
            </w:r>
          </w:p>
        </w:tc>
      </w:tr>
      <w:tr w:rsidR="00925893" w:rsidRPr="00925893" w:rsidTr="00A53C2E">
        <w:trPr>
          <w:cantSplit/>
          <w:trHeight w:val="300"/>
          <w:tblHeader/>
          <w:jc w:val="center"/>
        </w:trPr>
        <w:tc>
          <w:tcPr>
            <w:tcW w:w="1540" w:type="dxa"/>
            <w:tcBorders>
              <w:top w:val="nil"/>
              <w:left w:val="nil"/>
              <w:bottom w:val="nil"/>
              <w:right w:val="nil"/>
            </w:tcBorders>
            <w:shd w:val="clear" w:color="auto" w:fill="auto"/>
            <w:noWrap/>
            <w:vAlign w:val="bottom"/>
            <w:hideMark/>
          </w:tcPr>
          <w:p w:rsidR="00925893" w:rsidRPr="00925893" w:rsidRDefault="00925893" w:rsidP="00925893">
            <w:pPr>
              <w:spacing w:after="0" w:line="240" w:lineRule="auto"/>
              <w:rPr>
                <w:rFonts w:eastAsia="Times New Roman"/>
                <w:b/>
                <w:color w:val="000000"/>
                <w:szCs w:val="24"/>
                <w:lang w:eastAsia="en-GB"/>
              </w:rPr>
            </w:pPr>
            <w:r w:rsidRPr="00925893">
              <w:rPr>
                <w:rFonts w:eastAsia="Times New Roman"/>
                <w:b/>
                <w:color w:val="000000"/>
                <w:szCs w:val="24"/>
                <w:lang w:eastAsia="en-GB"/>
              </w:rPr>
              <w:t>Mixed</w:t>
            </w:r>
          </w:p>
        </w:tc>
        <w:tc>
          <w:tcPr>
            <w:tcW w:w="1840" w:type="dxa"/>
            <w:tcBorders>
              <w:top w:val="nil"/>
              <w:left w:val="nil"/>
              <w:bottom w:val="nil"/>
              <w:right w:val="nil"/>
            </w:tcBorders>
            <w:shd w:val="clear" w:color="000000" w:fill="C5D9F1"/>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1.6%</w:t>
            </w:r>
          </w:p>
        </w:tc>
        <w:tc>
          <w:tcPr>
            <w:tcW w:w="2040" w:type="dxa"/>
            <w:tcBorders>
              <w:top w:val="nil"/>
              <w:left w:val="nil"/>
              <w:bottom w:val="nil"/>
              <w:right w:val="nil"/>
            </w:tcBorders>
            <w:shd w:val="clear" w:color="000000" w:fill="41B6E6"/>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1.6%</w:t>
            </w:r>
          </w:p>
        </w:tc>
        <w:tc>
          <w:tcPr>
            <w:tcW w:w="1500" w:type="dxa"/>
            <w:tcBorders>
              <w:top w:val="nil"/>
              <w:left w:val="nil"/>
              <w:bottom w:val="nil"/>
              <w:right w:val="nil"/>
            </w:tcBorders>
            <w:shd w:val="clear" w:color="000000" w:fill="FFB81C"/>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1.9%</w:t>
            </w:r>
          </w:p>
        </w:tc>
      </w:tr>
      <w:tr w:rsidR="00925893" w:rsidRPr="00925893" w:rsidTr="00A53C2E">
        <w:trPr>
          <w:cantSplit/>
          <w:trHeight w:val="300"/>
          <w:tblHeader/>
          <w:jc w:val="center"/>
        </w:trPr>
        <w:tc>
          <w:tcPr>
            <w:tcW w:w="1540" w:type="dxa"/>
            <w:tcBorders>
              <w:top w:val="nil"/>
              <w:left w:val="nil"/>
              <w:bottom w:val="nil"/>
              <w:right w:val="nil"/>
            </w:tcBorders>
            <w:shd w:val="clear" w:color="auto" w:fill="auto"/>
            <w:noWrap/>
            <w:vAlign w:val="bottom"/>
            <w:hideMark/>
          </w:tcPr>
          <w:p w:rsidR="00925893" w:rsidRPr="00925893" w:rsidRDefault="00925893" w:rsidP="00925893">
            <w:pPr>
              <w:spacing w:after="0" w:line="240" w:lineRule="auto"/>
              <w:rPr>
                <w:rFonts w:eastAsia="Times New Roman"/>
                <w:b/>
                <w:color w:val="000000"/>
                <w:szCs w:val="24"/>
                <w:lang w:eastAsia="en-GB"/>
              </w:rPr>
            </w:pPr>
            <w:r w:rsidRPr="00925893">
              <w:rPr>
                <w:rFonts w:eastAsia="Times New Roman"/>
                <w:b/>
                <w:color w:val="000000"/>
                <w:szCs w:val="24"/>
                <w:lang w:eastAsia="en-GB"/>
              </w:rPr>
              <w:t>Other</w:t>
            </w:r>
          </w:p>
        </w:tc>
        <w:tc>
          <w:tcPr>
            <w:tcW w:w="1840" w:type="dxa"/>
            <w:tcBorders>
              <w:top w:val="nil"/>
              <w:left w:val="nil"/>
              <w:bottom w:val="nil"/>
              <w:right w:val="nil"/>
            </w:tcBorders>
            <w:shd w:val="clear" w:color="000000" w:fill="C5D9F1"/>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0.8%</w:t>
            </w:r>
          </w:p>
        </w:tc>
        <w:tc>
          <w:tcPr>
            <w:tcW w:w="2040" w:type="dxa"/>
            <w:tcBorders>
              <w:top w:val="nil"/>
              <w:left w:val="nil"/>
              <w:bottom w:val="nil"/>
              <w:right w:val="nil"/>
            </w:tcBorders>
            <w:shd w:val="clear" w:color="000000" w:fill="41B6E6"/>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0.8%</w:t>
            </w:r>
          </w:p>
        </w:tc>
        <w:tc>
          <w:tcPr>
            <w:tcW w:w="1500" w:type="dxa"/>
            <w:tcBorders>
              <w:top w:val="nil"/>
              <w:left w:val="nil"/>
              <w:bottom w:val="nil"/>
              <w:right w:val="nil"/>
            </w:tcBorders>
            <w:shd w:val="clear" w:color="000000" w:fill="FFB81C"/>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0.6%</w:t>
            </w:r>
          </w:p>
        </w:tc>
      </w:tr>
      <w:tr w:rsidR="00925893" w:rsidRPr="00925893" w:rsidTr="00A53C2E">
        <w:trPr>
          <w:cantSplit/>
          <w:trHeight w:val="300"/>
          <w:tblHeader/>
          <w:jc w:val="center"/>
        </w:trPr>
        <w:tc>
          <w:tcPr>
            <w:tcW w:w="1540" w:type="dxa"/>
            <w:tcBorders>
              <w:top w:val="nil"/>
              <w:left w:val="nil"/>
              <w:bottom w:val="nil"/>
              <w:right w:val="nil"/>
            </w:tcBorders>
            <w:shd w:val="clear" w:color="auto" w:fill="auto"/>
            <w:noWrap/>
            <w:vAlign w:val="bottom"/>
            <w:hideMark/>
          </w:tcPr>
          <w:p w:rsidR="00925893" w:rsidRPr="00925893" w:rsidRDefault="00925893" w:rsidP="00925893">
            <w:pPr>
              <w:spacing w:after="0" w:line="240" w:lineRule="auto"/>
              <w:rPr>
                <w:rFonts w:eastAsia="Times New Roman"/>
                <w:b/>
                <w:color w:val="000000"/>
                <w:szCs w:val="24"/>
                <w:lang w:eastAsia="en-GB"/>
              </w:rPr>
            </w:pPr>
            <w:r w:rsidRPr="00925893">
              <w:rPr>
                <w:rFonts w:eastAsia="Times New Roman"/>
                <w:b/>
                <w:color w:val="000000"/>
                <w:szCs w:val="24"/>
                <w:lang w:eastAsia="en-GB"/>
              </w:rPr>
              <w:t>White</w:t>
            </w:r>
          </w:p>
        </w:tc>
        <w:tc>
          <w:tcPr>
            <w:tcW w:w="1840" w:type="dxa"/>
            <w:tcBorders>
              <w:top w:val="nil"/>
              <w:left w:val="nil"/>
              <w:bottom w:val="nil"/>
              <w:right w:val="nil"/>
            </w:tcBorders>
            <w:shd w:val="clear" w:color="000000" w:fill="C5D9F1"/>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83.5%</w:t>
            </w:r>
          </w:p>
        </w:tc>
        <w:tc>
          <w:tcPr>
            <w:tcW w:w="2040" w:type="dxa"/>
            <w:tcBorders>
              <w:top w:val="nil"/>
              <w:left w:val="nil"/>
              <w:bottom w:val="nil"/>
              <w:right w:val="nil"/>
            </w:tcBorders>
            <w:shd w:val="clear" w:color="000000" w:fill="41B6E6"/>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80.3%</w:t>
            </w:r>
          </w:p>
        </w:tc>
        <w:tc>
          <w:tcPr>
            <w:tcW w:w="1500" w:type="dxa"/>
            <w:tcBorders>
              <w:top w:val="nil"/>
              <w:left w:val="nil"/>
              <w:bottom w:val="nil"/>
              <w:right w:val="nil"/>
            </w:tcBorders>
            <w:shd w:val="clear" w:color="000000" w:fill="FFB81C"/>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85.2%</w:t>
            </w:r>
          </w:p>
        </w:tc>
      </w:tr>
      <w:tr w:rsidR="00925893" w:rsidRPr="00925893" w:rsidTr="00A53C2E">
        <w:trPr>
          <w:cantSplit/>
          <w:trHeight w:val="300"/>
          <w:tblHeader/>
          <w:jc w:val="center"/>
        </w:trPr>
        <w:tc>
          <w:tcPr>
            <w:tcW w:w="1540" w:type="dxa"/>
            <w:tcBorders>
              <w:top w:val="nil"/>
              <w:left w:val="nil"/>
              <w:bottom w:val="nil"/>
              <w:right w:val="nil"/>
            </w:tcBorders>
            <w:shd w:val="clear" w:color="auto" w:fill="auto"/>
            <w:noWrap/>
            <w:vAlign w:val="bottom"/>
            <w:hideMark/>
          </w:tcPr>
          <w:p w:rsidR="00925893" w:rsidRPr="00925893" w:rsidRDefault="00925893" w:rsidP="00925893">
            <w:pPr>
              <w:spacing w:after="0" w:line="240" w:lineRule="auto"/>
              <w:rPr>
                <w:rFonts w:eastAsia="Times New Roman"/>
                <w:b/>
                <w:color w:val="000000"/>
                <w:szCs w:val="24"/>
                <w:lang w:eastAsia="en-GB"/>
              </w:rPr>
            </w:pPr>
            <w:r w:rsidRPr="00925893">
              <w:rPr>
                <w:rFonts w:eastAsia="Times New Roman"/>
                <w:b/>
                <w:color w:val="000000"/>
                <w:szCs w:val="24"/>
                <w:lang w:eastAsia="en-GB"/>
              </w:rPr>
              <w:t>White - Other</w:t>
            </w:r>
          </w:p>
        </w:tc>
        <w:tc>
          <w:tcPr>
            <w:tcW w:w="1840" w:type="dxa"/>
            <w:tcBorders>
              <w:top w:val="nil"/>
              <w:left w:val="nil"/>
              <w:bottom w:val="nil"/>
              <w:right w:val="nil"/>
            </w:tcBorders>
            <w:shd w:val="clear" w:color="000000" w:fill="C5D9F1"/>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5.4%</w:t>
            </w:r>
          </w:p>
        </w:tc>
        <w:tc>
          <w:tcPr>
            <w:tcW w:w="2040" w:type="dxa"/>
            <w:tcBorders>
              <w:top w:val="nil"/>
              <w:left w:val="nil"/>
              <w:bottom w:val="nil"/>
              <w:right w:val="nil"/>
            </w:tcBorders>
            <w:shd w:val="clear" w:color="000000" w:fill="41B6E6"/>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6.0%</w:t>
            </w:r>
          </w:p>
        </w:tc>
        <w:tc>
          <w:tcPr>
            <w:tcW w:w="1500" w:type="dxa"/>
            <w:tcBorders>
              <w:top w:val="nil"/>
              <w:left w:val="nil"/>
              <w:bottom w:val="nil"/>
              <w:right w:val="nil"/>
            </w:tcBorders>
            <w:shd w:val="clear" w:color="000000" w:fill="FFB81C"/>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5.4%</w:t>
            </w:r>
          </w:p>
        </w:tc>
      </w:tr>
      <w:tr w:rsidR="00925893" w:rsidRPr="00925893" w:rsidTr="00A53C2E">
        <w:trPr>
          <w:cantSplit/>
          <w:trHeight w:val="300"/>
          <w:tblHeader/>
          <w:jc w:val="center"/>
        </w:trPr>
        <w:tc>
          <w:tcPr>
            <w:tcW w:w="1540" w:type="dxa"/>
            <w:tcBorders>
              <w:top w:val="nil"/>
              <w:left w:val="nil"/>
              <w:bottom w:val="nil"/>
              <w:right w:val="nil"/>
            </w:tcBorders>
            <w:shd w:val="clear" w:color="auto" w:fill="auto"/>
            <w:noWrap/>
            <w:vAlign w:val="bottom"/>
            <w:hideMark/>
          </w:tcPr>
          <w:p w:rsidR="00925893" w:rsidRPr="00925893" w:rsidRDefault="00925893" w:rsidP="00925893">
            <w:pPr>
              <w:spacing w:after="0" w:line="240" w:lineRule="auto"/>
              <w:rPr>
                <w:rFonts w:eastAsia="Times New Roman"/>
                <w:b/>
                <w:color w:val="000000"/>
                <w:szCs w:val="24"/>
                <w:lang w:eastAsia="en-GB"/>
              </w:rPr>
            </w:pPr>
            <w:r w:rsidRPr="00925893">
              <w:rPr>
                <w:rFonts w:eastAsia="Times New Roman"/>
                <w:b/>
                <w:color w:val="000000"/>
                <w:szCs w:val="24"/>
                <w:lang w:eastAsia="en-GB"/>
              </w:rPr>
              <w:t>Unknown</w:t>
            </w:r>
          </w:p>
        </w:tc>
        <w:tc>
          <w:tcPr>
            <w:tcW w:w="1840" w:type="dxa"/>
            <w:tcBorders>
              <w:top w:val="nil"/>
              <w:left w:val="nil"/>
              <w:bottom w:val="nil"/>
              <w:right w:val="nil"/>
            </w:tcBorders>
            <w:shd w:val="clear" w:color="000000" w:fill="C5D9F1"/>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5.4%</w:t>
            </w:r>
          </w:p>
        </w:tc>
        <w:tc>
          <w:tcPr>
            <w:tcW w:w="2040" w:type="dxa"/>
            <w:tcBorders>
              <w:top w:val="nil"/>
              <w:left w:val="nil"/>
              <w:bottom w:val="nil"/>
              <w:right w:val="nil"/>
            </w:tcBorders>
            <w:shd w:val="clear" w:color="000000" w:fill="41B6E6"/>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7.3%</w:t>
            </w:r>
          </w:p>
        </w:tc>
        <w:tc>
          <w:tcPr>
            <w:tcW w:w="1500" w:type="dxa"/>
            <w:tcBorders>
              <w:top w:val="nil"/>
              <w:left w:val="nil"/>
              <w:bottom w:val="nil"/>
              <w:right w:val="nil"/>
            </w:tcBorders>
            <w:shd w:val="clear" w:color="000000" w:fill="FFB81C"/>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 </w:t>
            </w:r>
          </w:p>
        </w:tc>
      </w:tr>
      <w:tr w:rsidR="00925893" w:rsidRPr="00925893" w:rsidTr="00A53C2E">
        <w:trPr>
          <w:cantSplit/>
          <w:trHeight w:val="300"/>
          <w:tblHeader/>
          <w:jc w:val="center"/>
        </w:trPr>
        <w:tc>
          <w:tcPr>
            <w:tcW w:w="1540" w:type="dxa"/>
            <w:tcBorders>
              <w:top w:val="nil"/>
              <w:left w:val="nil"/>
              <w:bottom w:val="nil"/>
              <w:right w:val="nil"/>
            </w:tcBorders>
            <w:shd w:val="clear" w:color="auto" w:fill="auto"/>
            <w:noWrap/>
            <w:vAlign w:val="bottom"/>
            <w:hideMark/>
          </w:tcPr>
          <w:p w:rsidR="00925893" w:rsidRPr="00925893" w:rsidRDefault="00925893" w:rsidP="00925893">
            <w:pPr>
              <w:spacing w:after="0" w:line="240" w:lineRule="auto"/>
              <w:rPr>
                <w:rFonts w:eastAsia="Times New Roman"/>
                <w:b/>
                <w:color w:val="000000"/>
                <w:szCs w:val="24"/>
                <w:lang w:eastAsia="en-GB"/>
              </w:rPr>
            </w:pPr>
            <w:r w:rsidRPr="00925893">
              <w:rPr>
                <w:rFonts w:eastAsia="Times New Roman"/>
                <w:b/>
                <w:color w:val="000000"/>
                <w:szCs w:val="24"/>
                <w:lang w:eastAsia="en-GB"/>
              </w:rPr>
              <w:t>Total</w:t>
            </w:r>
          </w:p>
        </w:tc>
        <w:tc>
          <w:tcPr>
            <w:tcW w:w="1840" w:type="dxa"/>
            <w:tcBorders>
              <w:top w:val="nil"/>
              <w:left w:val="nil"/>
              <w:bottom w:val="nil"/>
              <w:right w:val="nil"/>
            </w:tcBorders>
            <w:shd w:val="clear" w:color="000000" w:fill="C5D9F1"/>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100.0%</w:t>
            </w:r>
          </w:p>
        </w:tc>
        <w:tc>
          <w:tcPr>
            <w:tcW w:w="2040" w:type="dxa"/>
            <w:tcBorders>
              <w:top w:val="nil"/>
              <w:left w:val="nil"/>
              <w:bottom w:val="nil"/>
              <w:right w:val="nil"/>
            </w:tcBorders>
            <w:shd w:val="clear" w:color="000000" w:fill="41B6E6"/>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100.0%</w:t>
            </w:r>
          </w:p>
        </w:tc>
        <w:tc>
          <w:tcPr>
            <w:tcW w:w="1500" w:type="dxa"/>
            <w:tcBorders>
              <w:top w:val="nil"/>
              <w:left w:val="nil"/>
              <w:bottom w:val="nil"/>
              <w:right w:val="nil"/>
            </w:tcBorders>
            <w:shd w:val="clear" w:color="000000" w:fill="FFB81C"/>
            <w:noWrap/>
            <w:vAlign w:val="bottom"/>
            <w:hideMark/>
          </w:tcPr>
          <w:p w:rsidR="00925893" w:rsidRPr="00925893" w:rsidRDefault="00925893" w:rsidP="00925893">
            <w:pPr>
              <w:spacing w:after="0" w:line="240" w:lineRule="auto"/>
              <w:rPr>
                <w:rFonts w:eastAsia="Times New Roman"/>
                <w:color w:val="000000"/>
                <w:szCs w:val="24"/>
                <w:lang w:eastAsia="en-GB"/>
              </w:rPr>
            </w:pPr>
            <w:r w:rsidRPr="00925893">
              <w:rPr>
                <w:rFonts w:eastAsia="Times New Roman"/>
                <w:color w:val="000000"/>
                <w:szCs w:val="24"/>
                <w:lang w:eastAsia="en-GB"/>
              </w:rPr>
              <w:t>100.0%</w:t>
            </w:r>
          </w:p>
        </w:tc>
      </w:tr>
    </w:tbl>
    <w:p w:rsidR="00881E07" w:rsidRDefault="00881E07" w:rsidP="00881E07"/>
    <w:p w:rsidR="00925893" w:rsidRDefault="00925893" w:rsidP="00881E07">
      <w:r>
        <w:rPr>
          <w:noProof/>
          <w:lang w:eastAsia="en-GB"/>
        </w:rPr>
        <w:lastRenderedPageBreak/>
        <w:drawing>
          <wp:inline distT="0" distB="0" distL="0" distR="0" wp14:anchorId="4F63B22E" wp14:editId="3EB77B95">
            <wp:extent cx="5731510" cy="2538153"/>
            <wp:effectExtent l="0" t="0" r="2540" b="0"/>
            <wp:docPr id="22" name="Chart 22" title="Breakdown of in and outpatients compared to the 2011 Census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BF3AC8" w:rsidRDefault="00BF3AC8" w:rsidP="00BF3AC8">
      <w:r>
        <w:t>What the data tells us</w:t>
      </w:r>
    </w:p>
    <w:p w:rsidR="00BF3AC8" w:rsidRDefault="00BF3AC8" w:rsidP="00BF3AC8">
      <w:r>
        <w:t>Compared to the 2011 Census data:</w:t>
      </w:r>
    </w:p>
    <w:p w:rsidR="00BF3AC8" w:rsidRDefault="00BF3AC8" w:rsidP="00BF3AC8">
      <w:pPr>
        <w:pStyle w:val="ListParagraph"/>
      </w:pPr>
      <w:r>
        <w:t>The majority of groups attend Trust services broadly in line with census data.</w:t>
      </w:r>
    </w:p>
    <w:p w:rsidR="00BF3AC8" w:rsidRDefault="00BF3AC8" w:rsidP="00BF3AC8">
      <w:pPr>
        <w:pStyle w:val="ListParagraph"/>
      </w:pPr>
      <w:r>
        <w:t>Asian patients have a slightly lower representation in attendance in Trust services.</w:t>
      </w:r>
    </w:p>
    <w:p w:rsidR="00BF3AC8" w:rsidRDefault="00BF3AC8" w:rsidP="00BF3AC8">
      <w:pPr>
        <w:pStyle w:val="ListParagraph"/>
      </w:pPr>
      <w:r>
        <w:t>Other and White-Other (inpatients) have a slightly higher representation in attendance to Trust Services.</w:t>
      </w:r>
    </w:p>
    <w:p w:rsidR="00A53C2E" w:rsidRDefault="00A53C2E" w:rsidP="00A53C2E">
      <w:pPr>
        <w:pStyle w:val="Heading3"/>
      </w:pPr>
      <w:bookmarkStart w:id="84" w:name="_Toc88634031"/>
      <w:r>
        <w:t>Gender</w:t>
      </w:r>
      <w:bookmarkEnd w:id="84"/>
    </w:p>
    <w:tbl>
      <w:tblPr>
        <w:tblW w:w="5871" w:type="dxa"/>
        <w:jc w:val="center"/>
        <w:tblLook w:val="04A0" w:firstRow="1" w:lastRow="0" w:firstColumn="1" w:lastColumn="0" w:noHBand="0" w:noVBand="1"/>
        <w:tblCaption w:val="Breakdown in and outpatients compared to the 2011 Census data"/>
      </w:tblPr>
      <w:tblGrid>
        <w:gridCol w:w="3160"/>
        <w:gridCol w:w="1044"/>
        <w:gridCol w:w="897"/>
        <w:gridCol w:w="1296"/>
      </w:tblGrid>
      <w:tr w:rsidR="00A53C2E" w:rsidRPr="00A53C2E" w:rsidTr="00A53C2E">
        <w:trPr>
          <w:cantSplit/>
          <w:trHeight w:val="300"/>
          <w:tblHeader/>
          <w:jc w:val="center"/>
        </w:trPr>
        <w:tc>
          <w:tcPr>
            <w:tcW w:w="3160" w:type="dxa"/>
            <w:tcBorders>
              <w:top w:val="nil"/>
              <w:left w:val="nil"/>
              <w:bottom w:val="nil"/>
              <w:right w:val="nil"/>
            </w:tcBorders>
            <w:shd w:val="clear" w:color="auto" w:fill="auto"/>
            <w:noWrap/>
            <w:vAlign w:val="bottom"/>
            <w:hideMark/>
          </w:tcPr>
          <w:p w:rsidR="00A53C2E" w:rsidRPr="00A53C2E" w:rsidRDefault="00A53C2E" w:rsidP="00A53C2E">
            <w:pPr>
              <w:spacing w:after="0" w:line="240" w:lineRule="auto"/>
              <w:rPr>
                <w:rFonts w:eastAsia="Times New Roman"/>
                <w:b/>
                <w:color w:val="000000"/>
                <w:szCs w:val="24"/>
                <w:lang w:eastAsia="en-GB"/>
              </w:rPr>
            </w:pPr>
          </w:p>
        </w:tc>
        <w:tc>
          <w:tcPr>
            <w:tcW w:w="880" w:type="dxa"/>
            <w:tcBorders>
              <w:top w:val="nil"/>
              <w:left w:val="nil"/>
              <w:bottom w:val="nil"/>
              <w:right w:val="nil"/>
            </w:tcBorders>
            <w:shd w:val="clear" w:color="auto" w:fill="auto"/>
            <w:noWrap/>
            <w:vAlign w:val="bottom"/>
            <w:hideMark/>
          </w:tcPr>
          <w:p w:rsidR="00A53C2E" w:rsidRPr="00A53C2E" w:rsidRDefault="00A53C2E" w:rsidP="00A53C2E">
            <w:pPr>
              <w:spacing w:after="0" w:line="240" w:lineRule="auto"/>
              <w:rPr>
                <w:rFonts w:eastAsia="Times New Roman"/>
                <w:b/>
                <w:color w:val="000000"/>
                <w:szCs w:val="24"/>
                <w:lang w:eastAsia="en-GB"/>
              </w:rPr>
            </w:pPr>
            <w:r w:rsidRPr="00A53C2E">
              <w:rPr>
                <w:rFonts w:eastAsia="Times New Roman"/>
                <w:b/>
                <w:color w:val="000000"/>
                <w:szCs w:val="24"/>
                <w:lang w:eastAsia="en-GB"/>
              </w:rPr>
              <w:t>Female</w:t>
            </w:r>
          </w:p>
        </w:tc>
        <w:tc>
          <w:tcPr>
            <w:tcW w:w="800" w:type="dxa"/>
            <w:tcBorders>
              <w:top w:val="nil"/>
              <w:left w:val="nil"/>
              <w:bottom w:val="nil"/>
              <w:right w:val="nil"/>
            </w:tcBorders>
            <w:shd w:val="clear" w:color="auto" w:fill="auto"/>
            <w:noWrap/>
            <w:vAlign w:val="bottom"/>
            <w:hideMark/>
          </w:tcPr>
          <w:p w:rsidR="00A53C2E" w:rsidRPr="00A53C2E" w:rsidRDefault="00A53C2E" w:rsidP="00A53C2E">
            <w:pPr>
              <w:spacing w:after="0" w:line="240" w:lineRule="auto"/>
              <w:rPr>
                <w:rFonts w:eastAsia="Times New Roman"/>
                <w:b/>
                <w:color w:val="000000"/>
                <w:szCs w:val="24"/>
                <w:lang w:eastAsia="en-GB"/>
              </w:rPr>
            </w:pPr>
            <w:r w:rsidRPr="00A53C2E">
              <w:rPr>
                <w:rFonts w:eastAsia="Times New Roman"/>
                <w:b/>
                <w:color w:val="000000"/>
                <w:szCs w:val="24"/>
                <w:lang w:eastAsia="en-GB"/>
              </w:rPr>
              <w:t>Male</w:t>
            </w:r>
          </w:p>
        </w:tc>
        <w:tc>
          <w:tcPr>
            <w:tcW w:w="1031" w:type="dxa"/>
            <w:tcBorders>
              <w:top w:val="nil"/>
              <w:left w:val="nil"/>
              <w:bottom w:val="nil"/>
              <w:right w:val="nil"/>
            </w:tcBorders>
            <w:shd w:val="clear" w:color="auto" w:fill="auto"/>
            <w:noWrap/>
            <w:vAlign w:val="bottom"/>
            <w:hideMark/>
          </w:tcPr>
          <w:p w:rsidR="00A53C2E" w:rsidRPr="00A53C2E" w:rsidRDefault="00A53C2E" w:rsidP="00A53C2E">
            <w:pPr>
              <w:spacing w:after="0" w:line="240" w:lineRule="auto"/>
              <w:rPr>
                <w:rFonts w:eastAsia="Times New Roman"/>
                <w:b/>
                <w:color w:val="000000"/>
                <w:szCs w:val="24"/>
                <w:lang w:eastAsia="en-GB"/>
              </w:rPr>
            </w:pPr>
            <w:r w:rsidRPr="00A53C2E">
              <w:rPr>
                <w:rFonts w:eastAsia="Times New Roman"/>
                <w:b/>
                <w:color w:val="000000"/>
                <w:szCs w:val="24"/>
                <w:lang w:eastAsia="en-GB"/>
              </w:rPr>
              <w:t>Unknown</w:t>
            </w:r>
          </w:p>
        </w:tc>
      </w:tr>
      <w:tr w:rsidR="00A53C2E" w:rsidRPr="00A53C2E" w:rsidTr="00A53C2E">
        <w:trPr>
          <w:cantSplit/>
          <w:trHeight w:val="312"/>
          <w:tblHeader/>
          <w:jc w:val="center"/>
        </w:trPr>
        <w:tc>
          <w:tcPr>
            <w:tcW w:w="3160" w:type="dxa"/>
            <w:tcBorders>
              <w:top w:val="nil"/>
              <w:left w:val="nil"/>
              <w:bottom w:val="nil"/>
              <w:right w:val="nil"/>
            </w:tcBorders>
            <w:shd w:val="clear" w:color="000000" w:fill="C5D9F1"/>
            <w:noWrap/>
            <w:vAlign w:val="bottom"/>
            <w:hideMark/>
          </w:tcPr>
          <w:p w:rsidR="00A53C2E" w:rsidRPr="00A53C2E" w:rsidRDefault="00A53C2E" w:rsidP="00A53C2E">
            <w:pPr>
              <w:spacing w:after="0" w:line="240" w:lineRule="auto"/>
              <w:rPr>
                <w:rFonts w:eastAsia="Times New Roman"/>
                <w:b/>
                <w:bCs/>
                <w:szCs w:val="24"/>
                <w:lang w:eastAsia="en-GB"/>
              </w:rPr>
            </w:pPr>
            <w:r w:rsidRPr="00A53C2E">
              <w:rPr>
                <w:rFonts w:eastAsia="Times New Roman"/>
                <w:b/>
                <w:bCs/>
                <w:szCs w:val="24"/>
                <w:lang w:eastAsia="en-GB"/>
              </w:rPr>
              <w:t>BSUH Inpatients</w:t>
            </w:r>
          </w:p>
        </w:tc>
        <w:tc>
          <w:tcPr>
            <w:tcW w:w="880" w:type="dxa"/>
            <w:tcBorders>
              <w:top w:val="nil"/>
              <w:left w:val="nil"/>
              <w:bottom w:val="nil"/>
              <w:right w:val="nil"/>
            </w:tcBorders>
            <w:shd w:val="clear" w:color="000000" w:fill="C5D9F1"/>
            <w:noWrap/>
            <w:vAlign w:val="bottom"/>
            <w:hideMark/>
          </w:tcPr>
          <w:p w:rsidR="00A53C2E" w:rsidRPr="00A53C2E" w:rsidRDefault="00A53C2E" w:rsidP="00A53C2E">
            <w:pPr>
              <w:spacing w:after="0" w:line="240" w:lineRule="auto"/>
              <w:rPr>
                <w:rFonts w:eastAsia="Times New Roman"/>
                <w:szCs w:val="24"/>
                <w:lang w:eastAsia="en-GB"/>
              </w:rPr>
            </w:pPr>
            <w:r w:rsidRPr="00A53C2E">
              <w:rPr>
                <w:rFonts w:eastAsia="Times New Roman"/>
                <w:szCs w:val="24"/>
                <w:lang w:eastAsia="en-GB"/>
              </w:rPr>
              <w:t>56.8%</w:t>
            </w:r>
          </w:p>
        </w:tc>
        <w:tc>
          <w:tcPr>
            <w:tcW w:w="800" w:type="dxa"/>
            <w:tcBorders>
              <w:top w:val="nil"/>
              <w:left w:val="nil"/>
              <w:bottom w:val="nil"/>
              <w:right w:val="nil"/>
            </w:tcBorders>
            <w:shd w:val="clear" w:color="000000" w:fill="C5D9F1"/>
            <w:noWrap/>
            <w:vAlign w:val="bottom"/>
            <w:hideMark/>
          </w:tcPr>
          <w:p w:rsidR="00A53C2E" w:rsidRPr="00A53C2E" w:rsidRDefault="00A53C2E" w:rsidP="00A53C2E">
            <w:pPr>
              <w:spacing w:after="0" w:line="240" w:lineRule="auto"/>
              <w:rPr>
                <w:rFonts w:eastAsia="Times New Roman"/>
                <w:szCs w:val="24"/>
                <w:lang w:eastAsia="en-GB"/>
              </w:rPr>
            </w:pPr>
            <w:r w:rsidRPr="00A53C2E">
              <w:rPr>
                <w:rFonts w:eastAsia="Times New Roman"/>
                <w:szCs w:val="24"/>
                <w:lang w:eastAsia="en-GB"/>
              </w:rPr>
              <w:t>43.1%</w:t>
            </w:r>
          </w:p>
        </w:tc>
        <w:tc>
          <w:tcPr>
            <w:tcW w:w="1031" w:type="dxa"/>
            <w:tcBorders>
              <w:top w:val="nil"/>
              <w:left w:val="nil"/>
              <w:bottom w:val="nil"/>
              <w:right w:val="nil"/>
            </w:tcBorders>
            <w:shd w:val="clear" w:color="000000" w:fill="C5D9F1"/>
            <w:noWrap/>
            <w:vAlign w:val="bottom"/>
            <w:hideMark/>
          </w:tcPr>
          <w:p w:rsidR="00A53C2E" w:rsidRPr="00A53C2E" w:rsidRDefault="00A53C2E" w:rsidP="00A53C2E">
            <w:pPr>
              <w:spacing w:after="0" w:line="240" w:lineRule="auto"/>
              <w:rPr>
                <w:rFonts w:eastAsia="Times New Roman"/>
                <w:color w:val="000000"/>
                <w:szCs w:val="24"/>
                <w:lang w:eastAsia="en-GB"/>
              </w:rPr>
            </w:pPr>
            <w:r w:rsidRPr="00A53C2E">
              <w:rPr>
                <w:rFonts w:eastAsia="Times New Roman"/>
                <w:color w:val="000000"/>
                <w:szCs w:val="24"/>
                <w:lang w:eastAsia="en-GB"/>
              </w:rPr>
              <w:t>0.1%</w:t>
            </w:r>
          </w:p>
        </w:tc>
      </w:tr>
      <w:tr w:rsidR="00A53C2E" w:rsidRPr="00A53C2E" w:rsidTr="00A53C2E">
        <w:trPr>
          <w:cantSplit/>
          <w:trHeight w:val="312"/>
          <w:tblHeader/>
          <w:jc w:val="center"/>
        </w:trPr>
        <w:tc>
          <w:tcPr>
            <w:tcW w:w="3160" w:type="dxa"/>
            <w:tcBorders>
              <w:top w:val="nil"/>
              <w:left w:val="nil"/>
              <w:bottom w:val="nil"/>
              <w:right w:val="nil"/>
            </w:tcBorders>
            <w:shd w:val="clear" w:color="000000" w:fill="41B6E6"/>
            <w:noWrap/>
            <w:vAlign w:val="bottom"/>
            <w:hideMark/>
          </w:tcPr>
          <w:p w:rsidR="00A53C2E" w:rsidRPr="00A53C2E" w:rsidRDefault="00A53C2E" w:rsidP="00A53C2E">
            <w:pPr>
              <w:spacing w:after="0" w:line="240" w:lineRule="auto"/>
              <w:rPr>
                <w:rFonts w:eastAsia="Times New Roman"/>
                <w:b/>
                <w:bCs/>
                <w:szCs w:val="24"/>
                <w:lang w:eastAsia="en-GB"/>
              </w:rPr>
            </w:pPr>
            <w:r w:rsidRPr="00A53C2E">
              <w:rPr>
                <w:rFonts w:eastAsia="Times New Roman"/>
                <w:b/>
                <w:bCs/>
                <w:szCs w:val="24"/>
                <w:lang w:eastAsia="en-GB"/>
              </w:rPr>
              <w:t>BSUH Outpatients</w:t>
            </w:r>
          </w:p>
        </w:tc>
        <w:tc>
          <w:tcPr>
            <w:tcW w:w="880" w:type="dxa"/>
            <w:tcBorders>
              <w:top w:val="nil"/>
              <w:left w:val="nil"/>
              <w:bottom w:val="nil"/>
              <w:right w:val="nil"/>
            </w:tcBorders>
            <w:shd w:val="clear" w:color="000000" w:fill="41B6E6"/>
            <w:noWrap/>
            <w:vAlign w:val="bottom"/>
            <w:hideMark/>
          </w:tcPr>
          <w:p w:rsidR="00A53C2E" w:rsidRPr="00A53C2E" w:rsidRDefault="00A53C2E" w:rsidP="00A53C2E">
            <w:pPr>
              <w:spacing w:after="0" w:line="240" w:lineRule="auto"/>
              <w:rPr>
                <w:rFonts w:eastAsia="Times New Roman"/>
                <w:color w:val="000000"/>
                <w:szCs w:val="24"/>
                <w:lang w:eastAsia="en-GB"/>
              </w:rPr>
            </w:pPr>
            <w:r w:rsidRPr="00A53C2E">
              <w:rPr>
                <w:rFonts w:eastAsia="Times New Roman"/>
                <w:color w:val="000000"/>
                <w:szCs w:val="24"/>
                <w:lang w:eastAsia="en-GB"/>
              </w:rPr>
              <w:t>57.9%</w:t>
            </w:r>
          </w:p>
        </w:tc>
        <w:tc>
          <w:tcPr>
            <w:tcW w:w="800" w:type="dxa"/>
            <w:tcBorders>
              <w:top w:val="nil"/>
              <w:left w:val="nil"/>
              <w:bottom w:val="nil"/>
              <w:right w:val="nil"/>
            </w:tcBorders>
            <w:shd w:val="clear" w:color="000000" w:fill="41B6E6"/>
            <w:noWrap/>
            <w:vAlign w:val="bottom"/>
            <w:hideMark/>
          </w:tcPr>
          <w:p w:rsidR="00A53C2E" w:rsidRPr="00A53C2E" w:rsidRDefault="00A53C2E" w:rsidP="00A53C2E">
            <w:pPr>
              <w:spacing w:after="0" w:line="240" w:lineRule="auto"/>
              <w:rPr>
                <w:rFonts w:eastAsia="Times New Roman"/>
                <w:color w:val="000000"/>
                <w:szCs w:val="24"/>
                <w:lang w:eastAsia="en-GB"/>
              </w:rPr>
            </w:pPr>
            <w:r w:rsidRPr="00A53C2E">
              <w:rPr>
                <w:rFonts w:eastAsia="Times New Roman"/>
                <w:color w:val="000000"/>
                <w:szCs w:val="24"/>
                <w:lang w:eastAsia="en-GB"/>
              </w:rPr>
              <w:t>42.1%</w:t>
            </w:r>
          </w:p>
        </w:tc>
        <w:tc>
          <w:tcPr>
            <w:tcW w:w="1031" w:type="dxa"/>
            <w:tcBorders>
              <w:top w:val="nil"/>
              <w:left w:val="nil"/>
              <w:bottom w:val="nil"/>
              <w:right w:val="nil"/>
            </w:tcBorders>
            <w:shd w:val="clear" w:color="000000" w:fill="41B6E6"/>
            <w:noWrap/>
            <w:vAlign w:val="bottom"/>
            <w:hideMark/>
          </w:tcPr>
          <w:p w:rsidR="00A53C2E" w:rsidRPr="00A53C2E" w:rsidRDefault="00A53C2E" w:rsidP="00A53C2E">
            <w:pPr>
              <w:spacing w:after="0" w:line="240" w:lineRule="auto"/>
              <w:rPr>
                <w:rFonts w:eastAsia="Times New Roman"/>
                <w:color w:val="000000"/>
                <w:szCs w:val="24"/>
                <w:lang w:eastAsia="en-GB"/>
              </w:rPr>
            </w:pPr>
            <w:r w:rsidRPr="00A53C2E">
              <w:rPr>
                <w:rFonts w:eastAsia="Times New Roman"/>
                <w:color w:val="000000"/>
                <w:szCs w:val="24"/>
                <w:lang w:eastAsia="en-GB"/>
              </w:rPr>
              <w:t>0.0%</w:t>
            </w:r>
          </w:p>
        </w:tc>
      </w:tr>
      <w:tr w:rsidR="00A53C2E" w:rsidRPr="00A53C2E" w:rsidTr="00A53C2E">
        <w:trPr>
          <w:cantSplit/>
          <w:trHeight w:val="312"/>
          <w:tblHeader/>
          <w:jc w:val="center"/>
        </w:trPr>
        <w:tc>
          <w:tcPr>
            <w:tcW w:w="3160" w:type="dxa"/>
            <w:tcBorders>
              <w:top w:val="nil"/>
              <w:left w:val="nil"/>
              <w:bottom w:val="nil"/>
              <w:right w:val="nil"/>
            </w:tcBorders>
            <w:shd w:val="clear" w:color="000000" w:fill="FFB81C"/>
            <w:noWrap/>
            <w:vAlign w:val="bottom"/>
            <w:hideMark/>
          </w:tcPr>
          <w:p w:rsidR="00A53C2E" w:rsidRPr="00A53C2E" w:rsidRDefault="00A53C2E" w:rsidP="00A53C2E">
            <w:pPr>
              <w:spacing w:after="0" w:line="240" w:lineRule="auto"/>
              <w:rPr>
                <w:rFonts w:eastAsia="Times New Roman"/>
                <w:b/>
                <w:bCs/>
                <w:color w:val="000000"/>
                <w:szCs w:val="24"/>
                <w:lang w:eastAsia="en-GB"/>
              </w:rPr>
            </w:pPr>
            <w:r w:rsidRPr="00A53C2E">
              <w:rPr>
                <w:rFonts w:eastAsia="Times New Roman"/>
                <w:b/>
                <w:bCs/>
                <w:color w:val="000000"/>
                <w:szCs w:val="24"/>
                <w:lang w:eastAsia="en-GB"/>
              </w:rPr>
              <w:t>Census 2011 (SE England)</w:t>
            </w:r>
          </w:p>
        </w:tc>
        <w:tc>
          <w:tcPr>
            <w:tcW w:w="880" w:type="dxa"/>
            <w:tcBorders>
              <w:top w:val="nil"/>
              <w:left w:val="nil"/>
              <w:bottom w:val="nil"/>
              <w:right w:val="nil"/>
            </w:tcBorders>
            <w:shd w:val="clear" w:color="000000" w:fill="FFB81C"/>
            <w:noWrap/>
            <w:vAlign w:val="bottom"/>
            <w:hideMark/>
          </w:tcPr>
          <w:p w:rsidR="00A53C2E" w:rsidRPr="00A53C2E" w:rsidRDefault="00A53C2E" w:rsidP="00A53C2E">
            <w:pPr>
              <w:spacing w:after="0" w:line="240" w:lineRule="auto"/>
              <w:rPr>
                <w:rFonts w:eastAsia="Times New Roman"/>
                <w:color w:val="000000"/>
                <w:szCs w:val="24"/>
                <w:lang w:eastAsia="en-GB"/>
              </w:rPr>
            </w:pPr>
            <w:r w:rsidRPr="00A53C2E">
              <w:rPr>
                <w:rFonts w:eastAsia="Times New Roman"/>
                <w:color w:val="000000"/>
                <w:szCs w:val="24"/>
                <w:lang w:eastAsia="en-GB"/>
              </w:rPr>
              <w:t>50.9%</w:t>
            </w:r>
          </w:p>
        </w:tc>
        <w:tc>
          <w:tcPr>
            <w:tcW w:w="800" w:type="dxa"/>
            <w:tcBorders>
              <w:top w:val="nil"/>
              <w:left w:val="nil"/>
              <w:bottom w:val="nil"/>
              <w:right w:val="nil"/>
            </w:tcBorders>
            <w:shd w:val="clear" w:color="000000" w:fill="FFB81C"/>
            <w:noWrap/>
            <w:vAlign w:val="bottom"/>
            <w:hideMark/>
          </w:tcPr>
          <w:p w:rsidR="00A53C2E" w:rsidRPr="00A53C2E" w:rsidRDefault="00A53C2E" w:rsidP="00A53C2E">
            <w:pPr>
              <w:spacing w:after="0" w:line="240" w:lineRule="auto"/>
              <w:rPr>
                <w:rFonts w:eastAsia="Times New Roman"/>
                <w:color w:val="000000"/>
                <w:szCs w:val="24"/>
                <w:lang w:eastAsia="en-GB"/>
              </w:rPr>
            </w:pPr>
            <w:r w:rsidRPr="00A53C2E">
              <w:rPr>
                <w:rFonts w:eastAsia="Times New Roman"/>
                <w:color w:val="000000"/>
                <w:szCs w:val="24"/>
                <w:lang w:eastAsia="en-GB"/>
              </w:rPr>
              <w:t>49.1%</w:t>
            </w:r>
          </w:p>
        </w:tc>
        <w:tc>
          <w:tcPr>
            <w:tcW w:w="1031" w:type="dxa"/>
            <w:tcBorders>
              <w:top w:val="nil"/>
              <w:left w:val="nil"/>
              <w:bottom w:val="nil"/>
              <w:right w:val="nil"/>
            </w:tcBorders>
            <w:shd w:val="clear" w:color="000000" w:fill="FFB81C"/>
            <w:noWrap/>
            <w:vAlign w:val="bottom"/>
            <w:hideMark/>
          </w:tcPr>
          <w:p w:rsidR="00A53C2E" w:rsidRPr="00A53C2E" w:rsidRDefault="00A53C2E" w:rsidP="00A53C2E">
            <w:pPr>
              <w:spacing w:after="0" w:line="240" w:lineRule="auto"/>
              <w:rPr>
                <w:rFonts w:eastAsia="Times New Roman"/>
                <w:color w:val="000000"/>
                <w:szCs w:val="24"/>
                <w:lang w:eastAsia="en-GB"/>
              </w:rPr>
            </w:pPr>
            <w:r w:rsidRPr="00A53C2E">
              <w:rPr>
                <w:rFonts w:eastAsia="Times New Roman"/>
                <w:color w:val="000000"/>
                <w:szCs w:val="24"/>
                <w:lang w:eastAsia="en-GB"/>
              </w:rPr>
              <w:t> </w:t>
            </w:r>
          </w:p>
        </w:tc>
      </w:tr>
    </w:tbl>
    <w:p w:rsidR="00A53C2E" w:rsidRDefault="00A53C2E" w:rsidP="00881E07"/>
    <w:p w:rsidR="00A53C2E" w:rsidRPr="00881E07" w:rsidRDefault="00A53C2E" w:rsidP="00A53C2E">
      <w:pPr>
        <w:jc w:val="center"/>
      </w:pPr>
      <w:r>
        <w:rPr>
          <w:noProof/>
          <w:lang w:eastAsia="en-GB"/>
        </w:rPr>
        <w:drawing>
          <wp:inline distT="0" distB="0" distL="0" distR="0" wp14:anchorId="200CDA0C" wp14:editId="2815CCD0">
            <wp:extent cx="4572000" cy="2743200"/>
            <wp:effectExtent l="0" t="0" r="0" b="0"/>
            <wp:docPr id="23" name="Chart 23" title="Breakdown in and outpatients compared to the 2011 Census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B339AB" w:rsidRDefault="00B339AB" w:rsidP="00B339AB">
      <w:r>
        <w:lastRenderedPageBreak/>
        <w:t>What the data tells us:</w:t>
      </w:r>
    </w:p>
    <w:p w:rsidR="00B339AB" w:rsidRDefault="00B339AB" w:rsidP="00B339AB">
      <w:pPr>
        <w:pStyle w:val="ListParagraph"/>
      </w:pPr>
      <w:r>
        <w:t>Overall, there are more female than male patients attending Trust services.</w:t>
      </w:r>
    </w:p>
    <w:p w:rsidR="00B339AB" w:rsidRDefault="00B339AB" w:rsidP="00B339AB">
      <w:pPr>
        <w:pStyle w:val="ListParagraph"/>
      </w:pPr>
      <w:r>
        <w:t>The breakdown of male and female patients is broadly similar in inpatient and outpatient services.</w:t>
      </w:r>
    </w:p>
    <w:p w:rsidR="00B339AB" w:rsidRDefault="00B339AB" w:rsidP="00B339AB">
      <w:pPr>
        <w:pStyle w:val="ListParagraph"/>
      </w:pPr>
      <w:r>
        <w:t>Compared to the 2011 Census data, there is a greater representation of female patients than males using the Trust’s services.</w:t>
      </w:r>
    </w:p>
    <w:p w:rsidR="003204AF" w:rsidRDefault="00BC08D1" w:rsidP="00BC08D1">
      <w:pPr>
        <w:pStyle w:val="Heading3"/>
      </w:pPr>
      <w:bookmarkStart w:id="85" w:name="_Toc88634032"/>
      <w:r>
        <w:t>Marital Status (Marriage and Civil Partnership)</w:t>
      </w:r>
      <w:bookmarkEnd w:id="85"/>
    </w:p>
    <w:tbl>
      <w:tblPr>
        <w:tblW w:w="10087" w:type="dxa"/>
        <w:jc w:val="center"/>
        <w:tblLook w:val="04A0" w:firstRow="1" w:lastRow="0" w:firstColumn="1" w:lastColumn="0" w:noHBand="0" w:noVBand="1"/>
        <w:tblCaption w:val="Breakdown of in and outpatients by marital status compared to 2011 Census data."/>
      </w:tblPr>
      <w:tblGrid>
        <w:gridCol w:w="2215"/>
        <w:gridCol w:w="1511"/>
        <w:gridCol w:w="1796"/>
        <w:gridCol w:w="1280"/>
        <w:gridCol w:w="897"/>
        <w:gridCol w:w="1182"/>
        <w:gridCol w:w="1206"/>
      </w:tblGrid>
      <w:tr w:rsidR="00BC08D1" w:rsidRPr="00BC08D1" w:rsidTr="00BC08D1">
        <w:trPr>
          <w:cantSplit/>
          <w:trHeight w:val="300"/>
          <w:tblHeader/>
          <w:jc w:val="center"/>
        </w:trPr>
        <w:tc>
          <w:tcPr>
            <w:tcW w:w="2215"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color w:val="000000"/>
                <w:szCs w:val="24"/>
                <w:lang w:eastAsia="en-GB"/>
              </w:rPr>
            </w:pPr>
          </w:p>
        </w:tc>
        <w:tc>
          <w:tcPr>
            <w:tcW w:w="1511"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u w:val="single"/>
                <w:lang w:eastAsia="en-GB"/>
              </w:rPr>
            </w:pPr>
            <w:r w:rsidRPr="00BC08D1">
              <w:rPr>
                <w:rFonts w:eastAsia="Times New Roman"/>
                <w:b/>
                <w:bCs/>
                <w:color w:val="000000"/>
                <w:sz w:val="22"/>
                <w:u w:val="single"/>
                <w:lang w:eastAsia="en-GB"/>
              </w:rPr>
              <w:t>CP/Married</w:t>
            </w:r>
          </w:p>
        </w:tc>
        <w:tc>
          <w:tcPr>
            <w:tcW w:w="1796"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u w:val="single"/>
                <w:lang w:eastAsia="en-GB"/>
              </w:rPr>
            </w:pPr>
            <w:r w:rsidRPr="00BC08D1">
              <w:rPr>
                <w:rFonts w:eastAsia="Times New Roman"/>
                <w:b/>
                <w:bCs/>
                <w:color w:val="000000"/>
                <w:sz w:val="22"/>
                <w:u w:val="single"/>
                <w:lang w:eastAsia="en-GB"/>
              </w:rPr>
              <w:t>Divorced/</w:t>
            </w:r>
            <w:r>
              <w:rPr>
                <w:rFonts w:eastAsia="Times New Roman"/>
                <w:b/>
                <w:bCs/>
                <w:color w:val="000000"/>
                <w:sz w:val="22"/>
                <w:u w:val="single"/>
                <w:lang w:eastAsia="en-GB"/>
              </w:rPr>
              <w:t xml:space="preserve"> </w:t>
            </w:r>
            <w:r w:rsidRPr="00BC08D1">
              <w:rPr>
                <w:rFonts w:eastAsia="Times New Roman"/>
                <w:b/>
                <w:bCs/>
                <w:color w:val="000000"/>
                <w:sz w:val="22"/>
                <w:u w:val="single"/>
                <w:lang w:eastAsia="en-GB"/>
              </w:rPr>
              <w:t>Dissolved CP</w:t>
            </w:r>
          </w:p>
        </w:tc>
        <w:tc>
          <w:tcPr>
            <w:tcW w:w="1280"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u w:val="single"/>
                <w:lang w:eastAsia="en-GB"/>
              </w:rPr>
            </w:pPr>
            <w:r w:rsidRPr="00BC08D1">
              <w:rPr>
                <w:rFonts w:eastAsia="Times New Roman"/>
                <w:b/>
                <w:bCs/>
                <w:color w:val="000000"/>
                <w:sz w:val="22"/>
                <w:u w:val="single"/>
                <w:lang w:eastAsia="en-GB"/>
              </w:rPr>
              <w:t>Legally Separated</w:t>
            </w:r>
          </w:p>
        </w:tc>
        <w:tc>
          <w:tcPr>
            <w:tcW w:w="897"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u w:val="single"/>
                <w:lang w:eastAsia="en-GB"/>
              </w:rPr>
            </w:pPr>
            <w:r w:rsidRPr="00BC08D1">
              <w:rPr>
                <w:rFonts w:eastAsia="Times New Roman"/>
                <w:b/>
                <w:bCs/>
                <w:color w:val="000000"/>
                <w:sz w:val="22"/>
                <w:u w:val="single"/>
                <w:lang w:eastAsia="en-GB"/>
              </w:rPr>
              <w:t>Single</w:t>
            </w:r>
          </w:p>
        </w:tc>
        <w:tc>
          <w:tcPr>
            <w:tcW w:w="1182"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u w:val="single"/>
                <w:lang w:eastAsia="en-GB"/>
              </w:rPr>
            </w:pPr>
            <w:r w:rsidRPr="00BC08D1">
              <w:rPr>
                <w:rFonts w:eastAsia="Times New Roman"/>
                <w:b/>
                <w:bCs/>
                <w:color w:val="000000"/>
                <w:sz w:val="22"/>
                <w:u w:val="single"/>
                <w:lang w:eastAsia="en-GB"/>
              </w:rPr>
              <w:t>Widowed</w:t>
            </w:r>
          </w:p>
        </w:tc>
        <w:tc>
          <w:tcPr>
            <w:tcW w:w="1206"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u w:val="single"/>
                <w:lang w:eastAsia="en-GB"/>
              </w:rPr>
            </w:pPr>
            <w:r w:rsidRPr="00BC08D1">
              <w:rPr>
                <w:rFonts w:eastAsia="Times New Roman"/>
                <w:b/>
                <w:bCs/>
                <w:color w:val="000000"/>
                <w:sz w:val="22"/>
                <w:u w:val="single"/>
                <w:lang w:eastAsia="en-GB"/>
              </w:rPr>
              <w:t>Unknown</w:t>
            </w:r>
          </w:p>
        </w:tc>
      </w:tr>
      <w:tr w:rsidR="00BC08D1" w:rsidRPr="00BC08D1" w:rsidTr="00BC08D1">
        <w:trPr>
          <w:cantSplit/>
          <w:trHeight w:val="312"/>
          <w:tblHeader/>
          <w:jc w:val="center"/>
        </w:trPr>
        <w:tc>
          <w:tcPr>
            <w:tcW w:w="2215"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b/>
                <w:bCs/>
                <w:szCs w:val="24"/>
                <w:lang w:eastAsia="en-GB"/>
              </w:rPr>
            </w:pPr>
            <w:r w:rsidRPr="00BC08D1">
              <w:rPr>
                <w:rFonts w:eastAsia="Times New Roman"/>
                <w:b/>
                <w:bCs/>
                <w:szCs w:val="24"/>
                <w:lang w:eastAsia="en-GB"/>
              </w:rPr>
              <w:t>BSUH Inpatients</w:t>
            </w:r>
          </w:p>
        </w:tc>
        <w:tc>
          <w:tcPr>
            <w:tcW w:w="1511"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40.3%</w:t>
            </w:r>
          </w:p>
        </w:tc>
        <w:tc>
          <w:tcPr>
            <w:tcW w:w="1796"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5.6%</w:t>
            </w:r>
          </w:p>
        </w:tc>
        <w:tc>
          <w:tcPr>
            <w:tcW w:w="1280"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0.8%</w:t>
            </w:r>
          </w:p>
        </w:tc>
        <w:tc>
          <w:tcPr>
            <w:tcW w:w="897"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35.3%</w:t>
            </w:r>
          </w:p>
        </w:tc>
        <w:tc>
          <w:tcPr>
            <w:tcW w:w="1182"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7.5%</w:t>
            </w:r>
          </w:p>
        </w:tc>
        <w:tc>
          <w:tcPr>
            <w:tcW w:w="1206"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10.4%</w:t>
            </w:r>
          </w:p>
        </w:tc>
      </w:tr>
      <w:tr w:rsidR="00BC08D1" w:rsidRPr="00BC08D1" w:rsidTr="00BC08D1">
        <w:trPr>
          <w:cantSplit/>
          <w:trHeight w:val="312"/>
          <w:tblHeader/>
          <w:jc w:val="center"/>
        </w:trPr>
        <w:tc>
          <w:tcPr>
            <w:tcW w:w="2215"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b/>
                <w:bCs/>
                <w:szCs w:val="24"/>
                <w:lang w:eastAsia="en-GB"/>
              </w:rPr>
            </w:pPr>
            <w:r w:rsidRPr="00BC08D1">
              <w:rPr>
                <w:rFonts w:eastAsia="Times New Roman"/>
                <w:b/>
                <w:bCs/>
                <w:szCs w:val="24"/>
                <w:lang w:eastAsia="en-GB"/>
              </w:rPr>
              <w:t>BSUH Outpatients</w:t>
            </w:r>
          </w:p>
        </w:tc>
        <w:tc>
          <w:tcPr>
            <w:tcW w:w="1511"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44.0%</w:t>
            </w:r>
          </w:p>
        </w:tc>
        <w:tc>
          <w:tcPr>
            <w:tcW w:w="1796"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5.1%</w:t>
            </w:r>
          </w:p>
        </w:tc>
        <w:tc>
          <w:tcPr>
            <w:tcW w:w="1280"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0.8%</w:t>
            </w:r>
          </w:p>
        </w:tc>
        <w:tc>
          <w:tcPr>
            <w:tcW w:w="897"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34.4%</w:t>
            </w:r>
          </w:p>
        </w:tc>
        <w:tc>
          <w:tcPr>
            <w:tcW w:w="1182"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4.7%</w:t>
            </w:r>
          </w:p>
        </w:tc>
        <w:tc>
          <w:tcPr>
            <w:tcW w:w="1206"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11.0%</w:t>
            </w:r>
          </w:p>
        </w:tc>
      </w:tr>
      <w:tr w:rsidR="00BC08D1" w:rsidRPr="00BC08D1" w:rsidTr="00BC08D1">
        <w:trPr>
          <w:cantSplit/>
          <w:trHeight w:val="312"/>
          <w:tblHeader/>
          <w:jc w:val="center"/>
        </w:trPr>
        <w:tc>
          <w:tcPr>
            <w:tcW w:w="2215"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b/>
                <w:bCs/>
                <w:color w:val="000000"/>
                <w:szCs w:val="24"/>
                <w:lang w:eastAsia="en-GB"/>
              </w:rPr>
            </w:pPr>
            <w:r w:rsidRPr="00BC08D1">
              <w:rPr>
                <w:rFonts w:eastAsia="Times New Roman"/>
                <w:b/>
                <w:bCs/>
                <w:color w:val="000000"/>
                <w:szCs w:val="24"/>
                <w:lang w:eastAsia="en-GB"/>
              </w:rPr>
              <w:t>Census 2011 (SE England)</w:t>
            </w:r>
          </w:p>
        </w:tc>
        <w:tc>
          <w:tcPr>
            <w:tcW w:w="1511"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49.8%</w:t>
            </w:r>
          </w:p>
        </w:tc>
        <w:tc>
          <w:tcPr>
            <w:tcW w:w="1796"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6.5%</w:t>
            </w:r>
          </w:p>
        </w:tc>
        <w:tc>
          <w:tcPr>
            <w:tcW w:w="1280"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2.0%</w:t>
            </w:r>
          </w:p>
        </w:tc>
        <w:tc>
          <w:tcPr>
            <w:tcW w:w="897"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34.4%</w:t>
            </w:r>
          </w:p>
        </w:tc>
        <w:tc>
          <w:tcPr>
            <w:tcW w:w="1182"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6.2%</w:t>
            </w:r>
          </w:p>
        </w:tc>
        <w:tc>
          <w:tcPr>
            <w:tcW w:w="1206"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1.1%</w:t>
            </w:r>
          </w:p>
        </w:tc>
      </w:tr>
    </w:tbl>
    <w:p w:rsidR="00BC08D1" w:rsidRDefault="00BC08D1" w:rsidP="00BC08D1"/>
    <w:p w:rsidR="00BC08D1" w:rsidRDefault="00BC08D1" w:rsidP="00BC08D1">
      <w:r>
        <w:rPr>
          <w:noProof/>
          <w:lang w:eastAsia="en-GB"/>
        </w:rPr>
        <w:drawing>
          <wp:inline distT="0" distB="0" distL="0" distR="0" wp14:anchorId="675F01DB" wp14:editId="42D71489">
            <wp:extent cx="5740400" cy="2616200"/>
            <wp:effectExtent l="0" t="0" r="0" b="0"/>
            <wp:docPr id="24" name="Chart 24" title="Breakdown of in and outpatients by marital status compared to 2011 Census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843779" w:rsidRDefault="00843779" w:rsidP="00843779">
      <w:r>
        <w:t>What the data tells us:</w:t>
      </w:r>
    </w:p>
    <w:p w:rsidR="00843779" w:rsidRDefault="00843779" w:rsidP="00843779">
      <w:pPr>
        <w:pStyle w:val="ListParagraph"/>
      </w:pPr>
      <w:r>
        <w:t>Compared to 2011 Census data, there is a lower representation in Trust services for patients that are either married or in a civil partnership.</w:t>
      </w:r>
    </w:p>
    <w:p w:rsidR="00843779" w:rsidRDefault="00843779" w:rsidP="00843779">
      <w:pPr>
        <w:pStyle w:val="ListParagraph"/>
      </w:pPr>
      <w:r>
        <w:t>There is a greater representation of patients in outpatient services compared to inpatient services.</w:t>
      </w:r>
    </w:p>
    <w:p w:rsidR="00BC08D1" w:rsidRDefault="00BC08D1" w:rsidP="00BC08D1">
      <w:pPr>
        <w:pStyle w:val="Heading3"/>
      </w:pPr>
      <w:bookmarkStart w:id="86" w:name="_Toc88634033"/>
      <w:r>
        <w:t>Religion or Belief</w:t>
      </w:r>
      <w:bookmarkEnd w:id="86"/>
    </w:p>
    <w:p w:rsidR="00BC08D1" w:rsidRDefault="00BC08D1" w:rsidP="00BC08D1"/>
    <w:tbl>
      <w:tblPr>
        <w:tblW w:w="7660" w:type="dxa"/>
        <w:jc w:val="center"/>
        <w:tblLook w:val="04A0" w:firstRow="1" w:lastRow="0" w:firstColumn="1" w:lastColumn="0" w:noHBand="0" w:noVBand="1"/>
        <w:tblCaption w:val="Breakdown of patient attendance by religion or belief compared to 2011 Census data."/>
      </w:tblPr>
      <w:tblGrid>
        <w:gridCol w:w="2180"/>
        <w:gridCol w:w="1980"/>
        <w:gridCol w:w="2200"/>
        <w:gridCol w:w="1300"/>
      </w:tblGrid>
      <w:tr w:rsidR="00BC08D1" w:rsidRPr="00BC08D1" w:rsidTr="00BC08D1">
        <w:trPr>
          <w:cantSplit/>
          <w:trHeight w:val="312"/>
          <w:tblHeader/>
          <w:jc w:val="center"/>
        </w:trPr>
        <w:tc>
          <w:tcPr>
            <w:tcW w:w="2180" w:type="dxa"/>
            <w:tcBorders>
              <w:top w:val="nil"/>
              <w:left w:val="nil"/>
              <w:bottom w:val="nil"/>
              <w:right w:val="nil"/>
            </w:tcBorders>
            <w:shd w:val="clear" w:color="auto" w:fill="auto"/>
            <w:noWrap/>
            <w:hideMark/>
          </w:tcPr>
          <w:p w:rsidR="00BC08D1" w:rsidRPr="00BC08D1" w:rsidRDefault="00BC08D1" w:rsidP="00BC08D1">
            <w:pPr>
              <w:spacing w:after="0" w:line="240" w:lineRule="auto"/>
              <w:rPr>
                <w:rFonts w:eastAsia="Times New Roman"/>
                <w:color w:val="000000"/>
                <w:szCs w:val="24"/>
                <w:lang w:eastAsia="en-GB"/>
              </w:rPr>
            </w:pPr>
          </w:p>
        </w:tc>
        <w:tc>
          <w:tcPr>
            <w:tcW w:w="1980" w:type="dxa"/>
            <w:tcBorders>
              <w:top w:val="nil"/>
              <w:left w:val="nil"/>
              <w:bottom w:val="nil"/>
              <w:right w:val="nil"/>
            </w:tcBorders>
            <w:shd w:val="clear" w:color="000000" w:fill="C5D9F1"/>
            <w:noWrap/>
            <w:hideMark/>
          </w:tcPr>
          <w:p w:rsidR="00BC08D1" w:rsidRPr="00BC08D1" w:rsidRDefault="00BC08D1" w:rsidP="00BC08D1">
            <w:pPr>
              <w:spacing w:after="0" w:line="240" w:lineRule="auto"/>
              <w:rPr>
                <w:rFonts w:eastAsia="Times New Roman"/>
                <w:b/>
                <w:bCs/>
                <w:szCs w:val="24"/>
                <w:lang w:eastAsia="en-GB"/>
              </w:rPr>
            </w:pPr>
            <w:r w:rsidRPr="00BC08D1">
              <w:rPr>
                <w:rFonts w:eastAsia="Times New Roman"/>
                <w:b/>
                <w:bCs/>
                <w:szCs w:val="24"/>
                <w:lang w:eastAsia="en-GB"/>
              </w:rPr>
              <w:t>BSUH Inpatients</w:t>
            </w:r>
          </w:p>
        </w:tc>
        <w:tc>
          <w:tcPr>
            <w:tcW w:w="2200" w:type="dxa"/>
            <w:tcBorders>
              <w:top w:val="nil"/>
              <w:left w:val="nil"/>
              <w:bottom w:val="nil"/>
              <w:right w:val="nil"/>
            </w:tcBorders>
            <w:shd w:val="clear" w:color="000000" w:fill="41B6E6"/>
            <w:noWrap/>
            <w:hideMark/>
          </w:tcPr>
          <w:p w:rsidR="00BC08D1" w:rsidRPr="00BC08D1" w:rsidRDefault="00BC08D1" w:rsidP="00BC08D1">
            <w:pPr>
              <w:spacing w:after="0" w:line="240" w:lineRule="auto"/>
              <w:rPr>
                <w:rFonts w:eastAsia="Times New Roman"/>
                <w:b/>
                <w:bCs/>
                <w:szCs w:val="24"/>
                <w:lang w:eastAsia="en-GB"/>
              </w:rPr>
            </w:pPr>
            <w:r w:rsidRPr="00BC08D1">
              <w:rPr>
                <w:rFonts w:eastAsia="Times New Roman"/>
                <w:b/>
                <w:bCs/>
                <w:szCs w:val="24"/>
                <w:lang w:eastAsia="en-GB"/>
              </w:rPr>
              <w:t>BSUH Outpatients</w:t>
            </w:r>
          </w:p>
        </w:tc>
        <w:tc>
          <w:tcPr>
            <w:tcW w:w="1300" w:type="dxa"/>
            <w:tcBorders>
              <w:top w:val="nil"/>
              <w:left w:val="nil"/>
              <w:bottom w:val="nil"/>
              <w:right w:val="nil"/>
            </w:tcBorders>
            <w:shd w:val="clear" w:color="000000" w:fill="FFB81C"/>
            <w:noWrap/>
            <w:hideMark/>
          </w:tcPr>
          <w:p w:rsidR="00BC08D1" w:rsidRPr="00BC08D1" w:rsidRDefault="00BC08D1" w:rsidP="00BC08D1">
            <w:pPr>
              <w:spacing w:after="0" w:line="240" w:lineRule="auto"/>
              <w:rPr>
                <w:rFonts w:eastAsia="Times New Roman"/>
                <w:b/>
                <w:bCs/>
                <w:color w:val="000000"/>
                <w:szCs w:val="24"/>
                <w:lang w:eastAsia="en-GB"/>
              </w:rPr>
            </w:pPr>
            <w:r w:rsidRPr="00BC08D1">
              <w:rPr>
                <w:rFonts w:eastAsia="Times New Roman"/>
                <w:b/>
                <w:bCs/>
                <w:color w:val="000000"/>
                <w:szCs w:val="24"/>
                <w:lang w:eastAsia="en-GB"/>
              </w:rPr>
              <w:t>Census 2011 (SE England)</w:t>
            </w:r>
          </w:p>
        </w:tc>
      </w:tr>
      <w:tr w:rsidR="00BC08D1" w:rsidRPr="00BC08D1" w:rsidTr="00BC08D1">
        <w:trPr>
          <w:cantSplit/>
          <w:trHeight w:val="300"/>
          <w:tblHeader/>
          <w:jc w:val="center"/>
        </w:trPr>
        <w:tc>
          <w:tcPr>
            <w:tcW w:w="2180"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lang w:eastAsia="en-GB"/>
              </w:rPr>
            </w:pPr>
            <w:r w:rsidRPr="00BC08D1">
              <w:rPr>
                <w:rFonts w:eastAsia="Times New Roman"/>
                <w:b/>
                <w:bCs/>
                <w:color w:val="000000"/>
                <w:sz w:val="22"/>
                <w:lang w:eastAsia="en-GB"/>
              </w:rPr>
              <w:t>Atheism</w:t>
            </w:r>
          </w:p>
        </w:tc>
        <w:tc>
          <w:tcPr>
            <w:tcW w:w="1980"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30.2%</w:t>
            </w:r>
          </w:p>
        </w:tc>
        <w:tc>
          <w:tcPr>
            <w:tcW w:w="2200"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33.76%</w:t>
            </w:r>
          </w:p>
        </w:tc>
        <w:tc>
          <w:tcPr>
            <w:tcW w:w="1300"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27.6%</w:t>
            </w:r>
          </w:p>
        </w:tc>
      </w:tr>
      <w:tr w:rsidR="00BC08D1" w:rsidRPr="00BC08D1" w:rsidTr="00BC08D1">
        <w:trPr>
          <w:cantSplit/>
          <w:trHeight w:val="300"/>
          <w:tblHeader/>
          <w:jc w:val="center"/>
        </w:trPr>
        <w:tc>
          <w:tcPr>
            <w:tcW w:w="2180"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lang w:eastAsia="en-GB"/>
              </w:rPr>
            </w:pPr>
            <w:r w:rsidRPr="00BC08D1">
              <w:rPr>
                <w:rFonts w:eastAsia="Times New Roman"/>
                <w:b/>
                <w:bCs/>
                <w:color w:val="000000"/>
                <w:sz w:val="22"/>
                <w:lang w:eastAsia="en-GB"/>
              </w:rPr>
              <w:t>Buddhism</w:t>
            </w:r>
          </w:p>
        </w:tc>
        <w:tc>
          <w:tcPr>
            <w:tcW w:w="1980"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0.28%</w:t>
            </w:r>
          </w:p>
        </w:tc>
        <w:tc>
          <w:tcPr>
            <w:tcW w:w="2200"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0.43%</w:t>
            </w:r>
          </w:p>
        </w:tc>
        <w:tc>
          <w:tcPr>
            <w:tcW w:w="1300"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0.5%</w:t>
            </w:r>
          </w:p>
        </w:tc>
      </w:tr>
      <w:tr w:rsidR="00BC08D1" w:rsidRPr="00BC08D1" w:rsidTr="00BC08D1">
        <w:trPr>
          <w:cantSplit/>
          <w:trHeight w:val="300"/>
          <w:tblHeader/>
          <w:jc w:val="center"/>
        </w:trPr>
        <w:tc>
          <w:tcPr>
            <w:tcW w:w="2180"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lang w:eastAsia="en-GB"/>
              </w:rPr>
            </w:pPr>
            <w:r w:rsidRPr="00BC08D1">
              <w:rPr>
                <w:rFonts w:eastAsia="Times New Roman"/>
                <w:b/>
                <w:bCs/>
                <w:color w:val="000000"/>
                <w:sz w:val="22"/>
                <w:lang w:eastAsia="en-GB"/>
              </w:rPr>
              <w:lastRenderedPageBreak/>
              <w:t>Christianity</w:t>
            </w:r>
          </w:p>
        </w:tc>
        <w:tc>
          <w:tcPr>
            <w:tcW w:w="1980"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47.41%</w:t>
            </w:r>
          </w:p>
        </w:tc>
        <w:tc>
          <w:tcPr>
            <w:tcW w:w="2200"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47.94%</w:t>
            </w:r>
          </w:p>
        </w:tc>
        <w:tc>
          <w:tcPr>
            <w:tcW w:w="1300"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59.7%</w:t>
            </w:r>
          </w:p>
        </w:tc>
      </w:tr>
      <w:tr w:rsidR="00BC08D1" w:rsidRPr="00BC08D1" w:rsidTr="00BC08D1">
        <w:trPr>
          <w:cantSplit/>
          <w:trHeight w:val="300"/>
          <w:tblHeader/>
          <w:jc w:val="center"/>
        </w:trPr>
        <w:tc>
          <w:tcPr>
            <w:tcW w:w="2180"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lang w:eastAsia="en-GB"/>
              </w:rPr>
            </w:pPr>
            <w:r w:rsidRPr="00BC08D1">
              <w:rPr>
                <w:rFonts w:eastAsia="Times New Roman"/>
                <w:b/>
                <w:bCs/>
                <w:color w:val="000000"/>
                <w:sz w:val="22"/>
                <w:lang w:eastAsia="en-GB"/>
              </w:rPr>
              <w:t>Hinduism</w:t>
            </w:r>
          </w:p>
        </w:tc>
        <w:tc>
          <w:tcPr>
            <w:tcW w:w="1980"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0.44%</w:t>
            </w:r>
          </w:p>
        </w:tc>
        <w:tc>
          <w:tcPr>
            <w:tcW w:w="2200"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0.55%</w:t>
            </w:r>
          </w:p>
        </w:tc>
        <w:tc>
          <w:tcPr>
            <w:tcW w:w="1300"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1.2%</w:t>
            </w:r>
          </w:p>
        </w:tc>
      </w:tr>
      <w:tr w:rsidR="00BC08D1" w:rsidRPr="00BC08D1" w:rsidTr="00BC08D1">
        <w:trPr>
          <w:cantSplit/>
          <w:trHeight w:val="300"/>
          <w:tblHeader/>
          <w:jc w:val="center"/>
        </w:trPr>
        <w:tc>
          <w:tcPr>
            <w:tcW w:w="2180"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lang w:eastAsia="en-GB"/>
              </w:rPr>
            </w:pPr>
            <w:r w:rsidRPr="00BC08D1">
              <w:rPr>
                <w:rFonts w:eastAsia="Times New Roman"/>
                <w:b/>
                <w:bCs/>
                <w:color w:val="000000"/>
                <w:sz w:val="22"/>
                <w:lang w:eastAsia="en-GB"/>
              </w:rPr>
              <w:t>Islam</w:t>
            </w:r>
          </w:p>
        </w:tc>
        <w:tc>
          <w:tcPr>
            <w:tcW w:w="1980"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1.48%</w:t>
            </w:r>
          </w:p>
        </w:tc>
        <w:tc>
          <w:tcPr>
            <w:tcW w:w="2200"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1.79%</w:t>
            </w:r>
          </w:p>
        </w:tc>
        <w:tc>
          <w:tcPr>
            <w:tcW w:w="1300"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2.3%</w:t>
            </w:r>
          </w:p>
        </w:tc>
      </w:tr>
      <w:tr w:rsidR="00BC08D1" w:rsidRPr="00BC08D1" w:rsidTr="00BC08D1">
        <w:trPr>
          <w:cantSplit/>
          <w:trHeight w:val="300"/>
          <w:tblHeader/>
          <w:jc w:val="center"/>
        </w:trPr>
        <w:tc>
          <w:tcPr>
            <w:tcW w:w="2180"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lang w:eastAsia="en-GB"/>
              </w:rPr>
            </w:pPr>
            <w:r w:rsidRPr="00BC08D1">
              <w:rPr>
                <w:rFonts w:eastAsia="Times New Roman"/>
                <w:b/>
                <w:bCs/>
                <w:color w:val="000000"/>
                <w:sz w:val="22"/>
                <w:lang w:eastAsia="en-GB"/>
              </w:rPr>
              <w:t>Jainism</w:t>
            </w:r>
          </w:p>
        </w:tc>
        <w:tc>
          <w:tcPr>
            <w:tcW w:w="1980"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 </w:t>
            </w:r>
          </w:p>
        </w:tc>
        <w:tc>
          <w:tcPr>
            <w:tcW w:w="2200"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0.00%</w:t>
            </w:r>
          </w:p>
        </w:tc>
        <w:tc>
          <w:tcPr>
            <w:tcW w:w="1300"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 </w:t>
            </w:r>
          </w:p>
        </w:tc>
      </w:tr>
      <w:tr w:rsidR="00BC08D1" w:rsidRPr="00BC08D1" w:rsidTr="00BC08D1">
        <w:trPr>
          <w:cantSplit/>
          <w:trHeight w:val="300"/>
          <w:tblHeader/>
          <w:jc w:val="center"/>
        </w:trPr>
        <w:tc>
          <w:tcPr>
            <w:tcW w:w="2180"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lang w:eastAsia="en-GB"/>
              </w:rPr>
            </w:pPr>
            <w:r w:rsidRPr="00BC08D1">
              <w:rPr>
                <w:rFonts w:eastAsia="Times New Roman"/>
                <w:b/>
                <w:bCs/>
                <w:color w:val="000000"/>
                <w:sz w:val="22"/>
                <w:lang w:eastAsia="en-GB"/>
              </w:rPr>
              <w:t>Judaism</w:t>
            </w:r>
          </w:p>
        </w:tc>
        <w:tc>
          <w:tcPr>
            <w:tcW w:w="1980"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0.63%</w:t>
            </w:r>
          </w:p>
        </w:tc>
        <w:tc>
          <w:tcPr>
            <w:tcW w:w="2200"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0.68%</w:t>
            </w:r>
          </w:p>
        </w:tc>
        <w:tc>
          <w:tcPr>
            <w:tcW w:w="1300"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0.2%</w:t>
            </w:r>
          </w:p>
        </w:tc>
      </w:tr>
      <w:tr w:rsidR="00BC08D1" w:rsidRPr="00BC08D1" w:rsidTr="00BC08D1">
        <w:trPr>
          <w:cantSplit/>
          <w:trHeight w:val="300"/>
          <w:tblHeader/>
          <w:jc w:val="center"/>
        </w:trPr>
        <w:tc>
          <w:tcPr>
            <w:tcW w:w="2180"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lang w:eastAsia="en-GB"/>
              </w:rPr>
            </w:pPr>
            <w:r w:rsidRPr="00BC08D1">
              <w:rPr>
                <w:rFonts w:eastAsia="Times New Roman"/>
                <w:b/>
                <w:bCs/>
                <w:color w:val="000000"/>
                <w:sz w:val="22"/>
                <w:lang w:eastAsia="en-GB"/>
              </w:rPr>
              <w:t>Other</w:t>
            </w:r>
          </w:p>
        </w:tc>
        <w:tc>
          <w:tcPr>
            <w:tcW w:w="1980"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1.81%</w:t>
            </w:r>
          </w:p>
        </w:tc>
        <w:tc>
          <w:tcPr>
            <w:tcW w:w="2200"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1.39%</w:t>
            </w:r>
          </w:p>
        </w:tc>
        <w:tc>
          <w:tcPr>
            <w:tcW w:w="1300"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0.5%</w:t>
            </w:r>
          </w:p>
        </w:tc>
      </w:tr>
      <w:tr w:rsidR="00BC08D1" w:rsidRPr="00BC08D1" w:rsidTr="00BC08D1">
        <w:trPr>
          <w:cantSplit/>
          <w:trHeight w:val="300"/>
          <w:tblHeader/>
          <w:jc w:val="center"/>
        </w:trPr>
        <w:tc>
          <w:tcPr>
            <w:tcW w:w="2180"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lang w:eastAsia="en-GB"/>
              </w:rPr>
            </w:pPr>
            <w:r w:rsidRPr="00BC08D1">
              <w:rPr>
                <w:rFonts w:eastAsia="Times New Roman"/>
                <w:b/>
                <w:bCs/>
                <w:color w:val="000000"/>
                <w:sz w:val="22"/>
                <w:lang w:eastAsia="en-GB"/>
              </w:rPr>
              <w:t>Sikhism</w:t>
            </w:r>
          </w:p>
        </w:tc>
        <w:tc>
          <w:tcPr>
            <w:tcW w:w="1980"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0.05%</w:t>
            </w:r>
          </w:p>
        </w:tc>
        <w:tc>
          <w:tcPr>
            <w:tcW w:w="2200"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0.08%</w:t>
            </w:r>
          </w:p>
        </w:tc>
        <w:tc>
          <w:tcPr>
            <w:tcW w:w="1300"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0.6%</w:t>
            </w:r>
          </w:p>
        </w:tc>
      </w:tr>
      <w:tr w:rsidR="00BC08D1" w:rsidRPr="00BC08D1" w:rsidTr="00BC08D1">
        <w:trPr>
          <w:cantSplit/>
          <w:trHeight w:val="300"/>
          <w:tblHeader/>
          <w:jc w:val="center"/>
        </w:trPr>
        <w:tc>
          <w:tcPr>
            <w:tcW w:w="2180"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lang w:eastAsia="en-GB"/>
              </w:rPr>
            </w:pPr>
            <w:r w:rsidRPr="00BC08D1">
              <w:rPr>
                <w:rFonts w:eastAsia="Times New Roman"/>
                <w:b/>
                <w:bCs/>
                <w:color w:val="000000"/>
                <w:sz w:val="22"/>
                <w:lang w:eastAsia="en-GB"/>
              </w:rPr>
              <w:t>Declined to Specify</w:t>
            </w:r>
          </w:p>
        </w:tc>
        <w:tc>
          <w:tcPr>
            <w:tcW w:w="1980"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0.17%</w:t>
            </w:r>
          </w:p>
        </w:tc>
        <w:tc>
          <w:tcPr>
            <w:tcW w:w="2200"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0.12%</w:t>
            </w:r>
          </w:p>
        </w:tc>
        <w:tc>
          <w:tcPr>
            <w:tcW w:w="1300"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 </w:t>
            </w:r>
          </w:p>
        </w:tc>
      </w:tr>
      <w:tr w:rsidR="00BC08D1" w:rsidRPr="00BC08D1" w:rsidTr="00BC08D1">
        <w:trPr>
          <w:cantSplit/>
          <w:trHeight w:val="300"/>
          <w:tblHeader/>
          <w:jc w:val="center"/>
        </w:trPr>
        <w:tc>
          <w:tcPr>
            <w:tcW w:w="2180" w:type="dxa"/>
            <w:tcBorders>
              <w:top w:val="nil"/>
              <w:left w:val="nil"/>
              <w:bottom w:val="nil"/>
              <w:right w:val="nil"/>
            </w:tcBorders>
            <w:shd w:val="clear" w:color="auto" w:fill="auto"/>
            <w:noWrap/>
            <w:vAlign w:val="bottom"/>
            <w:hideMark/>
          </w:tcPr>
          <w:p w:rsidR="00BC08D1" w:rsidRPr="00BC08D1" w:rsidRDefault="00BC08D1" w:rsidP="00BC08D1">
            <w:pPr>
              <w:spacing w:after="0" w:line="240" w:lineRule="auto"/>
              <w:rPr>
                <w:rFonts w:eastAsia="Times New Roman"/>
                <w:b/>
                <w:bCs/>
                <w:color w:val="000000"/>
                <w:sz w:val="22"/>
                <w:lang w:eastAsia="en-GB"/>
              </w:rPr>
            </w:pPr>
            <w:r w:rsidRPr="00BC08D1">
              <w:rPr>
                <w:rFonts w:eastAsia="Times New Roman"/>
                <w:b/>
                <w:bCs/>
                <w:color w:val="000000"/>
                <w:sz w:val="22"/>
                <w:lang w:eastAsia="en-GB"/>
              </w:rPr>
              <w:t>Unknown</w:t>
            </w:r>
          </w:p>
        </w:tc>
        <w:tc>
          <w:tcPr>
            <w:tcW w:w="1980" w:type="dxa"/>
            <w:tcBorders>
              <w:top w:val="nil"/>
              <w:left w:val="nil"/>
              <w:bottom w:val="nil"/>
              <w:right w:val="nil"/>
            </w:tcBorders>
            <w:shd w:val="clear" w:color="000000" w:fill="C5D9F1"/>
            <w:noWrap/>
            <w:vAlign w:val="bottom"/>
            <w:hideMark/>
          </w:tcPr>
          <w:p w:rsidR="00BC08D1" w:rsidRPr="00BC08D1" w:rsidRDefault="00BC08D1" w:rsidP="00BC08D1">
            <w:pPr>
              <w:spacing w:after="0" w:line="240" w:lineRule="auto"/>
              <w:rPr>
                <w:rFonts w:eastAsia="Times New Roman"/>
                <w:szCs w:val="24"/>
                <w:lang w:eastAsia="en-GB"/>
              </w:rPr>
            </w:pPr>
            <w:r w:rsidRPr="00BC08D1">
              <w:rPr>
                <w:rFonts w:eastAsia="Times New Roman"/>
                <w:szCs w:val="24"/>
                <w:lang w:eastAsia="en-GB"/>
              </w:rPr>
              <w:t>17.56%</w:t>
            </w:r>
          </w:p>
        </w:tc>
        <w:tc>
          <w:tcPr>
            <w:tcW w:w="2200" w:type="dxa"/>
            <w:tcBorders>
              <w:top w:val="nil"/>
              <w:left w:val="nil"/>
              <w:bottom w:val="nil"/>
              <w:right w:val="nil"/>
            </w:tcBorders>
            <w:shd w:val="clear" w:color="000000" w:fill="41B6E6"/>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13.26%</w:t>
            </w:r>
          </w:p>
        </w:tc>
        <w:tc>
          <w:tcPr>
            <w:tcW w:w="1300" w:type="dxa"/>
            <w:tcBorders>
              <w:top w:val="nil"/>
              <w:left w:val="nil"/>
              <w:bottom w:val="nil"/>
              <w:right w:val="nil"/>
            </w:tcBorders>
            <w:shd w:val="clear" w:color="000000" w:fill="FFB81C"/>
            <w:noWrap/>
            <w:vAlign w:val="bottom"/>
            <w:hideMark/>
          </w:tcPr>
          <w:p w:rsidR="00BC08D1" w:rsidRPr="00BC08D1" w:rsidRDefault="00BC08D1" w:rsidP="00BC08D1">
            <w:pPr>
              <w:spacing w:after="0" w:line="240" w:lineRule="auto"/>
              <w:rPr>
                <w:rFonts w:eastAsia="Times New Roman"/>
                <w:color w:val="000000"/>
                <w:szCs w:val="24"/>
                <w:lang w:eastAsia="en-GB"/>
              </w:rPr>
            </w:pPr>
            <w:r w:rsidRPr="00BC08D1">
              <w:rPr>
                <w:rFonts w:eastAsia="Times New Roman"/>
                <w:color w:val="000000"/>
                <w:szCs w:val="24"/>
                <w:lang w:eastAsia="en-GB"/>
              </w:rPr>
              <w:t>7.4%</w:t>
            </w:r>
          </w:p>
        </w:tc>
      </w:tr>
    </w:tbl>
    <w:p w:rsidR="00BC08D1" w:rsidRDefault="00BC08D1" w:rsidP="00BC08D1"/>
    <w:p w:rsidR="00BC08D1" w:rsidRDefault="00BC08D1" w:rsidP="00BC08D1">
      <w:r>
        <w:rPr>
          <w:noProof/>
          <w:lang w:eastAsia="en-GB"/>
        </w:rPr>
        <w:drawing>
          <wp:inline distT="0" distB="0" distL="0" distR="0" wp14:anchorId="503BADC6" wp14:editId="1C867540">
            <wp:extent cx="5740400" cy="3708400"/>
            <wp:effectExtent l="0" t="0" r="0" b="6350"/>
            <wp:docPr id="25" name="Chart 25" title="Breakdown of patient attendance by religion or belief compared to 2011 Census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2C6157" w:rsidRDefault="002C6157" w:rsidP="002C6157">
      <w:r>
        <w:t>What the data tells us</w:t>
      </w:r>
    </w:p>
    <w:p w:rsidR="002C6157" w:rsidRDefault="002C6157" w:rsidP="002C6157">
      <w:r>
        <w:t>Compared to the 2011 Census data:</w:t>
      </w:r>
    </w:p>
    <w:p w:rsidR="002C6157" w:rsidRDefault="002C6157" w:rsidP="002C6157">
      <w:pPr>
        <w:pStyle w:val="ListParagraph"/>
      </w:pPr>
      <w:r>
        <w:t>There is a lower representation in Trust services of patients that identify as Christian, Hindu, Muslim and Sikh.</w:t>
      </w:r>
    </w:p>
    <w:p w:rsidR="002C6157" w:rsidRDefault="002C6157" w:rsidP="002C6157">
      <w:pPr>
        <w:pStyle w:val="ListParagraph"/>
      </w:pPr>
      <w:r>
        <w:t>There is a higher representation in Trust services of patients who identify as Jewish or from another religion/belief.</w:t>
      </w:r>
    </w:p>
    <w:p w:rsidR="002C6157" w:rsidRDefault="002C6157" w:rsidP="002C6157">
      <w:pPr>
        <w:pStyle w:val="ListParagraph"/>
      </w:pPr>
      <w:r>
        <w:t>There is broadly equality representation for atheists and Buddhist patients.</w:t>
      </w:r>
    </w:p>
    <w:p w:rsidR="002C6157" w:rsidRDefault="002C6157" w:rsidP="002C6157">
      <w:pPr>
        <w:pStyle w:val="ListParagraph"/>
      </w:pPr>
      <w:r>
        <w:t>In all declared religions or beliefs, there is a higher representation in outpatient services than inpatient services.</w:t>
      </w:r>
    </w:p>
    <w:p w:rsidR="00DC55C3" w:rsidRDefault="00F473C3" w:rsidP="00F473C3">
      <w:pPr>
        <w:pStyle w:val="Heading2"/>
      </w:pPr>
      <w:bookmarkStart w:id="87" w:name="_Toc88634034"/>
      <w:r>
        <w:lastRenderedPageBreak/>
        <w:t>Friends and Family Test</w:t>
      </w:r>
      <w:bookmarkEnd w:id="87"/>
    </w:p>
    <w:p w:rsidR="00F473C3" w:rsidRDefault="00F473C3" w:rsidP="00F473C3">
      <w:r w:rsidRPr="00F473C3">
        <w:t>The NHS Friends and Family Test (FFT) was created to help service providers and commissioners understand whether patients are happy with the service provided or where improvements are needed. It's a quick and anonymous way to give your views after receiving NHS care or treatment.</w:t>
      </w:r>
    </w:p>
    <w:p w:rsidR="00F473C3" w:rsidRDefault="00F473C3" w:rsidP="00F473C3">
      <w:r>
        <w:t>Patients are asked, “</w:t>
      </w:r>
      <w:r w:rsidRPr="00F473C3">
        <w:t>Overall, how was your experience of our service?</w:t>
      </w:r>
      <w:r>
        <w:t>” and this can be graded from very good to very poor.  The tables below show how many patients highlighted a positive response.</w:t>
      </w:r>
    </w:p>
    <w:p w:rsidR="00F473C3" w:rsidRDefault="00F473C3" w:rsidP="00F473C3">
      <w:pPr>
        <w:rPr>
          <w:b/>
        </w:rPr>
      </w:pPr>
      <w:r w:rsidRPr="00F473C3">
        <w:rPr>
          <w:b/>
        </w:rPr>
        <w:t>BSUH</w:t>
      </w:r>
    </w:p>
    <w:p w:rsidR="00F473C3" w:rsidRDefault="00F473C3" w:rsidP="00F473C3">
      <w:r>
        <w:t xml:space="preserve">The Trust aims to have a positive score of more than 95%.  </w:t>
      </w:r>
      <w:r w:rsidRPr="00F473C3">
        <w:t>Despite FFT data collection being suspended on 1 April 2020 (in response to the COVID-19 pandemic)</w:t>
      </w:r>
      <w:r>
        <w:t>,</w:t>
      </w:r>
      <w:r w:rsidRPr="00F473C3">
        <w:t xml:space="preserve"> 50,471 patients responded t</w:t>
      </w:r>
      <w:r>
        <w:t>o the FFT question in 2020/21.</w:t>
      </w:r>
    </w:p>
    <w:p w:rsidR="00F473C3" w:rsidRDefault="00F473C3" w:rsidP="00F473C3">
      <w:r>
        <w:t xml:space="preserve">A breakdown of responses by protected characteristic was not available </w:t>
      </w:r>
      <w:bookmarkStart w:id="88" w:name="_GoBack"/>
      <w:bookmarkEnd w:id="88"/>
      <w:r>
        <w:t>at the time of authoring this report.</w:t>
      </w:r>
    </w:p>
    <w:tbl>
      <w:tblPr>
        <w:tblStyle w:val="TableGrid"/>
        <w:tblW w:w="9729" w:type="dxa"/>
        <w:tblLook w:val="04A0" w:firstRow="1" w:lastRow="0" w:firstColumn="1" w:lastColumn="0" w:noHBand="0" w:noVBand="1"/>
        <w:tblCaption w:val="Friends and Family Test from 2018 to March 2021"/>
        <w:tblDescription w:val="The Trust aims to have a target of at least 95% of positive responses.  The average for inpatient, outpatient, A&amp;E and maternity scores are below target."/>
      </w:tblPr>
      <w:tblGrid>
        <w:gridCol w:w="2802"/>
        <w:gridCol w:w="2309"/>
        <w:gridCol w:w="2309"/>
        <w:gridCol w:w="2309"/>
      </w:tblGrid>
      <w:tr w:rsidR="00F473C3" w:rsidRPr="00F473C3" w:rsidTr="00F473C3">
        <w:trPr>
          <w:cantSplit/>
          <w:trHeight w:val="588"/>
          <w:tblHeader/>
        </w:trPr>
        <w:tc>
          <w:tcPr>
            <w:tcW w:w="2802" w:type="dxa"/>
            <w:shd w:val="clear" w:color="auto" w:fill="auto"/>
          </w:tcPr>
          <w:p w:rsidR="00F473C3" w:rsidRPr="00F473C3" w:rsidRDefault="00F473C3" w:rsidP="0034421B">
            <w:pPr>
              <w:rPr>
                <w:b/>
                <w:szCs w:val="20"/>
              </w:rPr>
            </w:pPr>
            <w:r w:rsidRPr="00F473C3">
              <w:rPr>
                <w:b/>
                <w:szCs w:val="20"/>
              </w:rPr>
              <w:t xml:space="preserve">Patient Touchpoint </w:t>
            </w:r>
          </w:p>
        </w:tc>
        <w:tc>
          <w:tcPr>
            <w:tcW w:w="2309" w:type="dxa"/>
            <w:shd w:val="clear" w:color="auto" w:fill="auto"/>
          </w:tcPr>
          <w:p w:rsidR="00F473C3" w:rsidRPr="00F473C3" w:rsidRDefault="00F473C3" w:rsidP="0034421B">
            <w:pPr>
              <w:rPr>
                <w:b/>
                <w:szCs w:val="20"/>
              </w:rPr>
            </w:pPr>
            <w:r w:rsidRPr="00F473C3">
              <w:rPr>
                <w:b/>
                <w:szCs w:val="20"/>
              </w:rPr>
              <w:t>2018/19</w:t>
            </w:r>
          </w:p>
        </w:tc>
        <w:tc>
          <w:tcPr>
            <w:tcW w:w="2309" w:type="dxa"/>
            <w:shd w:val="clear" w:color="auto" w:fill="auto"/>
          </w:tcPr>
          <w:p w:rsidR="00F473C3" w:rsidRPr="00F473C3" w:rsidRDefault="00F473C3" w:rsidP="0034421B">
            <w:pPr>
              <w:rPr>
                <w:b/>
                <w:szCs w:val="20"/>
              </w:rPr>
            </w:pPr>
            <w:r w:rsidRPr="00F473C3">
              <w:rPr>
                <w:b/>
                <w:szCs w:val="20"/>
              </w:rPr>
              <w:t>April 2019 – February 2020</w:t>
            </w:r>
          </w:p>
        </w:tc>
        <w:tc>
          <w:tcPr>
            <w:tcW w:w="2309" w:type="dxa"/>
            <w:shd w:val="clear" w:color="auto" w:fill="auto"/>
          </w:tcPr>
          <w:p w:rsidR="00F473C3" w:rsidRPr="00F473C3" w:rsidRDefault="00F473C3" w:rsidP="0034421B">
            <w:pPr>
              <w:rPr>
                <w:b/>
                <w:szCs w:val="20"/>
              </w:rPr>
            </w:pPr>
            <w:r w:rsidRPr="00F473C3">
              <w:rPr>
                <w:b/>
                <w:szCs w:val="20"/>
              </w:rPr>
              <w:t>December 2020 – March 2021</w:t>
            </w:r>
          </w:p>
        </w:tc>
      </w:tr>
      <w:tr w:rsidR="00F473C3" w:rsidRPr="00F473C3" w:rsidTr="00F473C3">
        <w:trPr>
          <w:cantSplit/>
          <w:trHeight w:val="404"/>
          <w:tblHeader/>
        </w:trPr>
        <w:tc>
          <w:tcPr>
            <w:tcW w:w="2802" w:type="dxa"/>
          </w:tcPr>
          <w:p w:rsidR="00F473C3" w:rsidRPr="00F473C3" w:rsidRDefault="00F473C3" w:rsidP="00F473C3">
            <w:pPr>
              <w:rPr>
                <w:b/>
                <w:lang w:eastAsia="en-GB"/>
              </w:rPr>
            </w:pPr>
            <w:r w:rsidRPr="00F473C3">
              <w:rPr>
                <w:b/>
                <w:lang w:eastAsia="en-GB"/>
              </w:rPr>
              <w:t>Trust wide</w:t>
            </w:r>
          </w:p>
        </w:tc>
        <w:tc>
          <w:tcPr>
            <w:tcW w:w="2309" w:type="dxa"/>
          </w:tcPr>
          <w:p w:rsidR="00F473C3" w:rsidRPr="00F473C3" w:rsidRDefault="00F473C3" w:rsidP="0034421B">
            <w:pPr>
              <w:rPr>
                <w:color w:val="000000"/>
                <w:szCs w:val="20"/>
              </w:rPr>
            </w:pPr>
            <w:r w:rsidRPr="00F473C3">
              <w:rPr>
                <w:color w:val="000000"/>
                <w:szCs w:val="20"/>
              </w:rPr>
              <w:t>93.60%</w:t>
            </w:r>
          </w:p>
        </w:tc>
        <w:tc>
          <w:tcPr>
            <w:tcW w:w="2309" w:type="dxa"/>
          </w:tcPr>
          <w:p w:rsidR="00F473C3" w:rsidRPr="00F473C3" w:rsidRDefault="00F473C3" w:rsidP="0034421B">
            <w:pPr>
              <w:rPr>
                <w:color w:val="000000"/>
                <w:szCs w:val="20"/>
              </w:rPr>
            </w:pPr>
            <w:r w:rsidRPr="00F473C3">
              <w:rPr>
                <w:color w:val="000000"/>
                <w:szCs w:val="20"/>
              </w:rPr>
              <w:t>92.91%</w:t>
            </w:r>
          </w:p>
        </w:tc>
        <w:tc>
          <w:tcPr>
            <w:tcW w:w="2309" w:type="dxa"/>
          </w:tcPr>
          <w:p w:rsidR="00F473C3" w:rsidRPr="00F473C3" w:rsidRDefault="00F473C3" w:rsidP="0034421B">
            <w:pPr>
              <w:rPr>
                <w:color w:val="000000"/>
                <w:szCs w:val="20"/>
              </w:rPr>
            </w:pPr>
            <w:r w:rsidRPr="00F473C3">
              <w:rPr>
                <w:color w:val="000000"/>
                <w:szCs w:val="20"/>
              </w:rPr>
              <w:t>92.00%</w:t>
            </w:r>
          </w:p>
        </w:tc>
      </w:tr>
      <w:tr w:rsidR="00F473C3" w:rsidRPr="00F473C3" w:rsidTr="00F473C3">
        <w:trPr>
          <w:cantSplit/>
          <w:trHeight w:val="297"/>
          <w:tblHeader/>
        </w:trPr>
        <w:tc>
          <w:tcPr>
            <w:tcW w:w="2802" w:type="dxa"/>
          </w:tcPr>
          <w:p w:rsidR="00F473C3" w:rsidRPr="00F473C3" w:rsidRDefault="00F473C3" w:rsidP="00F473C3">
            <w:pPr>
              <w:rPr>
                <w:b/>
                <w:lang w:eastAsia="en-GB"/>
              </w:rPr>
            </w:pPr>
            <w:r w:rsidRPr="00F473C3">
              <w:rPr>
                <w:b/>
                <w:lang w:eastAsia="en-GB"/>
              </w:rPr>
              <w:t>A&amp;E</w:t>
            </w:r>
          </w:p>
        </w:tc>
        <w:tc>
          <w:tcPr>
            <w:tcW w:w="2309" w:type="dxa"/>
          </w:tcPr>
          <w:p w:rsidR="00F473C3" w:rsidRPr="00F473C3" w:rsidRDefault="00F473C3" w:rsidP="0034421B">
            <w:pPr>
              <w:rPr>
                <w:color w:val="000000"/>
                <w:szCs w:val="20"/>
              </w:rPr>
            </w:pPr>
            <w:r w:rsidRPr="00F473C3">
              <w:rPr>
                <w:color w:val="000000"/>
                <w:szCs w:val="20"/>
              </w:rPr>
              <w:t>89.40%</w:t>
            </w:r>
          </w:p>
        </w:tc>
        <w:tc>
          <w:tcPr>
            <w:tcW w:w="2309" w:type="dxa"/>
          </w:tcPr>
          <w:p w:rsidR="00F473C3" w:rsidRPr="00F473C3" w:rsidRDefault="00F473C3" w:rsidP="0034421B">
            <w:pPr>
              <w:rPr>
                <w:color w:val="000000"/>
                <w:szCs w:val="20"/>
              </w:rPr>
            </w:pPr>
            <w:r w:rsidRPr="00F473C3">
              <w:rPr>
                <w:color w:val="000000"/>
                <w:szCs w:val="20"/>
              </w:rPr>
              <w:t>88.10%</w:t>
            </w:r>
          </w:p>
        </w:tc>
        <w:tc>
          <w:tcPr>
            <w:tcW w:w="2309" w:type="dxa"/>
          </w:tcPr>
          <w:p w:rsidR="00F473C3" w:rsidRPr="00F473C3" w:rsidRDefault="00F473C3" w:rsidP="0034421B">
            <w:pPr>
              <w:rPr>
                <w:color w:val="000000"/>
                <w:szCs w:val="20"/>
              </w:rPr>
            </w:pPr>
            <w:r w:rsidRPr="00F473C3">
              <w:rPr>
                <w:color w:val="000000"/>
                <w:szCs w:val="20"/>
              </w:rPr>
              <w:t>88.20%</w:t>
            </w:r>
          </w:p>
        </w:tc>
      </w:tr>
      <w:tr w:rsidR="00F473C3" w:rsidRPr="00F473C3" w:rsidTr="00F473C3">
        <w:trPr>
          <w:cantSplit/>
          <w:trHeight w:val="259"/>
          <w:tblHeader/>
        </w:trPr>
        <w:tc>
          <w:tcPr>
            <w:tcW w:w="2802" w:type="dxa"/>
          </w:tcPr>
          <w:p w:rsidR="00F473C3" w:rsidRPr="00F473C3" w:rsidRDefault="00F473C3" w:rsidP="00F473C3">
            <w:pPr>
              <w:rPr>
                <w:b/>
                <w:lang w:eastAsia="en-GB"/>
              </w:rPr>
            </w:pPr>
            <w:r w:rsidRPr="00F473C3">
              <w:rPr>
                <w:b/>
                <w:lang w:eastAsia="en-GB"/>
              </w:rPr>
              <w:t>Maternity/Birth</w:t>
            </w:r>
          </w:p>
        </w:tc>
        <w:tc>
          <w:tcPr>
            <w:tcW w:w="2309" w:type="dxa"/>
          </w:tcPr>
          <w:p w:rsidR="00F473C3" w:rsidRPr="00F473C3" w:rsidRDefault="00F473C3" w:rsidP="0034421B">
            <w:pPr>
              <w:rPr>
                <w:color w:val="000000"/>
                <w:szCs w:val="20"/>
              </w:rPr>
            </w:pPr>
            <w:r w:rsidRPr="00F473C3">
              <w:rPr>
                <w:color w:val="000000"/>
                <w:szCs w:val="20"/>
              </w:rPr>
              <w:t>97.80%</w:t>
            </w:r>
          </w:p>
        </w:tc>
        <w:tc>
          <w:tcPr>
            <w:tcW w:w="2309" w:type="dxa"/>
          </w:tcPr>
          <w:p w:rsidR="00F473C3" w:rsidRPr="00F473C3" w:rsidRDefault="00F473C3" w:rsidP="0034421B">
            <w:pPr>
              <w:rPr>
                <w:color w:val="000000"/>
                <w:szCs w:val="20"/>
              </w:rPr>
            </w:pPr>
            <w:r w:rsidRPr="00F473C3">
              <w:rPr>
                <w:color w:val="000000"/>
                <w:szCs w:val="20"/>
              </w:rPr>
              <w:t>95.70%</w:t>
            </w:r>
          </w:p>
        </w:tc>
        <w:tc>
          <w:tcPr>
            <w:tcW w:w="2309" w:type="dxa"/>
          </w:tcPr>
          <w:p w:rsidR="00F473C3" w:rsidRPr="00F473C3" w:rsidRDefault="00F473C3" w:rsidP="0034421B">
            <w:pPr>
              <w:rPr>
                <w:color w:val="000000"/>
                <w:szCs w:val="20"/>
              </w:rPr>
            </w:pPr>
            <w:r w:rsidRPr="00F473C3">
              <w:rPr>
                <w:color w:val="000000"/>
                <w:szCs w:val="20"/>
              </w:rPr>
              <w:t>94.60%</w:t>
            </w:r>
          </w:p>
        </w:tc>
      </w:tr>
      <w:tr w:rsidR="00F473C3" w:rsidRPr="00F473C3" w:rsidTr="00F473C3">
        <w:trPr>
          <w:cantSplit/>
          <w:trHeight w:val="409"/>
          <w:tblHeader/>
        </w:trPr>
        <w:tc>
          <w:tcPr>
            <w:tcW w:w="2802" w:type="dxa"/>
          </w:tcPr>
          <w:p w:rsidR="00F473C3" w:rsidRPr="00F473C3" w:rsidRDefault="00F473C3" w:rsidP="00F473C3">
            <w:pPr>
              <w:rPr>
                <w:b/>
                <w:lang w:eastAsia="en-GB"/>
              </w:rPr>
            </w:pPr>
            <w:r w:rsidRPr="00F473C3">
              <w:rPr>
                <w:b/>
                <w:lang w:eastAsia="en-GB"/>
              </w:rPr>
              <w:t>Inpatient &amp; Day Case</w:t>
            </w:r>
          </w:p>
        </w:tc>
        <w:tc>
          <w:tcPr>
            <w:tcW w:w="2309" w:type="dxa"/>
          </w:tcPr>
          <w:p w:rsidR="00F473C3" w:rsidRPr="00F473C3" w:rsidRDefault="00F473C3" w:rsidP="0034421B">
            <w:pPr>
              <w:rPr>
                <w:color w:val="000000"/>
                <w:szCs w:val="20"/>
              </w:rPr>
            </w:pPr>
            <w:r w:rsidRPr="00F473C3">
              <w:rPr>
                <w:color w:val="000000"/>
                <w:szCs w:val="20"/>
              </w:rPr>
              <w:t>93.30%</w:t>
            </w:r>
          </w:p>
        </w:tc>
        <w:tc>
          <w:tcPr>
            <w:tcW w:w="2309" w:type="dxa"/>
          </w:tcPr>
          <w:p w:rsidR="00F473C3" w:rsidRPr="00F473C3" w:rsidRDefault="00F473C3" w:rsidP="0034421B">
            <w:pPr>
              <w:rPr>
                <w:color w:val="000000"/>
                <w:szCs w:val="20"/>
              </w:rPr>
            </w:pPr>
            <w:r w:rsidRPr="00F473C3">
              <w:rPr>
                <w:color w:val="000000"/>
                <w:szCs w:val="20"/>
              </w:rPr>
              <w:t>93.83%</w:t>
            </w:r>
          </w:p>
        </w:tc>
        <w:tc>
          <w:tcPr>
            <w:tcW w:w="2309" w:type="dxa"/>
          </w:tcPr>
          <w:p w:rsidR="00F473C3" w:rsidRPr="00F473C3" w:rsidRDefault="00F473C3" w:rsidP="0034421B">
            <w:pPr>
              <w:rPr>
                <w:color w:val="000000"/>
                <w:szCs w:val="20"/>
              </w:rPr>
            </w:pPr>
            <w:r w:rsidRPr="00F473C3">
              <w:rPr>
                <w:color w:val="000000"/>
                <w:szCs w:val="20"/>
              </w:rPr>
              <w:t>93.10%</w:t>
            </w:r>
          </w:p>
        </w:tc>
      </w:tr>
      <w:tr w:rsidR="00F473C3" w:rsidRPr="00F473C3" w:rsidTr="00F473C3">
        <w:trPr>
          <w:cantSplit/>
          <w:trHeight w:val="287"/>
          <w:tblHeader/>
        </w:trPr>
        <w:tc>
          <w:tcPr>
            <w:tcW w:w="2802" w:type="dxa"/>
          </w:tcPr>
          <w:p w:rsidR="00F473C3" w:rsidRPr="00F473C3" w:rsidRDefault="00F473C3" w:rsidP="00F473C3">
            <w:pPr>
              <w:rPr>
                <w:b/>
                <w:szCs w:val="20"/>
                <w:lang w:eastAsia="en-GB"/>
              </w:rPr>
            </w:pPr>
            <w:r w:rsidRPr="00F473C3">
              <w:rPr>
                <w:b/>
                <w:szCs w:val="20"/>
                <w:lang w:eastAsia="en-GB"/>
              </w:rPr>
              <w:t>Outpatient</w:t>
            </w:r>
          </w:p>
        </w:tc>
        <w:tc>
          <w:tcPr>
            <w:tcW w:w="2309" w:type="dxa"/>
          </w:tcPr>
          <w:p w:rsidR="00F473C3" w:rsidRPr="00F473C3" w:rsidRDefault="00F473C3" w:rsidP="0034421B">
            <w:pPr>
              <w:rPr>
                <w:color w:val="000000"/>
                <w:szCs w:val="20"/>
              </w:rPr>
            </w:pPr>
            <w:r w:rsidRPr="00F473C3">
              <w:rPr>
                <w:color w:val="000000"/>
                <w:szCs w:val="20"/>
              </w:rPr>
              <w:t>93.90%</w:t>
            </w:r>
          </w:p>
        </w:tc>
        <w:tc>
          <w:tcPr>
            <w:tcW w:w="2309" w:type="dxa"/>
          </w:tcPr>
          <w:p w:rsidR="00F473C3" w:rsidRPr="00F473C3" w:rsidRDefault="00F473C3" w:rsidP="0034421B">
            <w:pPr>
              <w:rPr>
                <w:color w:val="000000"/>
                <w:szCs w:val="20"/>
              </w:rPr>
            </w:pPr>
            <w:r w:rsidRPr="00F473C3">
              <w:rPr>
                <w:color w:val="000000"/>
                <w:szCs w:val="20"/>
              </w:rPr>
              <w:t>94.00%</w:t>
            </w:r>
          </w:p>
        </w:tc>
        <w:tc>
          <w:tcPr>
            <w:tcW w:w="2309" w:type="dxa"/>
          </w:tcPr>
          <w:p w:rsidR="00F473C3" w:rsidRPr="00F473C3" w:rsidRDefault="00F473C3" w:rsidP="0034421B">
            <w:pPr>
              <w:rPr>
                <w:color w:val="000000"/>
                <w:szCs w:val="20"/>
              </w:rPr>
            </w:pPr>
            <w:r w:rsidRPr="00F473C3">
              <w:rPr>
                <w:color w:val="000000"/>
                <w:szCs w:val="20"/>
              </w:rPr>
              <w:t>93.60%</w:t>
            </w:r>
          </w:p>
        </w:tc>
      </w:tr>
    </w:tbl>
    <w:p w:rsidR="00F473C3" w:rsidRDefault="00F473C3" w:rsidP="00F473C3"/>
    <w:p w:rsidR="00F473C3" w:rsidRDefault="00F473C3" w:rsidP="00F473C3">
      <w:pPr>
        <w:rPr>
          <w:b/>
        </w:rPr>
      </w:pPr>
      <w:r w:rsidRPr="00F473C3">
        <w:rPr>
          <w:b/>
        </w:rPr>
        <w:t>WSHT</w:t>
      </w:r>
    </w:p>
    <w:tbl>
      <w:tblPr>
        <w:tblStyle w:val="TableGrid"/>
        <w:tblW w:w="8995" w:type="dxa"/>
        <w:jc w:val="center"/>
        <w:tblLayout w:type="fixed"/>
        <w:tblLook w:val="04A0" w:firstRow="1" w:lastRow="0" w:firstColumn="1" w:lastColumn="0" w:noHBand="0" w:noVBand="1"/>
        <w:tblCaption w:val="WSHT Breakdown of FFT Scores"/>
      </w:tblPr>
      <w:tblGrid>
        <w:gridCol w:w="3261"/>
        <w:gridCol w:w="3105"/>
        <w:gridCol w:w="1232"/>
        <w:gridCol w:w="1397"/>
      </w:tblGrid>
      <w:tr w:rsidR="00F473C3" w:rsidRPr="00F473C3" w:rsidTr="00F473C3">
        <w:trPr>
          <w:cantSplit/>
          <w:trHeight w:val="818"/>
          <w:tblHeader/>
          <w:jc w:val="center"/>
        </w:trPr>
        <w:tc>
          <w:tcPr>
            <w:tcW w:w="3261" w:type="dxa"/>
            <w:shd w:val="clear" w:color="auto" w:fill="auto"/>
          </w:tcPr>
          <w:p w:rsidR="00F473C3" w:rsidRPr="00F473C3" w:rsidRDefault="00F473C3" w:rsidP="00F473C3">
            <w:pPr>
              <w:rPr>
                <w:rFonts w:eastAsia="Calibri"/>
                <w:b/>
                <w:szCs w:val="20"/>
              </w:rPr>
            </w:pPr>
            <w:r w:rsidRPr="00F473C3">
              <w:rPr>
                <w:rFonts w:eastAsia="Calibri"/>
                <w:b/>
                <w:szCs w:val="20"/>
              </w:rPr>
              <w:t>Patient Touchpoint</w:t>
            </w:r>
          </w:p>
        </w:tc>
        <w:tc>
          <w:tcPr>
            <w:tcW w:w="3105" w:type="dxa"/>
            <w:shd w:val="clear" w:color="auto" w:fill="auto"/>
          </w:tcPr>
          <w:p w:rsidR="00F473C3" w:rsidRPr="00F473C3" w:rsidRDefault="00F473C3" w:rsidP="00F473C3">
            <w:pPr>
              <w:rPr>
                <w:rFonts w:eastAsia="Calibri"/>
                <w:b/>
                <w:szCs w:val="20"/>
              </w:rPr>
            </w:pPr>
            <w:r w:rsidRPr="00F473C3">
              <w:rPr>
                <w:rFonts w:eastAsia="Calibri"/>
                <w:b/>
                <w:szCs w:val="20"/>
              </w:rPr>
              <w:t>2020/2021</w:t>
            </w:r>
          </w:p>
          <w:p w:rsidR="00F473C3" w:rsidRPr="00F473C3" w:rsidRDefault="00F473C3" w:rsidP="00F473C3">
            <w:pPr>
              <w:rPr>
                <w:rFonts w:eastAsia="Calibri"/>
                <w:b/>
                <w:szCs w:val="20"/>
              </w:rPr>
            </w:pPr>
            <w:r w:rsidRPr="00F473C3">
              <w:rPr>
                <w:rFonts w:eastAsia="Calibri"/>
                <w:b/>
                <w:szCs w:val="20"/>
              </w:rPr>
              <w:t xml:space="preserve">Data December 2020 to March 2021 </w:t>
            </w:r>
          </w:p>
        </w:tc>
        <w:tc>
          <w:tcPr>
            <w:tcW w:w="1232" w:type="dxa"/>
            <w:shd w:val="clear" w:color="auto" w:fill="auto"/>
          </w:tcPr>
          <w:p w:rsidR="00F473C3" w:rsidRPr="00F473C3" w:rsidRDefault="00F473C3" w:rsidP="00F473C3">
            <w:pPr>
              <w:rPr>
                <w:rFonts w:eastAsia="Calibri"/>
                <w:b/>
                <w:szCs w:val="20"/>
              </w:rPr>
            </w:pPr>
            <w:r w:rsidRPr="00F473C3">
              <w:rPr>
                <w:rFonts w:eastAsia="Calibri"/>
                <w:b/>
                <w:szCs w:val="20"/>
              </w:rPr>
              <w:t>2019/20</w:t>
            </w:r>
          </w:p>
        </w:tc>
        <w:tc>
          <w:tcPr>
            <w:tcW w:w="1397" w:type="dxa"/>
            <w:shd w:val="clear" w:color="auto" w:fill="auto"/>
          </w:tcPr>
          <w:p w:rsidR="00F473C3" w:rsidRPr="00F473C3" w:rsidRDefault="00F473C3" w:rsidP="00F473C3">
            <w:pPr>
              <w:rPr>
                <w:rFonts w:eastAsia="Calibri"/>
                <w:b/>
                <w:szCs w:val="20"/>
              </w:rPr>
            </w:pPr>
            <w:r w:rsidRPr="00F473C3">
              <w:rPr>
                <w:rFonts w:eastAsia="Calibri"/>
                <w:b/>
                <w:szCs w:val="20"/>
              </w:rPr>
              <w:t>2018/19</w:t>
            </w:r>
          </w:p>
        </w:tc>
      </w:tr>
      <w:tr w:rsidR="00F473C3" w:rsidRPr="00F473C3" w:rsidTr="00F473C3">
        <w:trPr>
          <w:cantSplit/>
          <w:tblHeader/>
          <w:jc w:val="center"/>
        </w:trPr>
        <w:tc>
          <w:tcPr>
            <w:tcW w:w="3261" w:type="dxa"/>
          </w:tcPr>
          <w:p w:rsidR="00F473C3" w:rsidRPr="00F473C3" w:rsidRDefault="00F473C3" w:rsidP="0034421B">
            <w:pPr>
              <w:rPr>
                <w:rFonts w:eastAsia="Calibri"/>
                <w:b/>
                <w:szCs w:val="20"/>
              </w:rPr>
            </w:pPr>
            <w:r w:rsidRPr="00F473C3">
              <w:rPr>
                <w:rFonts w:eastAsia="Calibri"/>
                <w:b/>
                <w:szCs w:val="20"/>
              </w:rPr>
              <w:t>Overall Trustwide</w:t>
            </w:r>
          </w:p>
        </w:tc>
        <w:tc>
          <w:tcPr>
            <w:tcW w:w="3105" w:type="dxa"/>
          </w:tcPr>
          <w:p w:rsidR="00F473C3" w:rsidRPr="00F473C3" w:rsidRDefault="00F473C3" w:rsidP="00F473C3">
            <w:pPr>
              <w:rPr>
                <w:rFonts w:eastAsia="Calibri"/>
                <w:szCs w:val="20"/>
              </w:rPr>
            </w:pPr>
            <w:r w:rsidRPr="00F473C3">
              <w:rPr>
                <w:rFonts w:eastAsia="Calibri"/>
                <w:szCs w:val="20"/>
              </w:rPr>
              <w:t>93%</w:t>
            </w:r>
          </w:p>
        </w:tc>
        <w:tc>
          <w:tcPr>
            <w:tcW w:w="1232" w:type="dxa"/>
          </w:tcPr>
          <w:p w:rsidR="00F473C3" w:rsidRPr="00F473C3" w:rsidRDefault="00F473C3" w:rsidP="00F473C3">
            <w:pPr>
              <w:rPr>
                <w:rFonts w:eastAsia="Calibri"/>
                <w:szCs w:val="20"/>
              </w:rPr>
            </w:pPr>
            <w:r w:rsidRPr="00F473C3">
              <w:rPr>
                <w:rFonts w:eastAsia="Calibri"/>
                <w:szCs w:val="20"/>
              </w:rPr>
              <w:t>95.77%</w:t>
            </w:r>
          </w:p>
        </w:tc>
        <w:tc>
          <w:tcPr>
            <w:tcW w:w="1397" w:type="dxa"/>
          </w:tcPr>
          <w:p w:rsidR="00F473C3" w:rsidRPr="00F473C3" w:rsidRDefault="00F473C3" w:rsidP="00F473C3">
            <w:pPr>
              <w:rPr>
                <w:rFonts w:eastAsia="Calibri"/>
                <w:szCs w:val="20"/>
              </w:rPr>
            </w:pPr>
            <w:r w:rsidRPr="00F473C3">
              <w:rPr>
                <w:rFonts w:eastAsia="Calibri"/>
                <w:szCs w:val="20"/>
              </w:rPr>
              <w:t>96.65%</w:t>
            </w:r>
          </w:p>
        </w:tc>
      </w:tr>
      <w:tr w:rsidR="00F473C3" w:rsidRPr="00F473C3" w:rsidTr="00F473C3">
        <w:trPr>
          <w:cantSplit/>
          <w:tblHeader/>
          <w:jc w:val="center"/>
        </w:trPr>
        <w:tc>
          <w:tcPr>
            <w:tcW w:w="3261" w:type="dxa"/>
          </w:tcPr>
          <w:p w:rsidR="00F473C3" w:rsidRPr="00F473C3" w:rsidRDefault="00F473C3" w:rsidP="0034421B">
            <w:pPr>
              <w:rPr>
                <w:rFonts w:eastAsia="Calibri"/>
                <w:b/>
                <w:szCs w:val="20"/>
              </w:rPr>
            </w:pPr>
            <w:r w:rsidRPr="00F473C3">
              <w:rPr>
                <w:rFonts w:eastAsia="Calibri"/>
                <w:b/>
                <w:szCs w:val="20"/>
              </w:rPr>
              <w:t>A&amp;E</w:t>
            </w:r>
          </w:p>
        </w:tc>
        <w:tc>
          <w:tcPr>
            <w:tcW w:w="3105" w:type="dxa"/>
          </w:tcPr>
          <w:p w:rsidR="00F473C3" w:rsidRPr="00F473C3" w:rsidRDefault="00F473C3" w:rsidP="00F473C3">
            <w:pPr>
              <w:rPr>
                <w:rFonts w:eastAsia="Calibri"/>
                <w:szCs w:val="20"/>
              </w:rPr>
            </w:pPr>
            <w:r w:rsidRPr="00F473C3">
              <w:rPr>
                <w:rFonts w:eastAsia="Calibri"/>
                <w:szCs w:val="20"/>
              </w:rPr>
              <w:t>90%</w:t>
            </w:r>
          </w:p>
        </w:tc>
        <w:tc>
          <w:tcPr>
            <w:tcW w:w="1232" w:type="dxa"/>
          </w:tcPr>
          <w:p w:rsidR="00F473C3" w:rsidRPr="00F473C3" w:rsidRDefault="00F473C3" w:rsidP="00F473C3">
            <w:pPr>
              <w:rPr>
                <w:rFonts w:eastAsia="Calibri"/>
                <w:szCs w:val="20"/>
              </w:rPr>
            </w:pPr>
            <w:r w:rsidRPr="00F473C3">
              <w:rPr>
                <w:rFonts w:eastAsia="Calibri"/>
                <w:szCs w:val="20"/>
              </w:rPr>
              <w:t>93.2%</w:t>
            </w:r>
          </w:p>
        </w:tc>
        <w:tc>
          <w:tcPr>
            <w:tcW w:w="1397" w:type="dxa"/>
          </w:tcPr>
          <w:p w:rsidR="00F473C3" w:rsidRPr="00F473C3" w:rsidRDefault="00F473C3" w:rsidP="00F473C3">
            <w:pPr>
              <w:rPr>
                <w:rFonts w:eastAsia="Calibri"/>
                <w:szCs w:val="20"/>
              </w:rPr>
            </w:pPr>
            <w:r w:rsidRPr="00F473C3">
              <w:rPr>
                <w:rFonts w:eastAsia="Calibri"/>
                <w:szCs w:val="20"/>
              </w:rPr>
              <w:t>95.2%</w:t>
            </w:r>
          </w:p>
        </w:tc>
      </w:tr>
      <w:tr w:rsidR="00F473C3" w:rsidRPr="00F473C3" w:rsidTr="00F473C3">
        <w:trPr>
          <w:cantSplit/>
          <w:trHeight w:val="197"/>
          <w:tblHeader/>
          <w:jc w:val="center"/>
        </w:trPr>
        <w:tc>
          <w:tcPr>
            <w:tcW w:w="3261" w:type="dxa"/>
          </w:tcPr>
          <w:p w:rsidR="00F473C3" w:rsidRPr="00F473C3" w:rsidRDefault="00F473C3" w:rsidP="0034421B">
            <w:pPr>
              <w:rPr>
                <w:rFonts w:eastAsia="Calibri"/>
                <w:b/>
                <w:szCs w:val="20"/>
              </w:rPr>
            </w:pPr>
            <w:r w:rsidRPr="00F473C3">
              <w:rPr>
                <w:rFonts w:eastAsia="Calibri"/>
                <w:b/>
                <w:szCs w:val="20"/>
              </w:rPr>
              <w:t>Maternity/Birth</w:t>
            </w:r>
          </w:p>
        </w:tc>
        <w:tc>
          <w:tcPr>
            <w:tcW w:w="3105" w:type="dxa"/>
          </w:tcPr>
          <w:p w:rsidR="00F473C3" w:rsidRPr="00F473C3" w:rsidRDefault="00F473C3" w:rsidP="00F473C3">
            <w:pPr>
              <w:rPr>
                <w:rFonts w:eastAsia="Calibri"/>
                <w:szCs w:val="20"/>
              </w:rPr>
            </w:pPr>
            <w:r w:rsidRPr="00F473C3">
              <w:rPr>
                <w:rFonts w:eastAsia="Calibri"/>
                <w:szCs w:val="20"/>
              </w:rPr>
              <w:t>96%</w:t>
            </w:r>
          </w:p>
        </w:tc>
        <w:tc>
          <w:tcPr>
            <w:tcW w:w="1232" w:type="dxa"/>
          </w:tcPr>
          <w:p w:rsidR="00F473C3" w:rsidRPr="00F473C3" w:rsidRDefault="00F473C3" w:rsidP="00F473C3">
            <w:pPr>
              <w:rPr>
                <w:rFonts w:eastAsia="Calibri"/>
                <w:szCs w:val="20"/>
              </w:rPr>
            </w:pPr>
            <w:r w:rsidRPr="00F473C3">
              <w:rPr>
                <w:rFonts w:eastAsia="Calibri"/>
                <w:szCs w:val="20"/>
              </w:rPr>
              <w:t>97.9%</w:t>
            </w:r>
          </w:p>
        </w:tc>
        <w:tc>
          <w:tcPr>
            <w:tcW w:w="1397" w:type="dxa"/>
          </w:tcPr>
          <w:p w:rsidR="00F473C3" w:rsidRPr="00F473C3" w:rsidRDefault="00F473C3" w:rsidP="00F473C3">
            <w:pPr>
              <w:rPr>
                <w:rFonts w:eastAsia="Calibri"/>
                <w:szCs w:val="20"/>
              </w:rPr>
            </w:pPr>
            <w:r w:rsidRPr="00F473C3">
              <w:rPr>
                <w:rFonts w:eastAsia="Calibri"/>
                <w:szCs w:val="20"/>
              </w:rPr>
              <w:t>97.3%</w:t>
            </w:r>
          </w:p>
        </w:tc>
      </w:tr>
      <w:tr w:rsidR="00F473C3" w:rsidRPr="00F473C3" w:rsidTr="00F473C3">
        <w:trPr>
          <w:cantSplit/>
          <w:trHeight w:val="224"/>
          <w:tblHeader/>
          <w:jc w:val="center"/>
        </w:trPr>
        <w:tc>
          <w:tcPr>
            <w:tcW w:w="3261" w:type="dxa"/>
          </w:tcPr>
          <w:p w:rsidR="00F473C3" w:rsidRPr="00F473C3" w:rsidRDefault="00F473C3" w:rsidP="0034421B">
            <w:pPr>
              <w:rPr>
                <w:rFonts w:eastAsia="Calibri"/>
                <w:b/>
                <w:szCs w:val="20"/>
              </w:rPr>
            </w:pPr>
            <w:r w:rsidRPr="00F473C3">
              <w:rPr>
                <w:rFonts w:eastAsia="Calibri"/>
                <w:b/>
                <w:szCs w:val="20"/>
              </w:rPr>
              <w:t>Inpatient &amp; Day Case</w:t>
            </w:r>
          </w:p>
        </w:tc>
        <w:tc>
          <w:tcPr>
            <w:tcW w:w="3105" w:type="dxa"/>
          </w:tcPr>
          <w:p w:rsidR="00F473C3" w:rsidRPr="00F473C3" w:rsidRDefault="00F473C3" w:rsidP="00F473C3">
            <w:pPr>
              <w:rPr>
                <w:rFonts w:eastAsia="Calibri"/>
                <w:szCs w:val="20"/>
              </w:rPr>
            </w:pPr>
            <w:r w:rsidRPr="00F473C3">
              <w:rPr>
                <w:rFonts w:eastAsia="Calibri"/>
                <w:szCs w:val="20"/>
              </w:rPr>
              <w:t>97%</w:t>
            </w:r>
          </w:p>
        </w:tc>
        <w:tc>
          <w:tcPr>
            <w:tcW w:w="1232" w:type="dxa"/>
          </w:tcPr>
          <w:p w:rsidR="00F473C3" w:rsidRPr="00F473C3" w:rsidRDefault="00F473C3" w:rsidP="00F473C3">
            <w:pPr>
              <w:rPr>
                <w:rFonts w:eastAsia="Calibri"/>
                <w:szCs w:val="20"/>
              </w:rPr>
            </w:pPr>
            <w:r w:rsidRPr="00F473C3">
              <w:rPr>
                <w:rFonts w:eastAsia="Calibri"/>
                <w:szCs w:val="20"/>
              </w:rPr>
              <w:t>97.2%</w:t>
            </w:r>
          </w:p>
        </w:tc>
        <w:tc>
          <w:tcPr>
            <w:tcW w:w="1397" w:type="dxa"/>
          </w:tcPr>
          <w:p w:rsidR="00F473C3" w:rsidRPr="00F473C3" w:rsidRDefault="00F473C3" w:rsidP="00F473C3">
            <w:pPr>
              <w:rPr>
                <w:rFonts w:eastAsia="Calibri"/>
                <w:szCs w:val="20"/>
              </w:rPr>
            </w:pPr>
            <w:r w:rsidRPr="00F473C3">
              <w:rPr>
                <w:rFonts w:eastAsia="Calibri"/>
                <w:szCs w:val="20"/>
              </w:rPr>
              <w:t>97.3%</w:t>
            </w:r>
          </w:p>
        </w:tc>
      </w:tr>
      <w:tr w:rsidR="00F473C3" w:rsidRPr="00F473C3" w:rsidTr="00F473C3">
        <w:trPr>
          <w:cantSplit/>
          <w:tblHeader/>
          <w:jc w:val="center"/>
        </w:trPr>
        <w:tc>
          <w:tcPr>
            <w:tcW w:w="3261" w:type="dxa"/>
          </w:tcPr>
          <w:p w:rsidR="00F473C3" w:rsidRPr="00F473C3" w:rsidRDefault="00F473C3" w:rsidP="0034421B">
            <w:pPr>
              <w:rPr>
                <w:rFonts w:eastAsia="Calibri"/>
                <w:b/>
                <w:szCs w:val="20"/>
              </w:rPr>
            </w:pPr>
            <w:r w:rsidRPr="00F473C3">
              <w:rPr>
                <w:rFonts w:eastAsia="Calibri"/>
                <w:b/>
                <w:szCs w:val="20"/>
              </w:rPr>
              <w:t>Outpatient</w:t>
            </w:r>
          </w:p>
        </w:tc>
        <w:tc>
          <w:tcPr>
            <w:tcW w:w="3105" w:type="dxa"/>
          </w:tcPr>
          <w:p w:rsidR="00F473C3" w:rsidRPr="00F473C3" w:rsidRDefault="00F473C3" w:rsidP="00F473C3">
            <w:pPr>
              <w:rPr>
                <w:rFonts w:eastAsia="Calibri"/>
                <w:szCs w:val="20"/>
              </w:rPr>
            </w:pPr>
            <w:r w:rsidRPr="00F473C3">
              <w:rPr>
                <w:rFonts w:eastAsia="Calibri"/>
                <w:szCs w:val="20"/>
              </w:rPr>
              <w:t>98%</w:t>
            </w:r>
          </w:p>
        </w:tc>
        <w:tc>
          <w:tcPr>
            <w:tcW w:w="1232" w:type="dxa"/>
          </w:tcPr>
          <w:p w:rsidR="00F473C3" w:rsidRPr="00F473C3" w:rsidRDefault="00F473C3" w:rsidP="00F473C3">
            <w:pPr>
              <w:rPr>
                <w:rFonts w:eastAsia="Calibri"/>
                <w:szCs w:val="20"/>
              </w:rPr>
            </w:pPr>
            <w:r w:rsidRPr="00F473C3">
              <w:rPr>
                <w:rFonts w:eastAsia="Calibri"/>
                <w:szCs w:val="20"/>
              </w:rPr>
              <w:t>97.3%</w:t>
            </w:r>
          </w:p>
        </w:tc>
        <w:tc>
          <w:tcPr>
            <w:tcW w:w="1397" w:type="dxa"/>
          </w:tcPr>
          <w:p w:rsidR="00F473C3" w:rsidRPr="00F473C3" w:rsidRDefault="00F473C3" w:rsidP="00F473C3">
            <w:pPr>
              <w:rPr>
                <w:rFonts w:eastAsia="Calibri"/>
                <w:szCs w:val="20"/>
              </w:rPr>
            </w:pPr>
            <w:r w:rsidRPr="00F473C3">
              <w:rPr>
                <w:rFonts w:eastAsia="Calibri"/>
                <w:szCs w:val="20"/>
              </w:rPr>
              <w:t>96.8%</w:t>
            </w:r>
          </w:p>
        </w:tc>
      </w:tr>
    </w:tbl>
    <w:p w:rsidR="00F473C3" w:rsidRDefault="00F473C3" w:rsidP="00F473C3">
      <w:pPr>
        <w:rPr>
          <w:b/>
        </w:rPr>
      </w:pPr>
    </w:p>
    <w:p w:rsidR="00F473C3" w:rsidRDefault="00F473C3" w:rsidP="00F473C3">
      <w:pPr>
        <w:rPr>
          <w:b/>
        </w:rPr>
      </w:pPr>
      <w:r>
        <w:rPr>
          <w:b/>
        </w:rPr>
        <w:t>Breakdown of FFT by:</w:t>
      </w:r>
    </w:p>
    <w:p w:rsidR="00F473C3" w:rsidRDefault="00F473C3" w:rsidP="00F473C3">
      <w:pPr>
        <w:pStyle w:val="Heading3"/>
      </w:pPr>
      <w:bookmarkStart w:id="89" w:name="_Toc88634035"/>
      <w:r>
        <w:t>Age</w:t>
      </w:r>
      <w:bookmarkEnd w:id="89"/>
    </w:p>
    <w:tbl>
      <w:tblPr>
        <w:tblW w:w="9371" w:type="dxa"/>
        <w:tblInd w:w="93" w:type="dxa"/>
        <w:tblLook w:val="04A0" w:firstRow="1" w:lastRow="0" w:firstColumn="1" w:lastColumn="0" w:noHBand="0" w:noVBand="1"/>
        <w:tblCaption w:val="Breakdown of FFT by Age"/>
      </w:tblPr>
      <w:tblGrid>
        <w:gridCol w:w="2560"/>
        <w:gridCol w:w="1991"/>
        <w:gridCol w:w="2240"/>
        <w:gridCol w:w="2580"/>
      </w:tblGrid>
      <w:tr w:rsidR="00F473C3" w:rsidRPr="00F473C3" w:rsidTr="00F473C3">
        <w:trPr>
          <w:cantSplit/>
          <w:trHeight w:val="288"/>
          <w:tblHeader/>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bCs/>
                <w:szCs w:val="24"/>
                <w:lang w:eastAsia="en-GB"/>
              </w:rPr>
            </w:pPr>
            <w:r w:rsidRPr="00F473C3">
              <w:rPr>
                <w:rFonts w:eastAsia="Times New Roman"/>
                <w:b/>
                <w:bCs/>
                <w:szCs w:val="24"/>
                <w:lang w:eastAsia="en-GB"/>
              </w:rPr>
              <w:t>Age</w:t>
            </w:r>
          </w:p>
        </w:tc>
        <w:tc>
          <w:tcPr>
            <w:tcW w:w="1991" w:type="dxa"/>
            <w:tcBorders>
              <w:top w:val="single" w:sz="4" w:space="0" w:color="auto"/>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bCs/>
                <w:szCs w:val="24"/>
                <w:lang w:eastAsia="en-GB"/>
              </w:rPr>
            </w:pPr>
            <w:r w:rsidRPr="00F473C3">
              <w:rPr>
                <w:rFonts w:eastAsia="Times New Roman"/>
                <w:b/>
                <w:bCs/>
                <w:szCs w:val="24"/>
                <w:lang w:eastAsia="en-GB"/>
              </w:rPr>
              <w:t>Recommend %</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bCs/>
                <w:szCs w:val="24"/>
                <w:lang w:eastAsia="en-GB"/>
              </w:rPr>
            </w:pPr>
            <w:r w:rsidRPr="00F473C3">
              <w:rPr>
                <w:rFonts w:eastAsia="Times New Roman"/>
                <w:b/>
                <w:bCs/>
                <w:szCs w:val="24"/>
                <w:lang w:eastAsia="en-GB"/>
              </w:rPr>
              <w:t>Recommend</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bCs/>
                <w:szCs w:val="24"/>
                <w:lang w:eastAsia="en-GB"/>
              </w:rPr>
            </w:pPr>
            <w:r w:rsidRPr="00F473C3">
              <w:rPr>
                <w:rFonts w:eastAsia="Times New Roman"/>
                <w:b/>
                <w:bCs/>
                <w:szCs w:val="24"/>
                <w:lang w:eastAsia="en-GB"/>
              </w:rPr>
              <w:t>Total responses</w:t>
            </w:r>
          </w:p>
        </w:tc>
      </w:tr>
      <w:tr w:rsidR="00F473C3" w:rsidRPr="00F473C3" w:rsidTr="00F473C3">
        <w:trPr>
          <w:cantSplit/>
          <w:trHeight w:val="288"/>
          <w:tblHead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szCs w:val="24"/>
                <w:lang w:eastAsia="en-GB"/>
              </w:rPr>
            </w:pPr>
            <w:r w:rsidRPr="00F473C3">
              <w:rPr>
                <w:rFonts w:eastAsia="Times New Roman"/>
                <w:b/>
                <w:szCs w:val="24"/>
                <w:lang w:eastAsia="en-GB"/>
              </w:rPr>
              <w:t>0-15</w:t>
            </w:r>
          </w:p>
        </w:tc>
        <w:tc>
          <w:tcPr>
            <w:tcW w:w="1991"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96.68%</w:t>
            </w:r>
          </w:p>
        </w:tc>
        <w:tc>
          <w:tcPr>
            <w:tcW w:w="224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1194</w:t>
            </w:r>
          </w:p>
        </w:tc>
        <w:tc>
          <w:tcPr>
            <w:tcW w:w="258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1235</w:t>
            </w:r>
          </w:p>
        </w:tc>
      </w:tr>
      <w:tr w:rsidR="00F473C3" w:rsidRPr="00F473C3" w:rsidTr="00F473C3">
        <w:trPr>
          <w:cantSplit/>
          <w:trHeight w:val="288"/>
          <w:tblHead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szCs w:val="24"/>
                <w:lang w:eastAsia="en-GB"/>
              </w:rPr>
            </w:pPr>
            <w:r w:rsidRPr="00F473C3">
              <w:rPr>
                <w:rFonts w:eastAsia="Times New Roman"/>
                <w:b/>
                <w:szCs w:val="24"/>
                <w:lang w:eastAsia="en-GB"/>
              </w:rPr>
              <w:t>16-24</w:t>
            </w:r>
          </w:p>
        </w:tc>
        <w:tc>
          <w:tcPr>
            <w:tcW w:w="1991"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96.55%</w:t>
            </w:r>
          </w:p>
        </w:tc>
        <w:tc>
          <w:tcPr>
            <w:tcW w:w="224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840</w:t>
            </w:r>
          </w:p>
        </w:tc>
        <w:tc>
          <w:tcPr>
            <w:tcW w:w="258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870</w:t>
            </w:r>
          </w:p>
        </w:tc>
      </w:tr>
      <w:tr w:rsidR="00F473C3" w:rsidRPr="00F473C3" w:rsidTr="00F473C3">
        <w:trPr>
          <w:cantSplit/>
          <w:trHeight w:val="288"/>
          <w:tblHead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szCs w:val="24"/>
                <w:lang w:eastAsia="en-GB"/>
              </w:rPr>
            </w:pPr>
            <w:r w:rsidRPr="00F473C3">
              <w:rPr>
                <w:rFonts w:eastAsia="Times New Roman"/>
                <w:b/>
                <w:szCs w:val="24"/>
                <w:lang w:eastAsia="en-GB"/>
              </w:rPr>
              <w:t>25-44</w:t>
            </w:r>
          </w:p>
        </w:tc>
        <w:tc>
          <w:tcPr>
            <w:tcW w:w="1991"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97.15%</w:t>
            </w:r>
          </w:p>
        </w:tc>
        <w:tc>
          <w:tcPr>
            <w:tcW w:w="224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4129</w:t>
            </w:r>
          </w:p>
        </w:tc>
        <w:tc>
          <w:tcPr>
            <w:tcW w:w="258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4250</w:t>
            </w:r>
          </w:p>
        </w:tc>
      </w:tr>
      <w:tr w:rsidR="00F473C3" w:rsidRPr="00F473C3" w:rsidTr="00F473C3">
        <w:trPr>
          <w:cantSplit/>
          <w:trHeight w:val="288"/>
          <w:tblHead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szCs w:val="24"/>
                <w:lang w:eastAsia="en-GB"/>
              </w:rPr>
            </w:pPr>
            <w:r w:rsidRPr="00F473C3">
              <w:rPr>
                <w:rFonts w:eastAsia="Times New Roman"/>
                <w:b/>
                <w:szCs w:val="24"/>
                <w:lang w:eastAsia="en-GB"/>
              </w:rPr>
              <w:lastRenderedPageBreak/>
              <w:t>45-64</w:t>
            </w:r>
          </w:p>
        </w:tc>
        <w:tc>
          <w:tcPr>
            <w:tcW w:w="1991"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96.72%</w:t>
            </w:r>
          </w:p>
        </w:tc>
        <w:tc>
          <w:tcPr>
            <w:tcW w:w="224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5046</w:t>
            </w:r>
          </w:p>
        </w:tc>
        <w:tc>
          <w:tcPr>
            <w:tcW w:w="258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5217</w:t>
            </w:r>
          </w:p>
        </w:tc>
      </w:tr>
      <w:tr w:rsidR="00F473C3" w:rsidRPr="00F473C3" w:rsidTr="00F473C3">
        <w:trPr>
          <w:cantSplit/>
          <w:trHeight w:val="288"/>
          <w:tblHead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szCs w:val="24"/>
                <w:lang w:eastAsia="en-GB"/>
              </w:rPr>
            </w:pPr>
            <w:r w:rsidRPr="00F473C3">
              <w:rPr>
                <w:rFonts w:eastAsia="Times New Roman"/>
                <w:b/>
                <w:szCs w:val="24"/>
                <w:lang w:eastAsia="en-GB"/>
              </w:rPr>
              <w:t>65-74</w:t>
            </w:r>
          </w:p>
        </w:tc>
        <w:tc>
          <w:tcPr>
            <w:tcW w:w="1991"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97.09%</w:t>
            </w:r>
          </w:p>
        </w:tc>
        <w:tc>
          <w:tcPr>
            <w:tcW w:w="224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3364</w:t>
            </w:r>
          </w:p>
        </w:tc>
        <w:tc>
          <w:tcPr>
            <w:tcW w:w="258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3465</w:t>
            </w:r>
          </w:p>
        </w:tc>
      </w:tr>
      <w:tr w:rsidR="00F473C3" w:rsidRPr="00F473C3" w:rsidTr="00F473C3">
        <w:trPr>
          <w:cantSplit/>
          <w:trHeight w:val="288"/>
          <w:tblHead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szCs w:val="24"/>
                <w:lang w:eastAsia="en-GB"/>
              </w:rPr>
            </w:pPr>
            <w:r w:rsidRPr="00F473C3">
              <w:rPr>
                <w:rFonts w:eastAsia="Times New Roman"/>
                <w:b/>
                <w:szCs w:val="24"/>
                <w:lang w:eastAsia="en-GB"/>
              </w:rPr>
              <w:t>75-84</w:t>
            </w:r>
          </w:p>
        </w:tc>
        <w:tc>
          <w:tcPr>
            <w:tcW w:w="1991"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96.90%</w:t>
            </w:r>
          </w:p>
        </w:tc>
        <w:tc>
          <w:tcPr>
            <w:tcW w:w="224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3222</w:t>
            </w:r>
          </w:p>
        </w:tc>
        <w:tc>
          <w:tcPr>
            <w:tcW w:w="258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3325</w:t>
            </w:r>
          </w:p>
        </w:tc>
      </w:tr>
      <w:tr w:rsidR="00F473C3" w:rsidRPr="00F473C3" w:rsidTr="00F473C3">
        <w:trPr>
          <w:cantSplit/>
          <w:trHeight w:val="288"/>
          <w:tblHead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szCs w:val="24"/>
                <w:lang w:eastAsia="en-GB"/>
              </w:rPr>
            </w:pPr>
            <w:r w:rsidRPr="00F473C3">
              <w:rPr>
                <w:rFonts w:eastAsia="Times New Roman"/>
                <w:b/>
                <w:szCs w:val="24"/>
                <w:lang w:eastAsia="en-GB"/>
              </w:rPr>
              <w:t>85+</w:t>
            </w:r>
          </w:p>
        </w:tc>
        <w:tc>
          <w:tcPr>
            <w:tcW w:w="1991"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94.93%</w:t>
            </w:r>
          </w:p>
        </w:tc>
        <w:tc>
          <w:tcPr>
            <w:tcW w:w="224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1235</w:t>
            </w:r>
          </w:p>
        </w:tc>
        <w:tc>
          <w:tcPr>
            <w:tcW w:w="258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1301</w:t>
            </w:r>
          </w:p>
        </w:tc>
      </w:tr>
      <w:tr w:rsidR="00F473C3" w:rsidRPr="00F473C3" w:rsidTr="00F473C3">
        <w:trPr>
          <w:cantSplit/>
          <w:trHeight w:val="288"/>
          <w:tblHead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szCs w:val="24"/>
                <w:lang w:eastAsia="en-GB"/>
              </w:rPr>
            </w:pPr>
            <w:r w:rsidRPr="00F473C3">
              <w:rPr>
                <w:rFonts w:eastAsia="Times New Roman"/>
                <w:b/>
                <w:szCs w:val="24"/>
                <w:lang w:eastAsia="en-GB"/>
              </w:rPr>
              <w:t>Did not answer</w:t>
            </w:r>
          </w:p>
        </w:tc>
        <w:tc>
          <w:tcPr>
            <w:tcW w:w="1991"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89.25%</w:t>
            </w:r>
          </w:p>
        </w:tc>
        <w:tc>
          <w:tcPr>
            <w:tcW w:w="224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13393</w:t>
            </w:r>
          </w:p>
        </w:tc>
        <w:tc>
          <w:tcPr>
            <w:tcW w:w="258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15006</w:t>
            </w:r>
          </w:p>
        </w:tc>
      </w:tr>
      <w:tr w:rsidR="00F473C3" w:rsidRPr="00F473C3" w:rsidTr="00F473C3">
        <w:trPr>
          <w:cantSplit/>
          <w:trHeight w:val="288"/>
          <w:tblHead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szCs w:val="24"/>
                <w:lang w:eastAsia="en-GB"/>
              </w:rPr>
            </w:pPr>
            <w:r w:rsidRPr="00F473C3">
              <w:rPr>
                <w:rFonts w:eastAsia="Times New Roman"/>
                <w:b/>
                <w:szCs w:val="24"/>
                <w:lang w:eastAsia="en-GB"/>
              </w:rPr>
              <w:t>Prefer not to say</w:t>
            </w:r>
          </w:p>
        </w:tc>
        <w:tc>
          <w:tcPr>
            <w:tcW w:w="1991"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79.78%</w:t>
            </w:r>
          </w:p>
        </w:tc>
        <w:tc>
          <w:tcPr>
            <w:tcW w:w="224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71</w:t>
            </w:r>
          </w:p>
        </w:tc>
        <w:tc>
          <w:tcPr>
            <w:tcW w:w="258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szCs w:val="24"/>
                <w:lang w:eastAsia="en-GB"/>
              </w:rPr>
            </w:pPr>
            <w:r w:rsidRPr="00F473C3">
              <w:rPr>
                <w:rFonts w:eastAsia="Times New Roman"/>
                <w:szCs w:val="24"/>
                <w:lang w:eastAsia="en-GB"/>
              </w:rPr>
              <w:t>89</w:t>
            </w:r>
          </w:p>
        </w:tc>
      </w:tr>
      <w:tr w:rsidR="00F473C3" w:rsidRPr="00F473C3" w:rsidTr="00F473C3">
        <w:trPr>
          <w:cantSplit/>
          <w:trHeight w:val="288"/>
          <w:tblHeader/>
        </w:trPr>
        <w:tc>
          <w:tcPr>
            <w:tcW w:w="2560" w:type="dxa"/>
            <w:tcBorders>
              <w:top w:val="nil"/>
              <w:left w:val="nil"/>
              <w:bottom w:val="nil"/>
              <w:right w:val="nil"/>
            </w:tcBorders>
            <w:shd w:val="clear" w:color="auto" w:fill="auto"/>
            <w:noWrap/>
            <w:vAlign w:val="bottom"/>
          </w:tcPr>
          <w:p w:rsidR="00F473C3" w:rsidRPr="00F473C3" w:rsidRDefault="00F473C3" w:rsidP="00F473C3">
            <w:pPr>
              <w:spacing w:after="0" w:line="240" w:lineRule="auto"/>
              <w:rPr>
                <w:rFonts w:eastAsia="Times New Roman"/>
                <w:szCs w:val="24"/>
                <w:lang w:eastAsia="en-GB"/>
              </w:rPr>
            </w:pPr>
          </w:p>
        </w:tc>
        <w:tc>
          <w:tcPr>
            <w:tcW w:w="1991" w:type="dxa"/>
            <w:tcBorders>
              <w:top w:val="nil"/>
              <w:left w:val="nil"/>
              <w:bottom w:val="nil"/>
              <w:right w:val="nil"/>
            </w:tcBorders>
            <w:shd w:val="clear" w:color="auto" w:fill="auto"/>
            <w:noWrap/>
            <w:vAlign w:val="bottom"/>
          </w:tcPr>
          <w:p w:rsidR="00F473C3" w:rsidRPr="00F473C3" w:rsidRDefault="00F473C3" w:rsidP="00F473C3">
            <w:pPr>
              <w:spacing w:after="0" w:line="240" w:lineRule="auto"/>
              <w:rPr>
                <w:rFonts w:eastAsia="Times New Roman"/>
                <w:szCs w:val="24"/>
                <w:lang w:eastAsia="en-GB"/>
              </w:rPr>
            </w:pPr>
          </w:p>
        </w:tc>
        <w:tc>
          <w:tcPr>
            <w:tcW w:w="2240" w:type="dxa"/>
            <w:tcBorders>
              <w:top w:val="nil"/>
              <w:left w:val="nil"/>
              <w:bottom w:val="nil"/>
              <w:right w:val="nil"/>
            </w:tcBorders>
            <w:shd w:val="clear" w:color="auto" w:fill="auto"/>
            <w:noWrap/>
            <w:vAlign w:val="bottom"/>
          </w:tcPr>
          <w:p w:rsidR="00F473C3" w:rsidRPr="00F473C3" w:rsidRDefault="00F473C3" w:rsidP="00F473C3">
            <w:pPr>
              <w:spacing w:after="0" w:line="240" w:lineRule="auto"/>
              <w:jc w:val="right"/>
              <w:rPr>
                <w:rFonts w:eastAsia="Times New Roman"/>
                <w:szCs w:val="24"/>
                <w:lang w:eastAsia="en-GB"/>
              </w:rPr>
            </w:pPr>
          </w:p>
        </w:tc>
        <w:tc>
          <w:tcPr>
            <w:tcW w:w="2580" w:type="dxa"/>
            <w:tcBorders>
              <w:top w:val="nil"/>
              <w:left w:val="nil"/>
              <w:bottom w:val="nil"/>
              <w:right w:val="nil"/>
            </w:tcBorders>
            <w:shd w:val="clear" w:color="auto" w:fill="auto"/>
            <w:noWrap/>
            <w:vAlign w:val="bottom"/>
          </w:tcPr>
          <w:p w:rsidR="00F473C3" w:rsidRPr="00F473C3" w:rsidRDefault="00F473C3" w:rsidP="00F473C3">
            <w:pPr>
              <w:spacing w:after="0" w:line="240" w:lineRule="auto"/>
              <w:jc w:val="right"/>
              <w:rPr>
                <w:rFonts w:eastAsia="Times New Roman"/>
                <w:szCs w:val="24"/>
                <w:lang w:eastAsia="en-GB"/>
              </w:rPr>
            </w:pPr>
          </w:p>
        </w:tc>
      </w:tr>
    </w:tbl>
    <w:p w:rsidR="00F473C3" w:rsidRPr="00F473C3" w:rsidRDefault="00F473C3" w:rsidP="00F473C3"/>
    <w:p w:rsidR="00F473C3" w:rsidRDefault="00F929FA" w:rsidP="00F473C3">
      <w:pPr>
        <w:jc w:val="center"/>
      </w:pPr>
      <w:r>
        <w:rPr>
          <w:noProof/>
          <w:lang w:eastAsia="en-GB"/>
        </w:rPr>
        <w:drawing>
          <wp:inline distT="0" distB="0" distL="0" distR="0" wp14:anchorId="5BBA7E5B" wp14:editId="7EE7AD0B">
            <wp:extent cx="5731510" cy="3121713"/>
            <wp:effectExtent l="0" t="0" r="2540" b="2540"/>
            <wp:docPr id="272" name="Chart 272" title="FFT Recommended by Ag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DADAF424-118B-468F-BC2B-5E13A5C8B4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AC737C" w:rsidRDefault="00AC737C" w:rsidP="00AC737C">
      <w:r>
        <w:t>What the data tells us:</w:t>
      </w:r>
    </w:p>
    <w:p w:rsidR="00F929FA" w:rsidRDefault="00F929FA" w:rsidP="00AC737C">
      <w:pPr>
        <w:pStyle w:val="ListParagraph"/>
      </w:pPr>
      <w:r>
        <w:t>The overall average recommend rate is 93.49% (this is shown as the red line in the about graph)</w:t>
      </w:r>
    </w:p>
    <w:p w:rsidR="00AC737C" w:rsidRDefault="00340244" w:rsidP="00AC737C">
      <w:pPr>
        <w:pStyle w:val="ListParagraph"/>
      </w:pPr>
      <w:r>
        <w:t>A high proportion of patients (43.2%)</w:t>
      </w:r>
      <w:r w:rsidR="00AC737C">
        <w:t xml:space="preserve"> have not declared their age on the FFT questionnaire.</w:t>
      </w:r>
    </w:p>
    <w:p w:rsidR="00AC737C" w:rsidRDefault="00AC737C" w:rsidP="00AC737C">
      <w:pPr>
        <w:pStyle w:val="ListParagraph"/>
      </w:pPr>
      <w:r>
        <w:t>Patients aged 0-84 had a similar recommen</w:t>
      </w:r>
      <w:r w:rsidR="00512011">
        <w:t>de</w:t>
      </w:r>
      <w:r>
        <w:t xml:space="preserve">d rate; between </w:t>
      </w:r>
      <w:r w:rsidR="00702376">
        <w:t>96.</w:t>
      </w:r>
      <w:r>
        <w:t>55-97.15% of patients would recommend the Trust’s services.</w:t>
      </w:r>
    </w:p>
    <w:p w:rsidR="00F929FA" w:rsidRPr="00AC737C" w:rsidRDefault="00AC737C" w:rsidP="00F929FA">
      <w:pPr>
        <w:pStyle w:val="ListParagraph"/>
      </w:pPr>
      <w:r>
        <w:t>The lowest recommended rate can be seen in patients aged 85+, where 94.93% of patients would recommend Trust services.</w:t>
      </w:r>
    </w:p>
    <w:p w:rsidR="00F473C3" w:rsidRDefault="00F473C3" w:rsidP="00F473C3">
      <w:pPr>
        <w:pStyle w:val="Heading3"/>
      </w:pPr>
      <w:bookmarkStart w:id="90" w:name="_Toc88634036"/>
      <w:r>
        <w:t>Disability</w:t>
      </w:r>
      <w:bookmarkEnd w:id="90"/>
    </w:p>
    <w:p w:rsidR="00F473C3" w:rsidRPr="00F473C3" w:rsidRDefault="00F473C3" w:rsidP="00F473C3"/>
    <w:tbl>
      <w:tblPr>
        <w:tblW w:w="9229" w:type="dxa"/>
        <w:tblInd w:w="93" w:type="dxa"/>
        <w:tblLook w:val="04A0" w:firstRow="1" w:lastRow="0" w:firstColumn="1" w:lastColumn="0" w:noHBand="0" w:noVBand="1"/>
        <w:tblCaption w:val="Breakdown of FFT by Disability"/>
      </w:tblPr>
      <w:tblGrid>
        <w:gridCol w:w="2709"/>
        <w:gridCol w:w="1984"/>
        <w:gridCol w:w="2220"/>
        <w:gridCol w:w="2316"/>
      </w:tblGrid>
      <w:tr w:rsidR="00F473C3" w:rsidRPr="00F473C3" w:rsidTr="00F473C3">
        <w:trPr>
          <w:cantSplit/>
          <w:trHeight w:val="288"/>
          <w:tblHeader/>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bCs/>
                <w:lang w:eastAsia="en-GB"/>
              </w:rPr>
            </w:pPr>
            <w:r w:rsidRPr="00F473C3">
              <w:rPr>
                <w:rFonts w:eastAsia="Times New Roman"/>
                <w:b/>
                <w:bCs/>
                <w:lang w:eastAsia="en-GB"/>
              </w:rPr>
              <w:t>Disability</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bCs/>
                <w:lang w:eastAsia="en-GB"/>
              </w:rPr>
            </w:pPr>
            <w:r w:rsidRPr="00F473C3">
              <w:rPr>
                <w:rFonts w:eastAsia="Times New Roman"/>
                <w:b/>
                <w:bCs/>
                <w:lang w:eastAsia="en-GB"/>
              </w:rPr>
              <w:t>Recommend %</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bCs/>
                <w:lang w:eastAsia="en-GB"/>
              </w:rPr>
            </w:pPr>
            <w:r w:rsidRPr="00F473C3">
              <w:rPr>
                <w:rFonts w:eastAsia="Times New Roman"/>
                <w:b/>
                <w:bCs/>
                <w:lang w:eastAsia="en-GB"/>
              </w:rPr>
              <w:t xml:space="preserve">Recommend </w:t>
            </w:r>
          </w:p>
        </w:tc>
        <w:tc>
          <w:tcPr>
            <w:tcW w:w="2316" w:type="dxa"/>
            <w:tcBorders>
              <w:top w:val="single" w:sz="4" w:space="0" w:color="auto"/>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bCs/>
                <w:lang w:eastAsia="en-GB"/>
              </w:rPr>
            </w:pPr>
            <w:r w:rsidRPr="00F473C3">
              <w:rPr>
                <w:rFonts w:eastAsia="Times New Roman"/>
                <w:b/>
                <w:bCs/>
                <w:lang w:eastAsia="en-GB"/>
              </w:rPr>
              <w:t>Total Responses</w:t>
            </w:r>
          </w:p>
        </w:tc>
      </w:tr>
      <w:tr w:rsidR="00F473C3" w:rsidRPr="00F473C3" w:rsidTr="00F473C3">
        <w:trPr>
          <w:cantSplit/>
          <w:trHeight w:val="288"/>
          <w:tblHeader/>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lang w:eastAsia="en-GB"/>
              </w:rPr>
            </w:pPr>
            <w:r w:rsidRPr="00F473C3">
              <w:rPr>
                <w:rFonts w:eastAsia="Times New Roman"/>
                <w:b/>
                <w:lang w:eastAsia="en-GB"/>
              </w:rPr>
              <w:t>Disabled</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95.87%</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2783</w:t>
            </w:r>
          </w:p>
        </w:tc>
        <w:tc>
          <w:tcPr>
            <w:tcW w:w="2316" w:type="dxa"/>
            <w:tcBorders>
              <w:top w:val="single" w:sz="4" w:space="0" w:color="auto"/>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2903</w:t>
            </w:r>
          </w:p>
        </w:tc>
      </w:tr>
      <w:tr w:rsidR="00F473C3" w:rsidRPr="00F473C3" w:rsidTr="00F473C3">
        <w:trPr>
          <w:cantSplit/>
          <w:trHeight w:val="288"/>
          <w:tblHeader/>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lang w:eastAsia="en-GB"/>
              </w:rPr>
            </w:pPr>
            <w:r w:rsidRPr="00F473C3">
              <w:rPr>
                <w:rFonts w:eastAsia="Times New Roman"/>
                <w:b/>
                <w:lang w:eastAsia="en-GB"/>
              </w:rPr>
              <w:t>Not Disabled</w:t>
            </w:r>
          </w:p>
        </w:tc>
        <w:tc>
          <w:tcPr>
            <w:tcW w:w="198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97.13%</w:t>
            </w:r>
          </w:p>
        </w:tc>
        <w:tc>
          <w:tcPr>
            <w:tcW w:w="222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15603</w:t>
            </w:r>
          </w:p>
        </w:tc>
        <w:tc>
          <w:tcPr>
            <w:tcW w:w="2316"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16064</w:t>
            </w:r>
          </w:p>
        </w:tc>
      </w:tr>
      <w:tr w:rsidR="00F473C3" w:rsidRPr="00F473C3" w:rsidTr="00F473C3">
        <w:trPr>
          <w:cantSplit/>
          <w:trHeight w:val="288"/>
          <w:tblHeader/>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lang w:eastAsia="en-GB"/>
              </w:rPr>
            </w:pPr>
            <w:r w:rsidRPr="00F473C3">
              <w:rPr>
                <w:rFonts w:eastAsia="Times New Roman"/>
                <w:b/>
                <w:lang w:eastAsia="en-GB"/>
              </w:rPr>
              <w:t>Prefer not to say</w:t>
            </w:r>
          </w:p>
        </w:tc>
        <w:tc>
          <w:tcPr>
            <w:tcW w:w="198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89.34%</w:t>
            </w:r>
          </w:p>
        </w:tc>
        <w:tc>
          <w:tcPr>
            <w:tcW w:w="222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14108</w:t>
            </w:r>
          </w:p>
        </w:tc>
        <w:tc>
          <w:tcPr>
            <w:tcW w:w="2316"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15791</w:t>
            </w:r>
          </w:p>
        </w:tc>
      </w:tr>
    </w:tbl>
    <w:p w:rsidR="00F473C3" w:rsidRPr="00F473C3" w:rsidRDefault="00F473C3" w:rsidP="00F473C3"/>
    <w:p w:rsidR="00F473C3" w:rsidRDefault="00F929FA" w:rsidP="00F473C3">
      <w:pPr>
        <w:jc w:val="center"/>
        <w:rPr>
          <w:b/>
        </w:rPr>
      </w:pPr>
      <w:r>
        <w:rPr>
          <w:noProof/>
          <w:lang w:eastAsia="en-GB"/>
        </w:rPr>
        <w:lastRenderedPageBreak/>
        <w:drawing>
          <wp:inline distT="0" distB="0" distL="0" distR="0" wp14:anchorId="7B356C2A" wp14:editId="1029FDA6">
            <wp:extent cx="5731510" cy="3601789"/>
            <wp:effectExtent l="0" t="0" r="2540" b="0"/>
            <wp:docPr id="273" name="Chart 273" title="FFT Recommended by Disability">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CEDF1DEF-0506-4B96-8D8A-44AB3152A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40244" w:rsidRDefault="00340244" w:rsidP="00340244">
      <w:r>
        <w:t>What the data tells us:</w:t>
      </w:r>
    </w:p>
    <w:p w:rsidR="00F929FA" w:rsidRDefault="00F929FA" w:rsidP="00F929FA">
      <w:pPr>
        <w:pStyle w:val="ListParagraph"/>
      </w:pPr>
      <w:r>
        <w:t>The overall average recommend rate is 93.49% (this is shown as the red line in the abo</w:t>
      </w:r>
      <w:r w:rsidR="000F14BE">
        <w:t>ve</w:t>
      </w:r>
      <w:r>
        <w:t xml:space="preserve"> graph)</w:t>
      </w:r>
    </w:p>
    <w:p w:rsidR="00340244" w:rsidRDefault="00340244" w:rsidP="00340244">
      <w:pPr>
        <w:pStyle w:val="ListParagraph"/>
      </w:pPr>
      <w:r>
        <w:t>A high proportion of patients (45.4%) selected prefer not to say in the FFT questionnaire.</w:t>
      </w:r>
    </w:p>
    <w:p w:rsidR="0034421B" w:rsidRDefault="0034421B" w:rsidP="00340244">
      <w:pPr>
        <w:pStyle w:val="ListParagraph"/>
      </w:pPr>
      <w:r>
        <w:t>8.4% of respondents highlighted they have a disability.</w:t>
      </w:r>
    </w:p>
    <w:p w:rsidR="00F929FA" w:rsidRDefault="00F929FA" w:rsidP="00340244">
      <w:pPr>
        <w:pStyle w:val="ListParagraph"/>
      </w:pPr>
      <w:r>
        <w:t>A lower proportion of disabled patients (compared to the patients that are non-disabled) would recommend the Trust’s services.</w:t>
      </w:r>
    </w:p>
    <w:p w:rsidR="00F473C3" w:rsidRDefault="00F473C3" w:rsidP="00F473C3">
      <w:pPr>
        <w:pStyle w:val="Heading3"/>
      </w:pPr>
      <w:bookmarkStart w:id="91" w:name="_Toc88634037"/>
      <w:r>
        <w:t>Ethnicity</w:t>
      </w:r>
      <w:bookmarkEnd w:id="91"/>
      <w:r>
        <w:br/>
      </w:r>
    </w:p>
    <w:tbl>
      <w:tblPr>
        <w:tblW w:w="9553" w:type="dxa"/>
        <w:jc w:val="center"/>
        <w:tblLook w:val="04A0" w:firstRow="1" w:lastRow="0" w:firstColumn="1" w:lastColumn="0" w:noHBand="0" w:noVBand="1"/>
        <w:tblCaption w:val="FFT brokendown by ethnicity"/>
      </w:tblPr>
      <w:tblGrid>
        <w:gridCol w:w="2567"/>
        <w:gridCol w:w="2308"/>
        <w:gridCol w:w="1984"/>
        <w:gridCol w:w="2694"/>
      </w:tblGrid>
      <w:tr w:rsidR="00F473C3" w:rsidRPr="00F473C3" w:rsidTr="00F473C3">
        <w:trPr>
          <w:cantSplit/>
          <w:trHeight w:val="288"/>
          <w:tblHeader/>
          <w:jc w:val="center"/>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bCs/>
                <w:lang w:eastAsia="en-GB"/>
              </w:rPr>
            </w:pPr>
            <w:r>
              <w:rPr>
                <w:rFonts w:eastAsia="Times New Roman"/>
                <w:b/>
                <w:bCs/>
                <w:lang w:eastAsia="en-GB"/>
              </w:rPr>
              <w:t>Ethnicity</w:t>
            </w:r>
          </w:p>
        </w:tc>
        <w:tc>
          <w:tcPr>
            <w:tcW w:w="2308" w:type="dxa"/>
            <w:tcBorders>
              <w:top w:val="single" w:sz="4" w:space="0" w:color="auto"/>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bCs/>
                <w:lang w:eastAsia="en-GB"/>
              </w:rPr>
            </w:pPr>
            <w:r w:rsidRPr="00F473C3">
              <w:rPr>
                <w:rFonts w:eastAsia="Times New Roman"/>
                <w:b/>
                <w:bCs/>
                <w:lang w:eastAsia="en-GB"/>
              </w:rPr>
              <w:t>Recommended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bCs/>
                <w:lang w:eastAsia="en-GB"/>
              </w:rPr>
            </w:pPr>
            <w:r w:rsidRPr="00F473C3">
              <w:rPr>
                <w:rFonts w:eastAsia="Times New Roman"/>
                <w:b/>
                <w:bCs/>
                <w:lang w:eastAsia="en-GB"/>
              </w:rPr>
              <w:t xml:space="preserve">Recommended </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bCs/>
                <w:lang w:eastAsia="en-GB"/>
              </w:rPr>
            </w:pPr>
            <w:r w:rsidRPr="00F473C3">
              <w:rPr>
                <w:rFonts w:eastAsia="Times New Roman"/>
                <w:b/>
                <w:bCs/>
                <w:lang w:eastAsia="en-GB"/>
              </w:rPr>
              <w:t>Total responses</w:t>
            </w:r>
          </w:p>
        </w:tc>
      </w:tr>
      <w:tr w:rsidR="00F473C3" w:rsidRPr="00F473C3" w:rsidTr="00F473C3">
        <w:trPr>
          <w:cantSplit/>
          <w:trHeight w:val="288"/>
          <w:tblHeader/>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lang w:eastAsia="en-GB"/>
              </w:rPr>
            </w:pPr>
            <w:r w:rsidRPr="00F473C3">
              <w:rPr>
                <w:rFonts w:eastAsia="Times New Roman"/>
                <w:b/>
                <w:lang w:eastAsia="en-GB"/>
              </w:rPr>
              <w:t>White</w:t>
            </w:r>
          </w:p>
        </w:tc>
        <w:tc>
          <w:tcPr>
            <w:tcW w:w="2308"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96.94%</w:t>
            </w:r>
          </w:p>
        </w:tc>
        <w:tc>
          <w:tcPr>
            <w:tcW w:w="198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18055</w:t>
            </w:r>
          </w:p>
        </w:tc>
        <w:tc>
          <w:tcPr>
            <w:tcW w:w="269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18625</w:t>
            </w:r>
          </w:p>
        </w:tc>
      </w:tr>
      <w:tr w:rsidR="00F473C3" w:rsidRPr="00F473C3" w:rsidTr="00F473C3">
        <w:trPr>
          <w:cantSplit/>
          <w:trHeight w:val="288"/>
          <w:tblHeader/>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lang w:eastAsia="en-GB"/>
              </w:rPr>
            </w:pPr>
            <w:r w:rsidRPr="00F473C3">
              <w:rPr>
                <w:rFonts w:eastAsia="Times New Roman"/>
                <w:b/>
                <w:lang w:eastAsia="en-GB"/>
              </w:rPr>
              <w:t>Asian or Asian British</w:t>
            </w:r>
          </w:p>
        </w:tc>
        <w:tc>
          <w:tcPr>
            <w:tcW w:w="2308"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96.58%</w:t>
            </w:r>
          </w:p>
        </w:tc>
        <w:tc>
          <w:tcPr>
            <w:tcW w:w="198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226</w:t>
            </w:r>
          </w:p>
        </w:tc>
        <w:tc>
          <w:tcPr>
            <w:tcW w:w="269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234</w:t>
            </w:r>
          </w:p>
        </w:tc>
      </w:tr>
      <w:tr w:rsidR="00F473C3" w:rsidRPr="00F473C3" w:rsidTr="00F473C3">
        <w:trPr>
          <w:cantSplit/>
          <w:trHeight w:val="288"/>
          <w:tblHeader/>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lang w:eastAsia="en-GB"/>
              </w:rPr>
            </w:pPr>
            <w:r w:rsidRPr="00F473C3">
              <w:rPr>
                <w:rFonts w:eastAsia="Times New Roman"/>
                <w:b/>
                <w:lang w:eastAsia="en-GB"/>
              </w:rPr>
              <w:t>Mixed</w:t>
            </w:r>
          </w:p>
        </w:tc>
        <w:tc>
          <w:tcPr>
            <w:tcW w:w="2308"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95.90%</w:t>
            </w:r>
          </w:p>
        </w:tc>
        <w:tc>
          <w:tcPr>
            <w:tcW w:w="198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374</w:t>
            </w:r>
          </w:p>
        </w:tc>
        <w:tc>
          <w:tcPr>
            <w:tcW w:w="269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390</w:t>
            </w:r>
          </w:p>
        </w:tc>
      </w:tr>
      <w:tr w:rsidR="00F473C3" w:rsidRPr="00F473C3" w:rsidTr="00F473C3">
        <w:trPr>
          <w:cantSplit/>
          <w:trHeight w:val="288"/>
          <w:tblHeader/>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lang w:eastAsia="en-GB"/>
              </w:rPr>
            </w:pPr>
            <w:r w:rsidRPr="00F473C3">
              <w:rPr>
                <w:rFonts w:eastAsia="Times New Roman"/>
                <w:b/>
                <w:lang w:eastAsia="en-GB"/>
              </w:rPr>
              <w:t>Black or Black British</w:t>
            </w:r>
          </w:p>
        </w:tc>
        <w:tc>
          <w:tcPr>
            <w:tcW w:w="2308"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95.12%</w:t>
            </w:r>
          </w:p>
        </w:tc>
        <w:tc>
          <w:tcPr>
            <w:tcW w:w="198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117</w:t>
            </w:r>
          </w:p>
        </w:tc>
        <w:tc>
          <w:tcPr>
            <w:tcW w:w="269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123</w:t>
            </w:r>
          </w:p>
        </w:tc>
      </w:tr>
      <w:tr w:rsidR="00F473C3" w:rsidRPr="00F473C3" w:rsidTr="00F473C3">
        <w:trPr>
          <w:cantSplit/>
          <w:trHeight w:val="288"/>
          <w:tblHeader/>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lang w:eastAsia="en-GB"/>
              </w:rPr>
            </w:pPr>
            <w:r w:rsidRPr="00F473C3">
              <w:rPr>
                <w:rFonts w:eastAsia="Times New Roman"/>
                <w:b/>
                <w:lang w:eastAsia="en-GB"/>
              </w:rPr>
              <w:t>Other</w:t>
            </w:r>
          </w:p>
        </w:tc>
        <w:tc>
          <w:tcPr>
            <w:tcW w:w="2308"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93.14%</w:t>
            </w:r>
          </w:p>
        </w:tc>
        <w:tc>
          <w:tcPr>
            <w:tcW w:w="198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163</w:t>
            </w:r>
          </w:p>
        </w:tc>
        <w:tc>
          <w:tcPr>
            <w:tcW w:w="269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175</w:t>
            </w:r>
          </w:p>
        </w:tc>
      </w:tr>
      <w:tr w:rsidR="00F473C3" w:rsidRPr="00F473C3" w:rsidTr="00F473C3">
        <w:trPr>
          <w:cantSplit/>
          <w:trHeight w:val="288"/>
          <w:tblHeader/>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lang w:eastAsia="en-GB"/>
              </w:rPr>
            </w:pPr>
            <w:r w:rsidRPr="00F473C3">
              <w:rPr>
                <w:rFonts w:eastAsia="Times New Roman"/>
                <w:b/>
                <w:lang w:eastAsia="en-GB"/>
              </w:rPr>
              <w:t>Did not answer</w:t>
            </w:r>
          </w:p>
        </w:tc>
        <w:tc>
          <w:tcPr>
            <w:tcW w:w="2308"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89.16%</w:t>
            </w:r>
          </w:p>
        </w:tc>
        <w:tc>
          <w:tcPr>
            <w:tcW w:w="198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13393</w:t>
            </w:r>
          </w:p>
        </w:tc>
        <w:tc>
          <w:tcPr>
            <w:tcW w:w="269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15022</w:t>
            </w:r>
          </w:p>
        </w:tc>
      </w:tr>
      <w:tr w:rsidR="00F473C3" w:rsidRPr="00F473C3" w:rsidTr="00F473C3">
        <w:trPr>
          <w:cantSplit/>
          <w:trHeight w:val="288"/>
          <w:tblHeader/>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lang w:eastAsia="en-GB"/>
              </w:rPr>
            </w:pPr>
            <w:r w:rsidRPr="00F473C3">
              <w:rPr>
                <w:rFonts w:eastAsia="Times New Roman"/>
                <w:b/>
                <w:lang w:eastAsia="en-GB"/>
              </w:rPr>
              <w:t>Prefer not to say</w:t>
            </w:r>
          </w:p>
        </w:tc>
        <w:tc>
          <w:tcPr>
            <w:tcW w:w="2308"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87.83%</w:t>
            </w:r>
          </w:p>
        </w:tc>
        <w:tc>
          <w:tcPr>
            <w:tcW w:w="198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166</w:t>
            </w:r>
          </w:p>
        </w:tc>
        <w:tc>
          <w:tcPr>
            <w:tcW w:w="2694"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189</w:t>
            </w:r>
          </w:p>
        </w:tc>
      </w:tr>
    </w:tbl>
    <w:p w:rsidR="00F473C3" w:rsidRDefault="00F473C3" w:rsidP="00F473C3">
      <w:pPr>
        <w:rPr>
          <w:b/>
        </w:rPr>
      </w:pPr>
      <w:r>
        <w:rPr>
          <w:b/>
        </w:rPr>
        <w:lastRenderedPageBreak/>
        <w:br/>
      </w:r>
      <w:r w:rsidR="00F929FA">
        <w:rPr>
          <w:noProof/>
          <w:lang w:eastAsia="en-GB"/>
        </w:rPr>
        <w:drawing>
          <wp:inline distT="0" distB="0" distL="0" distR="0" wp14:anchorId="15649054" wp14:editId="31A252BC">
            <wp:extent cx="5731510" cy="3696701"/>
            <wp:effectExtent l="0" t="0" r="2540" b="0"/>
            <wp:docPr id="274" name="Chart 274" title="FFT Recommended by Ethnicity">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5DE3B572-F4E6-485C-B05A-FD199E2CE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702376" w:rsidRDefault="00702376" w:rsidP="00702376">
      <w:r>
        <w:t>What the data tells us:</w:t>
      </w:r>
    </w:p>
    <w:p w:rsidR="00702376" w:rsidRDefault="00702376" w:rsidP="00702376">
      <w:pPr>
        <w:pStyle w:val="ListParagraph"/>
      </w:pPr>
      <w:r>
        <w:t xml:space="preserve">The overall average recommend rate is 93.49% (this is shown as the red line </w:t>
      </w:r>
      <w:r w:rsidR="000F14BE">
        <w:t>in the above</w:t>
      </w:r>
      <w:r>
        <w:t xml:space="preserve"> graph)</w:t>
      </w:r>
    </w:p>
    <w:p w:rsidR="00702376" w:rsidRDefault="00702376" w:rsidP="00702376">
      <w:pPr>
        <w:pStyle w:val="ListParagraph"/>
      </w:pPr>
      <w:r>
        <w:t xml:space="preserve">A high proportion of patients (39.0%) have not declared their </w:t>
      </w:r>
      <w:r w:rsidR="000F14BE">
        <w:t>ethnicity</w:t>
      </w:r>
      <w:r>
        <w:t xml:space="preserve"> on the FFT questionnaire.</w:t>
      </w:r>
    </w:p>
    <w:p w:rsidR="00702376" w:rsidRDefault="00702376" w:rsidP="00702376">
      <w:pPr>
        <w:pStyle w:val="ListParagraph"/>
      </w:pPr>
      <w:r>
        <w:t>White, Asian, Black or mixed heritage patients had a similar recommended rate; 95.12-96.94.15% of patients would recommend the Trust’s services.</w:t>
      </w:r>
    </w:p>
    <w:p w:rsidR="00702376" w:rsidRPr="00AC737C" w:rsidRDefault="00702376" w:rsidP="00702376">
      <w:pPr>
        <w:pStyle w:val="ListParagraph"/>
      </w:pPr>
      <w:r>
        <w:t>The lowest recommended rate can be seen in patients from other ethnic groups, where 93.14% of patients would recommend Trust services.</w:t>
      </w:r>
    </w:p>
    <w:p w:rsidR="00F473C3" w:rsidRDefault="00F473C3" w:rsidP="00F473C3">
      <w:pPr>
        <w:pStyle w:val="Heading3"/>
      </w:pPr>
      <w:bookmarkStart w:id="92" w:name="_Toc88634038"/>
      <w:r>
        <w:t>Gender</w:t>
      </w:r>
      <w:bookmarkEnd w:id="92"/>
    </w:p>
    <w:p w:rsidR="00F473C3" w:rsidRPr="00F473C3" w:rsidRDefault="00F473C3" w:rsidP="00F473C3">
      <w:r>
        <w:br/>
      </w:r>
    </w:p>
    <w:tbl>
      <w:tblPr>
        <w:tblW w:w="8972" w:type="dxa"/>
        <w:jc w:val="center"/>
        <w:tblLook w:val="04A0" w:firstRow="1" w:lastRow="0" w:firstColumn="1" w:lastColumn="0" w:noHBand="0" w:noVBand="1"/>
        <w:tblCaption w:val="FFT brokendown by gender"/>
      </w:tblPr>
      <w:tblGrid>
        <w:gridCol w:w="2210"/>
        <w:gridCol w:w="2186"/>
        <w:gridCol w:w="2220"/>
        <w:gridCol w:w="2356"/>
      </w:tblGrid>
      <w:tr w:rsidR="00F473C3" w:rsidRPr="00F473C3" w:rsidTr="00F473C3">
        <w:trPr>
          <w:cantSplit/>
          <w:trHeight w:val="288"/>
          <w:tblHeader/>
          <w:jc w:val="center"/>
        </w:trPr>
        <w:tc>
          <w:tcPr>
            <w:tcW w:w="2210" w:type="dxa"/>
            <w:tcBorders>
              <w:top w:val="single" w:sz="4" w:space="0" w:color="auto"/>
              <w:left w:val="single" w:sz="4" w:space="0" w:color="auto"/>
              <w:bottom w:val="single" w:sz="4" w:space="0" w:color="auto"/>
              <w:right w:val="single" w:sz="4" w:space="0" w:color="auto"/>
            </w:tcBorders>
            <w:shd w:val="clear" w:color="auto" w:fill="auto"/>
            <w:noWrap/>
            <w:hideMark/>
          </w:tcPr>
          <w:p w:rsidR="00F473C3" w:rsidRPr="00F473C3" w:rsidRDefault="00F473C3" w:rsidP="00F473C3">
            <w:pPr>
              <w:spacing w:after="0" w:line="240" w:lineRule="auto"/>
              <w:rPr>
                <w:rFonts w:eastAsia="Times New Roman"/>
                <w:b/>
                <w:bCs/>
                <w:lang w:eastAsia="en-GB"/>
              </w:rPr>
            </w:pPr>
            <w:r w:rsidRPr="00F473C3">
              <w:rPr>
                <w:rFonts w:eastAsia="Times New Roman"/>
                <w:b/>
                <w:bCs/>
                <w:lang w:eastAsia="en-GB"/>
              </w:rPr>
              <w:t>Gender</w:t>
            </w:r>
          </w:p>
        </w:tc>
        <w:tc>
          <w:tcPr>
            <w:tcW w:w="2186" w:type="dxa"/>
            <w:tcBorders>
              <w:top w:val="single" w:sz="4" w:space="0" w:color="auto"/>
              <w:left w:val="nil"/>
              <w:bottom w:val="single" w:sz="4" w:space="0" w:color="auto"/>
              <w:right w:val="single" w:sz="4" w:space="0" w:color="auto"/>
            </w:tcBorders>
            <w:shd w:val="clear" w:color="auto" w:fill="auto"/>
            <w:noWrap/>
            <w:hideMark/>
          </w:tcPr>
          <w:p w:rsidR="00F473C3" w:rsidRPr="00F473C3" w:rsidRDefault="00F473C3" w:rsidP="00F473C3">
            <w:pPr>
              <w:spacing w:after="0" w:line="240" w:lineRule="auto"/>
              <w:rPr>
                <w:rFonts w:eastAsia="Times New Roman"/>
                <w:b/>
                <w:bCs/>
                <w:lang w:eastAsia="en-GB"/>
              </w:rPr>
            </w:pPr>
            <w:r w:rsidRPr="00F473C3">
              <w:rPr>
                <w:rFonts w:eastAsia="Times New Roman"/>
                <w:b/>
                <w:bCs/>
                <w:lang w:eastAsia="en-GB"/>
              </w:rPr>
              <w:t>Recommend %</w:t>
            </w:r>
          </w:p>
        </w:tc>
        <w:tc>
          <w:tcPr>
            <w:tcW w:w="2220" w:type="dxa"/>
            <w:tcBorders>
              <w:top w:val="single" w:sz="4" w:space="0" w:color="auto"/>
              <w:left w:val="nil"/>
              <w:bottom w:val="single" w:sz="4" w:space="0" w:color="auto"/>
              <w:right w:val="single" w:sz="4" w:space="0" w:color="auto"/>
            </w:tcBorders>
            <w:shd w:val="clear" w:color="auto" w:fill="auto"/>
            <w:noWrap/>
            <w:hideMark/>
          </w:tcPr>
          <w:p w:rsidR="00F473C3" w:rsidRPr="00F473C3" w:rsidRDefault="00F473C3" w:rsidP="00F473C3">
            <w:pPr>
              <w:spacing w:after="0" w:line="240" w:lineRule="auto"/>
              <w:rPr>
                <w:rFonts w:eastAsia="Times New Roman"/>
                <w:b/>
                <w:bCs/>
                <w:lang w:eastAsia="en-GB"/>
              </w:rPr>
            </w:pPr>
            <w:r>
              <w:rPr>
                <w:rFonts w:eastAsia="Times New Roman"/>
                <w:b/>
                <w:bCs/>
                <w:lang w:eastAsia="en-GB"/>
              </w:rPr>
              <w:t>Recommend</w:t>
            </w:r>
          </w:p>
        </w:tc>
        <w:tc>
          <w:tcPr>
            <w:tcW w:w="2356" w:type="dxa"/>
            <w:tcBorders>
              <w:top w:val="single" w:sz="4" w:space="0" w:color="auto"/>
              <w:left w:val="nil"/>
              <w:bottom w:val="single" w:sz="4" w:space="0" w:color="auto"/>
              <w:right w:val="single" w:sz="4" w:space="0" w:color="auto"/>
            </w:tcBorders>
            <w:shd w:val="clear" w:color="auto" w:fill="auto"/>
            <w:noWrap/>
            <w:hideMark/>
          </w:tcPr>
          <w:p w:rsidR="00F473C3" w:rsidRPr="00F473C3" w:rsidRDefault="00F473C3" w:rsidP="00F473C3">
            <w:pPr>
              <w:spacing w:after="0" w:line="240" w:lineRule="auto"/>
              <w:rPr>
                <w:rFonts w:eastAsia="Times New Roman"/>
                <w:b/>
                <w:bCs/>
                <w:lang w:eastAsia="en-GB"/>
              </w:rPr>
            </w:pPr>
            <w:r w:rsidRPr="00F473C3">
              <w:rPr>
                <w:rFonts w:eastAsia="Times New Roman"/>
                <w:b/>
                <w:bCs/>
                <w:lang w:eastAsia="en-GB"/>
              </w:rPr>
              <w:t>Total Responses</w:t>
            </w:r>
          </w:p>
        </w:tc>
      </w:tr>
      <w:tr w:rsidR="00F473C3" w:rsidRPr="00F473C3" w:rsidTr="00F473C3">
        <w:trPr>
          <w:cantSplit/>
          <w:trHeight w:val="288"/>
          <w:tblHeader/>
          <w:jc w:val="center"/>
        </w:trPr>
        <w:tc>
          <w:tcPr>
            <w:tcW w:w="22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lang w:eastAsia="en-GB"/>
              </w:rPr>
            </w:pPr>
            <w:r w:rsidRPr="00F473C3">
              <w:rPr>
                <w:rFonts w:eastAsia="Times New Roman"/>
                <w:b/>
                <w:lang w:eastAsia="en-GB"/>
              </w:rPr>
              <w:t>Male</w:t>
            </w:r>
          </w:p>
        </w:tc>
        <w:tc>
          <w:tcPr>
            <w:tcW w:w="2186" w:type="dxa"/>
            <w:tcBorders>
              <w:top w:val="single" w:sz="4" w:space="0" w:color="auto"/>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97.00%</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8039</w:t>
            </w:r>
          </w:p>
        </w:tc>
        <w:tc>
          <w:tcPr>
            <w:tcW w:w="2356" w:type="dxa"/>
            <w:tcBorders>
              <w:top w:val="single" w:sz="4" w:space="0" w:color="auto"/>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8288</w:t>
            </w:r>
          </w:p>
        </w:tc>
      </w:tr>
      <w:tr w:rsidR="00F473C3" w:rsidRPr="00F473C3" w:rsidTr="00F473C3">
        <w:trPr>
          <w:cantSplit/>
          <w:trHeight w:val="288"/>
          <w:tblHeader/>
          <w:jc w:val="center"/>
        </w:trPr>
        <w:tc>
          <w:tcPr>
            <w:tcW w:w="2210"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lang w:eastAsia="en-GB"/>
              </w:rPr>
            </w:pPr>
            <w:r w:rsidRPr="00F473C3">
              <w:rPr>
                <w:rFonts w:eastAsia="Times New Roman"/>
                <w:b/>
                <w:lang w:eastAsia="en-GB"/>
              </w:rPr>
              <w:t>Female</w:t>
            </w:r>
          </w:p>
        </w:tc>
        <w:tc>
          <w:tcPr>
            <w:tcW w:w="2186"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96.57%</w:t>
            </w:r>
          </w:p>
        </w:tc>
        <w:tc>
          <w:tcPr>
            <w:tcW w:w="222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11041</w:t>
            </w:r>
          </w:p>
        </w:tc>
        <w:tc>
          <w:tcPr>
            <w:tcW w:w="2356"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11433</w:t>
            </w:r>
          </w:p>
        </w:tc>
      </w:tr>
      <w:tr w:rsidR="00F473C3" w:rsidRPr="00F473C3" w:rsidTr="00F473C3">
        <w:trPr>
          <w:cantSplit/>
          <w:trHeight w:val="288"/>
          <w:tblHeader/>
          <w:jc w:val="center"/>
        </w:trPr>
        <w:tc>
          <w:tcPr>
            <w:tcW w:w="2210" w:type="dxa"/>
            <w:tcBorders>
              <w:top w:val="nil"/>
              <w:left w:val="single" w:sz="4" w:space="0" w:color="auto"/>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b/>
                <w:lang w:eastAsia="en-GB"/>
              </w:rPr>
            </w:pPr>
            <w:r w:rsidRPr="00F473C3">
              <w:rPr>
                <w:rFonts w:eastAsia="Times New Roman"/>
                <w:b/>
                <w:lang w:eastAsia="en-GB"/>
              </w:rPr>
              <w:t>Prefer not to say</w:t>
            </w:r>
          </w:p>
        </w:tc>
        <w:tc>
          <w:tcPr>
            <w:tcW w:w="2186"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89.21%</w:t>
            </w:r>
          </w:p>
        </w:tc>
        <w:tc>
          <w:tcPr>
            <w:tcW w:w="2220"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13414</w:t>
            </w:r>
          </w:p>
        </w:tc>
        <w:tc>
          <w:tcPr>
            <w:tcW w:w="2356" w:type="dxa"/>
            <w:tcBorders>
              <w:top w:val="nil"/>
              <w:left w:val="nil"/>
              <w:bottom w:val="single" w:sz="4" w:space="0" w:color="auto"/>
              <w:right w:val="single" w:sz="4" w:space="0" w:color="auto"/>
            </w:tcBorders>
            <w:shd w:val="clear" w:color="auto" w:fill="auto"/>
            <w:noWrap/>
            <w:vAlign w:val="bottom"/>
            <w:hideMark/>
          </w:tcPr>
          <w:p w:rsidR="00F473C3" w:rsidRPr="00F473C3" w:rsidRDefault="00F473C3" w:rsidP="00F473C3">
            <w:pPr>
              <w:spacing w:after="0" w:line="240" w:lineRule="auto"/>
              <w:rPr>
                <w:rFonts w:eastAsia="Times New Roman"/>
                <w:lang w:eastAsia="en-GB"/>
              </w:rPr>
            </w:pPr>
            <w:r w:rsidRPr="00F473C3">
              <w:rPr>
                <w:rFonts w:eastAsia="Times New Roman"/>
                <w:lang w:eastAsia="en-GB"/>
              </w:rPr>
              <w:t>15037</w:t>
            </w:r>
          </w:p>
        </w:tc>
      </w:tr>
    </w:tbl>
    <w:p w:rsidR="00F473C3" w:rsidRPr="00F473C3" w:rsidRDefault="00F473C3" w:rsidP="00F473C3"/>
    <w:p w:rsidR="00F473C3" w:rsidRPr="00F473C3" w:rsidRDefault="000F14BE" w:rsidP="00F473C3">
      <w:pPr>
        <w:jc w:val="center"/>
      </w:pPr>
      <w:r>
        <w:rPr>
          <w:noProof/>
          <w:lang w:eastAsia="en-GB"/>
        </w:rPr>
        <w:lastRenderedPageBreak/>
        <w:drawing>
          <wp:inline distT="0" distB="0" distL="0" distR="0" wp14:anchorId="147CBED1" wp14:editId="73799B4D">
            <wp:extent cx="4130565" cy="2695903"/>
            <wp:effectExtent l="0" t="0" r="3810" b="0"/>
            <wp:docPr id="275" name="Chart 275" title="FFT Recommended by Gender">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DCE404D-B5FE-468F-AF76-CB5249DEC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0F14BE" w:rsidRDefault="000F14BE" w:rsidP="000F14BE">
      <w:r>
        <w:t>What the data tells us:</w:t>
      </w:r>
    </w:p>
    <w:p w:rsidR="000F14BE" w:rsidRDefault="000F14BE" w:rsidP="000F14BE">
      <w:pPr>
        <w:pStyle w:val="ListParagraph"/>
      </w:pPr>
      <w:r>
        <w:t>The overall average recommend rate is 93.49% (this is shown as the red line in the above graph)</w:t>
      </w:r>
    </w:p>
    <w:p w:rsidR="000F14BE" w:rsidRDefault="000F14BE" w:rsidP="000F14BE">
      <w:pPr>
        <w:pStyle w:val="ListParagraph"/>
      </w:pPr>
      <w:r>
        <w:t>A high proportion of patients (38.6%) have chosen the preferred not to say option on the FFT questionnaire.</w:t>
      </w:r>
    </w:p>
    <w:p w:rsidR="000F14BE" w:rsidRPr="00AC737C" w:rsidRDefault="000F14BE" w:rsidP="000F14BE">
      <w:pPr>
        <w:pStyle w:val="ListParagraph"/>
      </w:pPr>
      <w:r>
        <w:t>The recommended rate of female and male patients are similar.</w:t>
      </w:r>
    </w:p>
    <w:p w:rsidR="00F473C3" w:rsidRDefault="00B179DF" w:rsidP="00B179DF">
      <w:pPr>
        <w:pStyle w:val="Heading3"/>
      </w:pPr>
      <w:bookmarkStart w:id="93" w:name="_Toc88634039"/>
      <w:r>
        <w:t>Religion or Belief</w:t>
      </w:r>
      <w:bookmarkEnd w:id="93"/>
    </w:p>
    <w:p w:rsidR="00B179DF" w:rsidRPr="00B179DF" w:rsidRDefault="00B179DF" w:rsidP="00B179DF"/>
    <w:tbl>
      <w:tblPr>
        <w:tblW w:w="9414" w:type="dxa"/>
        <w:jc w:val="center"/>
        <w:tblLook w:val="04A0" w:firstRow="1" w:lastRow="0" w:firstColumn="1" w:lastColumn="0" w:noHBand="0" w:noVBand="1"/>
        <w:tblCaption w:val="FFT brokendown by religion or belief"/>
      </w:tblPr>
      <w:tblGrid>
        <w:gridCol w:w="2576"/>
        <w:gridCol w:w="2199"/>
        <w:gridCol w:w="2220"/>
        <w:gridCol w:w="2419"/>
      </w:tblGrid>
      <w:tr w:rsidR="00B179DF" w:rsidRPr="00B179DF" w:rsidTr="00B179DF">
        <w:trPr>
          <w:cantSplit/>
          <w:trHeight w:val="288"/>
          <w:tblHeader/>
          <w:jc w:val="center"/>
        </w:trPr>
        <w:tc>
          <w:tcPr>
            <w:tcW w:w="2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b/>
                <w:bCs/>
                <w:szCs w:val="24"/>
                <w:lang w:eastAsia="en-GB"/>
              </w:rPr>
            </w:pPr>
            <w:r w:rsidRPr="00B179DF">
              <w:rPr>
                <w:rFonts w:eastAsia="Times New Roman"/>
                <w:b/>
                <w:bCs/>
                <w:szCs w:val="24"/>
                <w:lang w:eastAsia="en-GB"/>
              </w:rPr>
              <w:t>Religion or Beliefs</w:t>
            </w:r>
          </w:p>
        </w:tc>
        <w:tc>
          <w:tcPr>
            <w:tcW w:w="2199" w:type="dxa"/>
            <w:tcBorders>
              <w:top w:val="single" w:sz="4" w:space="0" w:color="auto"/>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b/>
                <w:bCs/>
                <w:szCs w:val="24"/>
                <w:lang w:eastAsia="en-GB"/>
              </w:rPr>
            </w:pPr>
            <w:r w:rsidRPr="00B179DF">
              <w:rPr>
                <w:rFonts w:eastAsia="Times New Roman"/>
                <w:b/>
                <w:bCs/>
                <w:szCs w:val="24"/>
                <w:lang w:eastAsia="en-GB"/>
              </w:rPr>
              <w:t>Recommend %</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b/>
                <w:bCs/>
                <w:szCs w:val="24"/>
                <w:lang w:eastAsia="en-GB"/>
              </w:rPr>
            </w:pPr>
            <w:r w:rsidRPr="00B179DF">
              <w:rPr>
                <w:rFonts w:eastAsia="Times New Roman"/>
                <w:b/>
                <w:bCs/>
                <w:szCs w:val="24"/>
                <w:lang w:eastAsia="en-GB"/>
              </w:rPr>
              <w:t xml:space="preserve">Recommend </w:t>
            </w:r>
          </w:p>
        </w:tc>
        <w:tc>
          <w:tcPr>
            <w:tcW w:w="2419" w:type="dxa"/>
            <w:tcBorders>
              <w:top w:val="single" w:sz="4" w:space="0" w:color="auto"/>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b/>
                <w:bCs/>
                <w:szCs w:val="24"/>
                <w:lang w:eastAsia="en-GB"/>
              </w:rPr>
            </w:pPr>
            <w:r w:rsidRPr="00B179DF">
              <w:rPr>
                <w:rFonts w:eastAsia="Times New Roman"/>
                <w:b/>
                <w:bCs/>
                <w:szCs w:val="24"/>
                <w:lang w:eastAsia="en-GB"/>
              </w:rPr>
              <w:t>Total Responses</w:t>
            </w:r>
          </w:p>
        </w:tc>
      </w:tr>
      <w:tr w:rsidR="00B179DF" w:rsidRPr="00B179DF" w:rsidTr="00B179DF">
        <w:trPr>
          <w:cantSplit/>
          <w:trHeight w:val="288"/>
          <w:tblHeader/>
          <w:jc w:val="center"/>
        </w:trPr>
        <w:tc>
          <w:tcPr>
            <w:tcW w:w="2576" w:type="dxa"/>
            <w:tcBorders>
              <w:top w:val="nil"/>
              <w:left w:val="single" w:sz="4" w:space="0" w:color="auto"/>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Agnosticism</w:t>
            </w:r>
          </w:p>
        </w:tc>
        <w:tc>
          <w:tcPr>
            <w:tcW w:w="219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100.00%</w:t>
            </w:r>
          </w:p>
        </w:tc>
        <w:tc>
          <w:tcPr>
            <w:tcW w:w="2220"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1</w:t>
            </w:r>
          </w:p>
        </w:tc>
        <w:tc>
          <w:tcPr>
            <w:tcW w:w="241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1</w:t>
            </w:r>
          </w:p>
        </w:tc>
      </w:tr>
      <w:tr w:rsidR="00B179DF" w:rsidRPr="00B179DF" w:rsidTr="00B179DF">
        <w:trPr>
          <w:cantSplit/>
          <w:trHeight w:val="288"/>
          <w:tblHeader/>
          <w:jc w:val="center"/>
        </w:trPr>
        <w:tc>
          <w:tcPr>
            <w:tcW w:w="2576" w:type="dxa"/>
            <w:tcBorders>
              <w:top w:val="nil"/>
              <w:left w:val="single" w:sz="4" w:space="0" w:color="auto"/>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Atheism</w:t>
            </w:r>
          </w:p>
        </w:tc>
        <w:tc>
          <w:tcPr>
            <w:tcW w:w="219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100.00%</w:t>
            </w:r>
          </w:p>
        </w:tc>
        <w:tc>
          <w:tcPr>
            <w:tcW w:w="2220"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4</w:t>
            </w:r>
          </w:p>
        </w:tc>
        <w:tc>
          <w:tcPr>
            <w:tcW w:w="241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4</w:t>
            </w:r>
          </w:p>
        </w:tc>
      </w:tr>
      <w:tr w:rsidR="00B179DF" w:rsidRPr="00B179DF" w:rsidTr="00B179DF">
        <w:trPr>
          <w:cantSplit/>
          <w:trHeight w:val="288"/>
          <w:tblHeader/>
          <w:jc w:val="center"/>
        </w:trPr>
        <w:tc>
          <w:tcPr>
            <w:tcW w:w="2576" w:type="dxa"/>
            <w:tcBorders>
              <w:top w:val="nil"/>
              <w:left w:val="single" w:sz="4" w:space="0" w:color="auto"/>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Buddhism</w:t>
            </w:r>
          </w:p>
        </w:tc>
        <w:tc>
          <w:tcPr>
            <w:tcW w:w="219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100.00%</w:t>
            </w:r>
          </w:p>
        </w:tc>
        <w:tc>
          <w:tcPr>
            <w:tcW w:w="2220"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1</w:t>
            </w:r>
          </w:p>
        </w:tc>
        <w:tc>
          <w:tcPr>
            <w:tcW w:w="241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1</w:t>
            </w:r>
          </w:p>
        </w:tc>
      </w:tr>
      <w:tr w:rsidR="00B179DF" w:rsidRPr="00B179DF" w:rsidTr="00B179DF">
        <w:trPr>
          <w:cantSplit/>
          <w:trHeight w:val="288"/>
          <w:tblHeader/>
          <w:jc w:val="center"/>
        </w:trPr>
        <w:tc>
          <w:tcPr>
            <w:tcW w:w="2576" w:type="dxa"/>
            <w:tcBorders>
              <w:top w:val="nil"/>
              <w:left w:val="single" w:sz="4" w:space="0" w:color="auto"/>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Other</w:t>
            </w:r>
          </w:p>
        </w:tc>
        <w:tc>
          <w:tcPr>
            <w:tcW w:w="219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100.00%</w:t>
            </w:r>
          </w:p>
        </w:tc>
        <w:tc>
          <w:tcPr>
            <w:tcW w:w="2220"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2</w:t>
            </w:r>
          </w:p>
        </w:tc>
        <w:tc>
          <w:tcPr>
            <w:tcW w:w="241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2</w:t>
            </w:r>
          </w:p>
        </w:tc>
      </w:tr>
      <w:tr w:rsidR="00B179DF" w:rsidRPr="00B179DF" w:rsidTr="00B179DF">
        <w:trPr>
          <w:cantSplit/>
          <w:trHeight w:val="288"/>
          <w:tblHeader/>
          <w:jc w:val="center"/>
        </w:trPr>
        <w:tc>
          <w:tcPr>
            <w:tcW w:w="2576" w:type="dxa"/>
            <w:tcBorders>
              <w:top w:val="nil"/>
              <w:left w:val="single" w:sz="4" w:space="0" w:color="auto"/>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Prefer not to say</w:t>
            </w:r>
          </w:p>
        </w:tc>
        <w:tc>
          <w:tcPr>
            <w:tcW w:w="219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100.00%</w:t>
            </w:r>
          </w:p>
        </w:tc>
        <w:tc>
          <w:tcPr>
            <w:tcW w:w="2220"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1</w:t>
            </w:r>
          </w:p>
        </w:tc>
        <w:tc>
          <w:tcPr>
            <w:tcW w:w="241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1</w:t>
            </w:r>
          </w:p>
        </w:tc>
      </w:tr>
      <w:tr w:rsidR="00B179DF" w:rsidRPr="00B179DF" w:rsidTr="00B179DF">
        <w:trPr>
          <w:cantSplit/>
          <w:trHeight w:val="288"/>
          <w:tblHeader/>
          <w:jc w:val="center"/>
        </w:trPr>
        <w:tc>
          <w:tcPr>
            <w:tcW w:w="2576" w:type="dxa"/>
            <w:tcBorders>
              <w:top w:val="nil"/>
              <w:left w:val="single" w:sz="4" w:space="0" w:color="auto"/>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No Religion or Belief</w:t>
            </w:r>
          </w:p>
        </w:tc>
        <w:tc>
          <w:tcPr>
            <w:tcW w:w="219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94.74%</w:t>
            </w:r>
          </w:p>
        </w:tc>
        <w:tc>
          <w:tcPr>
            <w:tcW w:w="2220"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18</w:t>
            </w:r>
          </w:p>
        </w:tc>
        <w:tc>
          <w:tcPr>
            <w:tcW w:w="241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19</w:t>
            </w:r>
          </w:p>
        </w:tc>
      </w:tr>
      <w:tr w:rsidR="00B179DF" w:rsidRPr="00B179DF" w:rsidTr="00B179DF">
        <w:trPr>
          <w:cantSplit/>
          <w:trHeight w:val="288"/>
          <w:tblHeader/>
          <w:jc w:val="center"/>
        </w:trPr>
        <w:tc>
          <w:tcPr>
            <w:tcW w:w="2576" w:type="dxa"/>
            <w:tcBorders>
              <w:top w:val="nil"/>
              <w:left w:val="single" w:sz="4" w:space="0" w:color="auto"/>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Did not answer</w:t>
            </w:r>
          </w:p>
        </w:tc>
        <w:tc>
          <w:tcPr>
            <w:tcW w:w="219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93.48%</w:t>
            </w:r>
          </w:p>
        </w:tc>
        <w:tc>
          <w:tcPr>
            <w:tcW w:w="2220"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32454</w:t>
            </w:r>
          </w:p>
        </w:tc>
        <w:tc>
          <w:tcPr>
            <w:tcW w:w="241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34716</w:t>
            </w:r>
          </w:p>
        </w:tc>
      </w:tr>
      <w:tr w:rsidR="00B179DF" w:rsidRPr="00B179DF" w:rsidTr="00B179DF">
        <w:trPr>
          <w:cantSplit/>
          <w:trHeight w:val="288"/>
          <w:tblHeader/>
          <w:jc w:val="center"/>
        </w:trPr>
        <w:tc>
          <w:tcPr>
            <w:tcW w:w="2576" w:type="dxa"/>
            <w:tcBorders>
              <w:top w:val="nil"/>
              <w:left w:val="single" w:sz="4" w:space="0" w:color="auto"/>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Christianity</w:t>
            </w:r>
          </w:p>
        </w:tc>
        <w:tc>
          <w:tcPr>
            <w:tcW w:w="219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92.86%</w:t>
            </w:r>
          </w:p>
        </w:tc>
        <w:tc>
          <w:tcPr>
            <w:tcW w:w="2220"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13</w:t>
            </w:r>
          </w:p>
        </w:tc>
        <w:tc>
          <w:tcPr>
            <w:tcW w:w="2419" w:type="dxa"/>
            <w:tcBorders>
              <w:top w:val="nil"/>
              <w:left w:val="nil"/>
              <w:bottom w:val="single" w:sz="4" w:space="0" w:color="auto"/>
              <w:right w:val="single" w:sz="4" w:space="0" w:color="auto"/>
            </w:tcBorders>
            <w:shd w:val="clear" w:color="auto" w:fill="auto"/>
            <w:noWrap/>
            <w:vAlign w:val="bottom"/>
            <w:hideMark/>
          </w:tcPr>
          <w:p w:rsidR="00B179DF" w:rsidRPr="00B179DF" w:rsidRDefault="00B179DF" w:rsidP="00B179DF">
            <w:pPr>
              <w:spacing w:after="0" w:line="240" w:lineRule="auto"/>
              <w:rPr>
                <w:rFonts w:eastAsia="Times New Roman"/>
                <w:szCs w:val="24"/>
                <w:lang w:eastAsia="en-GB"/>
              </w:rPr>
            </w:pPr>
            <w:r w:rsidRPr="00B179DF">
              <w:rPr>
                <w:rFonts w:eastAsia="Times New Roman"/>
                <w:szCs w:val="24"/>
                <w:lang w:eastAsia="en-GB"/>
              </w:rPr>
              <w:t>14</w:t>
            </w:r>
          </w:p>
        </w:tc>
      </w:tr>
    </w:tbl>
    <w:p w:rsidR="00B179DF" w:rsidRDefault="00B179DF" w:rsidP="00B179DF"/>
    <w:p w:rsidR="00B179DF" w:rsidRDefault="000F14BE" w:rsidP="00B179DF">
      <w:r>
        <w:rPr>
          <w:noProof/>
          <w:lang w:eastAsia="en-GB"/>
        </w:rPr>
        <w:lastRenderedPageBreak/>
        <w:drawing>
          <wp:inline distT="0" distB="0" distL="0" distR="0" wp14:anchorId="38FE469B" wp14:editId="0834EA29">
            <wp:extent cx="5731510" cy="3449928"/>
            <wp:effectExtent l="0" t="0" r="2540" b="0"/>
            <wp:docPr id="276" name="Chart 276" title="FFT Recommended by Religion or Belief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5D9C3D21-1700-4977-AC1C-AF1492C202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0F14BE" w:rsidRDefault="000F14BE" w:rsidP="000F14BE">
      <w:r>
        <w:t>What the data tells us:</w:t>
      </w:r>
    </w:p>
    <w:p w:rsidR="000F14BE" w:rsidRDefault="000F14BE" w:rsidP="000F14BE">
      <w:pPr>
        <w:pStyle w:val="ListParagraph"/>
      </w:pPr>
      <w:r>
        <w:t>The overall average recommend</w:t>
      </w:r>
      <w:r w:rsidR="000D2F61">
        <w:t>ed</w:t>
      </w:r>
      <w:r>
        <w:t xml:space="preserve"> rate is 93.49% (this is shown as the red line in the about graph).</w:t>
      </w:r>
    </w:p>
    <w:p w:rsidR="000F14BE" w:rsidRDefault="000F14BE" w:rsidP="000F14BE">
      <w:pPr>
        <w:pStyle w:val="ListParagraph"/>
      </w:pPr>
      <w:r>
        <w:t xml:space="preserve">93.3% of patients did not declare their religion or belief in the FFT questionnaire.  Because of this, there is no further </w:t>
      </w:r>
      <w:r w:rsidR="000D2F61">
        <w:t xml:space="preserve">meaningful </w:t>
      </w:r>
      <w:r>
        <w:t xml:space="preserve">analysis </w:t>
      </w:r>
      <w:r w:rsidR="000D2F61">
        <w:t>from this data</w:t>
      </w:r>
      <w:r>
        <w:t>.</w:t>
      </w:r>
    </w:p>
    <w:p w:rsidR="000F14BE" w:rsidRPr="00B179DF" w:rsidRDefault="000F14BE" w:rsidP="00B179DF"/>
    <w:sectPr w:rsidR="000F14BE" w:rsidRPr="00B179DF" w:rsidSect="00652DE2">
      <w:footerReference w:type="first" r:id="rId12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FEA" w:rsidRDefault="00DA4FEA" w:rsidP="00652DE2">
      <w:r>
        <w:separator/>
      </w:r>
    </w:p>
  </w:endnote>
  <w:endnote w:type="continuationSeparator" w:id="0">
    <w:p w:rsidR="00DA4FEA" w:rsidRDefault="00DA4FEA" w:rsidP="00652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543743"/>
      <w:docPartObj>
        <w:docPartGallery w:val="Page Numbers (Bottom of Page)"/>
        <w:docPartUnique/>
      </w:docPartObj>
    </w:sdtPr>
    <w:sdtEndPr>
      <w:rPr>
        <w:noProof/>
      </w:rPr>
    </w:sdtEndPr>
    <w:sdtContent>
      <w:p w:rsidR="00DA4FEA" w:rsidRPr="009E4C69" w:rsidRDefault="00DA4FEA" w:rsidP="00652DE2">
        <w:pPr>
          <w:pStyle w:val="Footer"/>
        </w:pPr>
        <w:r w:rsidRPr="009E4C69">
          <w:fldChar w:fldCharType="begin"/>
        </w:r>
        <w:r w:rsidRPr="009E4C69">
          <w:instrText xml:space="preserve"> PAGE   \* MERGEFORMAT </w:instrText>
        </w:r>
        <w:r w:rsidRPr="009E4C69">
          <w:fldChar w:fldCharType="separate"/>
        </w:r>
        <w:r w:rsidR="008E6F14">
          <w:rPr>
            <w:noProof/>
          </w:rPr>
          <w:t>121</w:t>
        </w:r>
        <w:r w:rsidRPr="009E4C69">
          <w:rPr>
            <w:noProof/>
          </w:rPr>
          <w:fldChar w:fldCharType="end"/>
        </w:r>
      </w:p>
    </w:sdtContent>
  </w:sdt>
  <w:p w:rsidR="00DA4FEA" w:rsidRDefault="00DA4FEA" w:rsidP="00652D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FEA" w:rsidRDefault="00DA4FEA" w:rsidP="00652DE2">
    <w:pPr>
      <w:pStyle w:val="Footer"/>
    </w:pPr>
  </w:p>
  <w:p w:rsidR="00DA4FEA" w:rsidRDefault="00DA4FEA" w:rsidP="00652D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FEA" w:rsidRDefault="00DA4FEA" w:rsidP="00652DE2">
    <w:pPr>
      <w:pStyle w:val="Footer"/>
    </w:pPr>
  </w:p>
  <w:p w:rsidR="00DA4FEA" w:rsidRDefault="00DA4FEA" w:rsidP="00652D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FEA" w:rsidRDefault="00DA4FEA" w:rsidP="00652DE2">
      <w:r>
        <w:separator/>
      </w:r>
    </w:p>
  </w:footnote>
  <w:footnote w:type="continuationSeparator" w:id="0">
    <w:p w:rsidR="00DA4FEA" w:rsidRDefault="00DA4FEA" w:rsidP="00652D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FEA" w:rsidRDefault="00DA4FEA" w:rsidP="00652DE2">
    <w:pPr>
      <w:pStyle w:val="Header"/>
    </w:pPr>
    <w:r>
      <w:rPr>
        <w:noProof/>
        <w:lang w:eastAsia="en-GB"/>
      </w:rPr>
      <w:drawing>
        <wp:anchor distT="0" distB="0" distL="114300" distR="114300" simplePos="0" relativeHeight="251659264" behindDoc="0" locked="0" layoutInCell="1" allowOverlap="1" wp14:anchorId="4FAFF114" wp14:editId="2BC05B77">
          <wp:simplePos x="0" y="0"/>
          <wp:positionH relativeFrom="column">
            <wp:posOffset>4820232</wp:posOffset>
          </wp:positionH>
          <wp:positionV relativeFrom="paragraph">
            <wp:posOffset>-20955</wp:posOffset>
          </wp:positionV>
          <wp:extent cx="1898964" cy="1129117"/>
          <wp:effectExtent l="0" t="0" r="6350" b="0"/>
          <wp:wrapNone/>
          <wp:docPr id="18" name="Picture 1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98964" cy="112911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45A2"/>
    <w:multiLevelType w:val="hybridMultilevel"/>
    <w:tmpl w:val="11D46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431BAE"/>
    <w:multiLevelType w:val="hybridMultilevel"/>
    <w:tmpl w:val="51B63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F4370A"/>
    <w:multiLevelType w:val="hybridMultilevel"/>
    <w:tmpl w:val="6CC0A2EC"/>
    <w:lvl w:ilvl="0" w:tplc="0686B926">
      <w:numFmt w:val="bullet"/>
      <w:lvlText w:val="•"/>
      <w:lvlJc w:val="left"/>
      <w:pPr>
        <w:ind w:left="3600" w:hanging="360"/>
      </w:pPr>
      <w:rPr>
        <w:rFonts w:ascii="Arial" w:eastAsiaTheme="minorEastAsia" w:hAnsi="Arial" w:cs="Arial" w:hint="default"/>
      </w:rPr>
    </w:lvl>
    <w:lvl w:ilvl="1" w:tplc="CC6AB014">
      <w:numFmt w:val="bullet"/>
      <w:lvlText w:val="•"/>
      <w:lvlJc w:val="left"/>
      <w:pPr>
        <w:ind w:left="4680" w:hanging="720"/>
      </w:pPr>
      <w:rPr>
        <w:rFonts w:ascii="Arial" w:eastAsiaTheme="minorEastAsia" w:hAnsi="Arial" w:cs="Arial"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nsid w:val="0D4E1B86"/>
    <w:multiLevelType w:val="hybridMultilevel"/>
    <w:tmpl w:val="12E666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210330"/>
    <w:multiLevelType w:val="hybridMultilevel"/>
    <w:tmpl w:val="03181CE6"/>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B1233E3"/>
    <w:multiLevelType w:val="hybridMultilevel"/>
    <w:tmpl w:val="A7D88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864E23"/>
    <w:multiLevelType w:val="hybridMultilevel"/>
    <w:tmpl w:val="BB0C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933E7C"/>
    <w:multiLevelType w:val="hybridMultilevel"/>
    <w:tmpl w:val="DE46AE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323A7E"/>
    <w:multiLevelType w:val="hybridMultilevel"/>
    <w:tmpl w:val="10B2F3C6"/>
    <w:lvl w:ilvl="0" w:tplc="9AE61702">
      <w:start w:val="1"/>
      <w:numFmt w:val="bullet"/>
      <w:pStyle w:val="ListParagraph"/>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C64341"/>
    <w:multiLevelType w:val="hybridMultilevel"/>
    <w:tmpl w:val="BB4CF80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0">
    <w:nsid w:val="3E9E6775"/>
    <w:multiLevelType w:val="hybridMultilevel"/>
    <w:tmpl w:val="63CE381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F415510"/>
    <w:multiLevelType w:val="hybridMultilevel"/>
    <w:tmpl w:val="00E00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986EBF"/>
    <w:multiLevelType w:val="hybridMultilevel"/>
    <w:tmpl w:val="375ABEC4"/>
    <w:lvl w:ilvl="0" w:tplc="08090011">
      <w:start w:val="1"/>
      <w:numFmt w:val="decimal"/>
      <w:lvlText w:val="%1)"/>
      <w:lvlJc w:val="left"/>
      <w:pPr>
        <w:ind w:left="720" w:hanging="360"/>
      </w:pPr>
      <w:rPr>
        <w:rFonts w:hint="default"/>
      </w:rPr>
    </w:lvl>
    <w:lvl w:ilvl="1" w:tplc="0686B926">
      <w:numFmt w:val="bullet"/>
      <w:lvlText w:val="•"/>
      <w:lvlJc w:val="left"/>
      <w:pPr>
        <w:ind w:left="1800" w:hanging="720"/>
      </w:pPr>
      <w:rPr>
        <w:rFonts w:ascii="Arial" w:eastAsiaTheme="minorEastAsia"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BF23807"/>
    <w:multiLevelType w:val="hybridMultilevel"/>
    <w:tmpl w:val="0F0221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D404E21"/>
    <w:multiLevelType w:val="hybridMultilevel"/>
    <w:tmpl w:val="3C2C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E1B2AEB"/>
    <w:multiLevelType w:val="hybridMultilevel"/>
    <w:tmpl w:val="5BC02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50D36A09"/>
    <w:multiLevelType w:val="hybridMultilevel"/>
    <w:tmpl w:val="CF021766"/>
    <w:lvl w:ilvl="0" w:tplc="08090001">
      <w:start w:val="1"/>
      <w:numFmt w:val="bullet"/>
      <w:lvlText w:val=""/>
      <w:lvlJc w:val="left"/>
      <w:pPr>
        <w:ind w:left="720" w:hanging="360"/>
      </w:pPr>
      <w:rPr>
        <w:rFonts w:ascii="Symbol" w:hAnsi="Symbol" w:hint="default"/>
        <w:color w:val="auto"/>
        <w:sz w:val="28"/>
        <w:szCs w:val="5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9D3862"/>
    <w:multiLevelType w:val="hybridMultilevel"/>
    <w:tmpl w:val="9868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211256"/>
    <w:multiLevelType w:val="hybridMultilevel"/>
    <w:tmpl w:val="4A565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EC4339"/>
    <w:multiLevelType w:val="hybridMultilevel"/>
    <w:tmpl w:val="53E4E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21A4DC0"/>
    <w:multiLevelType w:val="hybridMultilevel"/>
    <w:tmpl w:val="1F44E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0562DC"/>
    <w:multiLevelType w:val="hybridMultilevel"/>
    <w:tmpl w:val="9FD2A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F94475B"/>
    <w:multiLevelType w:val="hybridMultilevel"/>
    <w:tmpl w:val="85046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56F00A6"/>
    <w:multiLevelType w:val="hybridMultilevel"/>
    <w:tmpl w:val="2E3E8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71C45D1"/>
    <w:multiLevelType w:val="hybridMultilevel"/>
    <w:tmpl w:val="B3CE65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78D3E5F"/>
    <w:multiLevelType w:val="hybridMultilevel"/>
    <w:tmpl w:val="E7204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C11349"/>
    <w:multiLevelType w:val="hybridMultilevel"/>
    <w:tmpl w:val="BDCE3070"/>
    <w:lvl w:ilvl="0" w:tplc="08090011">
      <w:start w:val="1"/>
      <w:numFmt w:val="decimal"/>
      <w:lvlText w:val="%1)"/>
      <w:lvlJc w:val="left"/>
      <w:pPr>
        <w:ind w:left="720" w:hanging="360"/>
      </w:pPr>
      <w:rPr>
        <w:rFonts w:hint="default"/>
      </w:rPr>
    </w:lvl>
    <w:lvl w:ilvl="1" w:tplc="BB3EE8E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
  </w:num>
  <w:num w:numId="3">
    <w:abstractNumId w:val="26"/>
  </w:num>
  <w:num w:numId="4">
    <w:abstractNumId w:val="12"/>
  </w:num>
  <w:num w:numId="5">
    <w:abstractNumId w:val="24"/>
  </w:num>
  <w:num w:numId="6">
    <w:abstractNumId w:val="7"/>
  </w:num>
  <w:num w:numId="7">
    <w:abstractNumId w:val="0"/>
  </w:num>
  <w:num w:numId="8">
    <w:abstractNumId w:val="1"/>
  </w:num>
  <w:num w:numId="9">
    <w:abstractNumId w:val="6"/>
  </w:num>
  <w:num w:numId="10">
    <w:abstractNumId w:val="9"/>
  </w:num>
  <w:num w:numId="11">
    <w:abstractNumId w:val="16"/>
  </w:num>
  <w:num w:numId="12">
    <w:abstractNumId w:val="2"/>
  </w:num>
  <w:num w:numId="13">
    <w:abstractNumId w:val="25"/>
  </w:num>
  <w:num w:numId="14">
    <w:abstractNumId w:val="19"/>
  </w:num>
  <w:num w:numId="15">
    <w:abstractNumId w:val="21"/>
  </w:num>
  <w:num w:numId="16">
    <w:abstractNumId w:val="17"/>
  </w:num>
  <w:num w:numId="17">
    <w:abstractNumId w:val="20"/>
  </w:num>
  <w:num w:numId="18">
    <w:abstractNumId w:val="10"/>
  </w:num>
  <w:num w:numId="19">
    <w:abstractNumId w:val="11"/>
  </w:num>
  <w:num w:numId="20">
    <w:abstractNumId w:val="22"/>
  </w:num>
  <w:num w:numId="21">
    <w:abstractNumId w:val="18"/>
  </w:num>
  <w:num w:numId="22">
    <w:abstractNumId w:val="23"/>
  </w:num>
  <w:num w:numId="23">
    <w:abstractNumId w:val="14"/>
  </w:num>
  <w:num w:numId="24">
    <w:abstractNumId w:val="15"/>
  </w:num>
  <w:num w:numId="25">
    <w:abstractNumId w:val="5"/>
  </w:num>
  <w:num w:numId="26">
    <w:abstractNumId w:val="13"/>
  </w:num>
  <w:num w:numId="2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szAysTQ2Mzc1NjZS0lEKTi0uzszPAykwsqgFAIQOM8ktAAAA"/>
  </w:docVars>
  <w:rsids>
    <w:rsidRoot w:val="00652DE2"/>
    <w:rsid w:val="00007AE6"/>
    <w:rsid w:val="00012666"/>
    <w:rsid w:val="000355A2"/>
    <w:rsid w:val="000374C9"/>
    <w:rsid w:val="00052978"/>
    <w:rsid w:val="00053511"/>
    <w:rsid w:val="0008729E"/>
    <w:rsid w:val="000B2BAB"/>
    <w:rsid w:val="000C2D15"/>
    <w:rsid w:val="000C64DA"/>
    <w:rsid w:val="000D2F61"/>
    <w:rsid w:val="000E2B5A"/>
    <w:rsid w:val="000F14BE"/>
    <w:rsid w:val="000F3AF4"/>
    <w:rsid w:val="000F49E3"/>
    <w:rsid w:val="00114CC9"/>
    <w:rsid w:val="00126DB3"/>
    <w:rsid w:val="001353EC"/>
    <w:rsid w:val="00136DC0"/>
    <w:rsid w:val="00137B12"/>
    <w:rsid w:val="001578FF"/>
    <w:rsid w:val="0016519D"/>
    <w:rsid w:val="001949D0"/>
    <w:rsid w:val="001A2AAA"/>
    <w:rsid w:val="001B2282"/>
    <w:rsid w:val="001B5DFA"/>
    <w:rsid w:val="001D4CCF"/>
    <w:rsid w:val="001D6F99"/>
    <w:rsid w:val="001E6A94"/>
    <w:rsid w:val="001F5EBC"/>
    <w:rsid w:val="001F6C95"/>
    <w:rsid w:val="002026A5"/>
    <w:rsid w:val="00205B19"/>
    <w:rsid w:val="00206294"/>
    <w:rsid w:val="00227A81"/>
    <w:rsid w:val="00236525"/>
    <w:rsid w:val="0024716C"/>
    <w:rsid w:val="00252775"/>
    <w:rsid w:val="00257BF1"/>
    <w:rsid w:val="00263D3C"/>
    <w:rsid w:val="0027307A"/>
    <w:rsid w:val="002A5263"/>
    <w:rsid w:val="002B1A34"/>
    <w:rsid w:val="002B31A8"/>
    <w:rsid w:val="002C455E"/>
    <w:rsid w:val="002C6157"/>
    <w:rsid w:val="002D1385"/>
    <w:rsid w:val="002E5330"/>
    <w:rsid w:val="002E7A65"/>
    <w:rsid w:val="00314CEE"/>
    <w:rsid w:val="00315CD5"/>
    <w:rsid w:val="003204AF"/>
    <w:rsid w:val="0032548E"/>
    <w:rsid w:val="003307D2"/>
    <w:rsid w:val="003344CF"/>
    <w:rsid w:val="00334562"/>
    <w:rsid w:val="0033755C"/>
    <w:rsid w:val="00340244"/>
    <w:rsid w:val="0034421B"/>
    <w:rsid w:val="003528A7"/>
    <w:rsid w:val="00362782"/>
    <w:rsid w:val="00366B3A"/>
    <w:rsid w:val="00393800"/>
    <w:rsid w:val="00396DA2"/>
    <w:rsid w:val="003C675B"/>
    <w:rsid w:val="003D7937"/>
    <w:rsid w:val="003E3187"/>
    <w:rsid w:val="003F1FAC"/>
    <w:rsid w:val="004071E6"/>
    <w:rsid w:val="00413964"/>
    <w:rsid w:val="00413E08"/>
    <w:rsid w:val="00426019"/>
    <w:rsid w:val="00452E6C"/>
    <w:rsid w:val="0047072F"/>
    <w:rsid w:val="00474AA3"/>
    <w:rsid w:val="00476125"/>
    <w:rsid w:val="00476E7E"/>
    <w:rsid w:val="00477B56"/>
    <w:rsid w:val="0048421D"/>
    <w:rsid w:val="00486168"/>
    <w:rsid w:val="0049653C"/>
    <w:rsid w:val="004A366D"/>
    <w:rsid w:val="004D110C"/>
    <w:rsid w:val="004F0110"/>
    <w:rsid w:val="005045DE"/>
    <w:rsid w:val="00505FC2"/>
    <w:rsid w:val="00510302"/>
    <w:rsid w:val="00512011"/>
    <w:rsid w:val="0052092A"/>
    <w:rsid w:val="00521A43"/>
    <w:rsid w:val="005279A6"/>
    <w:rsid w:val="00542910"/>
    <w:rsid w:val="00542CED"/>
    <w:rsid w:val="00565954"/>
    <w:rsid w:val="00583EC6"/>
    <w:rsid w:val="005A1721"/>
    <w:rsid w:val="005B30BC"/>
    <w:rsid w:val="005B7F53"/>
    <w:rsid w:val="005C54A6"/>
    <w:rsid w:val="005F0264"/>
    <w:rsid w:val="005F60AF"/>
    <w:rsid w:val="00601D98"/>
    <w:rsid w:val="0061633E"/>
    <w:rsid w:val="00630ECF"/>
    <w:rsid w:val="006315AB"/>
    <w:rsid w:val="006455EF"/>
    <w:rsid w:val="00652DE2"/>
    <w:rsid w:val="006615AA"/>
    <w:rsid w:val="006650FE"/>
    <w:rsid w:val="00674167"/>
    <w:rsid w:val="00687219"/>
    <w:rsid w:val="006A150C"/>
    <w:rsid w:val="006A1C32"/>
    <w:rsid w:val="006D1313"/>
    <w:rsid w:val="00701CAB"/>
    <w:rsid w:val="00702376"/>
    <w:rsid w:val="00705357"/>
    <w:rsid w:val="0072670F"/>
    <w:rsid w:val="007364D0"/>
    <w:rsid w:val="007673D5"/>
    <w:rsid w:val="00773797"/>
    <w:rsid w:val="00775191"/>
    <w:rsid w:val="00777225"/>
    <w:rsid w:val="00786ADF"/>
    <w:rsid w:val="00793954"/>
    <w:rsid w:val="007B0342"/>
    <w:rsid w:val="007B7BD6"/>
    <w:rsid w:val="007C5A78"/>
    <w:rsid w:val="007D31EF"/>
    <w:rsid w:val="007D42A5"/>
    <w:rsid w:val="007E749F"/>
    <w:rsid w:val="007F3019"/>
    <w:rsid w:val="00810ADF"/>
    <w:rsid w:val="0082228F"/>
    <w:rsid w:val="008408E0"/>
    <w:rsid w:val="00843779"/>
    <w:rsid w:val="00847E4E"/>
    <w:rsid w:val="008506E3"/>
    <w:rsid w:val="008668C2"/>
    <w:rsid w:val="00873444"/>
    <w:rsid w:val="00881E07"/>
    <w:rsid w:val="00895BEF"/>
    <w:rsid w:val="008A0046"/>
    <w:rsid w:val="008A38FE"/>
    <w:rsid w:val="008A7616"/>
    <w:rsid w:val="008B68F1"/>
    <w:rsid w:val="008C0572"/>
    <w:rsid w:val="008C45FC"/>
    <w:rsid w:val="008C5E16"/>
    <w:rsid w:val="008E6F14"/>
    <w:rsid w:val="008F6F1E"/>
    <w:rsid w:val="009028A9"/>
    <w:rsid w:val="00905456"/>
    <w:rsid w:val="00923822"/>
    <w:rsid w:val="00925893"/>
    <w:rsid w:val="0095000A"/>
    <w:rsid w:val="00957803"/>
    <w:rsid w:val="0096180E"/>
    <w:rsid w:val="009768C5"/>
    <w:rsid w:val="00982F0F"/>
    <w:rsid w:val="00982FBA"/>
    <w:rsid w:val="0098414C"/>
    <w:rsid w:val="009914D4"/>
    <w:rsid w:val="009935BD"/>
    <w:rsid w:val="009B6B47"/>
    <w:rsid w:val="009C6335"/>
    <w:rsid w:val="009C7818"/>
    <w:rsid w:val="009D1627"/>
    <w:rsid w:val="009E235F"/>
    <w:rsid w:val="009F4D81"/>
    <w:rsid w:val="00A007D3"/>
    <w:rsid w:val="00A0368A"/>
    <w:rsid w:val="00A04C7D"/>
    <w:rsid w:val="00A175C6"/>
    <w:rsid w:val="00A268B9"/>
    <w:rsid w:val="00A276E2"/>
    <w:rsid w:val="00A327C3"/>
    <w:rsid w:val="00A372B3"/>
    <w:rsid w:val="00A53C2E"/>
    <w:rsid w:val="00A67A36"/>
    <w:rsid w:val="00A717E2"/>
    <w:rsid w:val="00A830A0"/>
    <w:rsid w:val="00A91D9B"/>
    <w:rsid w:val="00A95176"/>
    <w:rsid w:val="00AB6A68"/>
    <w:rsid w:val="00AC0020"/>
    <w:rsid w:val="00AC737C"/>
    <w:rsid w:val="00AE28AA"/>
    <w:rsid w:val="00AE296C"/>
    <w:rsid w:val="00AE2C6A"/>
    <w:rsid w:val="00AE49C8"/>
    <w:rsid w:val="00AF03DD"/>
    <w:rsid w:val="00AF5514"/>
    <w:rsid w:val="00B0459B"/>
    <w:rsid w:val="00B077A0"/>
    <w:rsid w:val="00B149D1"/>
    <w:rsid w:val="00B179DF"/>
    <w:rsid w:val="00B249BF"/>
    <w:rsid w:val="00B32BDE"/>
    <w:rsid w:val="00B339AB"/>
    <w:rsid w:val="00B36408"/>
    <w:rsid w:val="00B462E6"/>
    <w:rsid w:val="00B51BC1"/>
    <w:rsid w:val="00BA1082"/>
    <w:rsid w:val="00BC08D1"/>
    <w:rsid w:val="00BC2B9E"/>
    <w:rsid w:val="00BD0757"/>
    <w:rsid w:val="00BD29B7"/>
    <w:rsid w:val="00BD4880"/>
    <w:rsid w:val="00BD51AE"/>
    <w:rsid w:val="00BD6BE6"/>
    <w:rsid w:val="00BE2D1B"/>
    <w:rsid w:val="00BF3AC8"/>
    <w:rsid w:val="00BF662D"/>
    <w:rsid w:val="00C158E8"/>
    <w:rsid w:val="00C3359F"/>
    <w:rsid w:val="00C451D3"/>
    <w:rsid w:val="00C52449"/>
    <w:rsid w:val="00C711A7"/>
    <w:rsid w:val="00C72DC3"/>
    <w:rsid w:val="00C775B5"/>
    <w:rsid w:val="00C831A7"/>
    <w:rsid w:val="00C92A79"/>
    <w:rsid w:val="00C953E3"/>
    <w:rsid w:val="00CC6538"/>
    <w:rsid w:val="00CD7BEE"/>
    <w:rsid w:val="00CE701E"/>
    <w:rsid w:val="00CF1F0A"/>
    <w:rsid w:val="00D04B36"/>
    <w:rsid w:val="00D079FF"/>
    <w:rsid w:val="00D128F1"/>
    <w:rsid w:val="00D66A05"/>
    <w:rsid w:val="00D905A0"/>
    <w:rsid w:val="00D92D6B"/>
    <w:rsid w:val="00D938E7"/>
    <w:rsid w:val="00DA0B31"/>
    <w:rsid w:val="00DA4523"/>
    <w:rsid w:val="00DA4FEA"/>
    <w:rsid w:val="00DC55C3"/>
    <w:rsid w:val="00DC6594"/>
    <w:rsid w:val="00DD1B01"/>
    <w:rsid w:val="00DD2448"/>
    <w:rsid w:val="00DE0F16"/>
    <w:rsid w:val="00DE2C7D"/>
    <w:rsid w:val="00DE433D"/>
    <w:rsid w:val="00E0237A"/>
    <w:rsid w:val="00E05BB1"/>
    <w:rsid w:val="00E23B3B"/>
    <w:rsid w:val="00E354CA"/>
    <w:rsid w:val="00E35A88"/>
    <w:rsid w:val="00E41E76"/>
    <w:rsid w:val="00E51EAD"/>
    <w:rsid w:val="00E62321"/>
    <w:rsid w:val="00E666D4"/>
    <w:rsid w:val="00E7596C"/>
    <w:rsid w:val="00E91A99"/>
    <w:rsid w:val="00E95A5F"/>
    <w:rsid w:val="00EA0368"/>
    <w:rsid w:val="00EA09CE"/>
    <w:rsid w:val="00EA0AB6"/>
    <w:rsid w:val="00EA62F6"/>
    <w:rsid w:val="00EC77C1"/>
    <w:rsid w:val="00ED3B55"/>
    <w:rsid w:val="00EE2524"/>
    <w:rsid w:val="00EE2C3C"/>
    <w:rsid w:val="00EF1AA7"/>
    <w:rsid w:val="00F10EC2"/>
    <w:rsid w:val="00F20894"/>
    <w:rsid w:val="00F26016"/>
    <w:rsid w:val="00F27566"/>
    <w:rsid w:val="00F3345C"/>
    <w:rsid w:val="00F334A1"/>
    <w:rsid w:val="00F41DEF"/>
    <w:rsid w:val="00F473C3"/>
    <w:rsid w:val="00F47C67"/>
    <w:rsid w:val="00F5140B"/>
    <w:rsid w:val="00F66DD7"/>
    <w:rsid w:val="00F70D8C"/>
    <w:rsid w:val="00F828CE"/>
    <w:rsid w:val="00F929FA"/>
    <w:rsid w:val="00FD084D"/>
    <w:rsid w:val="00FD5583"/>
    <w:rsid w:val="00FF33A2"/>
    <w:rsid w:val="00FF4255"/>
    <w:rsid w:val="00FF494A"/>
    <w:rsid w:val="00FF7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52DE2"/>
    <w:pPr>
      <w:widowControl/>
    </w:pPr>
    <w:rPr>
      <w:rFonts w:ascii="Arial" w:hAnsi="Arial" w:cs="Arial"/>
      <w:sz w:val="24"/>
    </w:rPr>
  </w:style>
  <w:style w:type="paragraph" w:styleId="Heading1">
    <w:name w:val="heading 1"/>
    <w:basedOn w:val="Normal"/>
    <w:next w:val="Normal"/>
    <w:link w:val="Heading1Char"/>
    <w:uiPriority w:val="9"/>
    <w:qFormat/>
    <w:rsid w:val="00652DE2"/>
    <w:pPr>
      <w:keepNext/>
      <w:keepLines/>
      <w:spacing w:before="480" w:after="0"/>
      <w:outlineLvl w:val="0"/>
    </w:pPr>
    <w:rPr>
      <w:rFonts w:eastAsiaTheme="majorEastAsia" w:cstheme="majorBidi"/>
      <w:b/>
      <w:bCs/>
      <w:color w:val="0070C0"/>
      <w:sz w:val="40"/>
      <w:szCs w:val="28"/>
    </w:rPr>
  </w:style>
  <w:style w:type="paragraph" w:styleId="Heading2">
    <w:name w:val="heading 2"/>
    <w:basedOn w:val="Normal"/>
    <w:next w:val="Normal"/>
    <w:link w:val="Heading2Char"/>
    <w:uiPriority w:val="9"/>
    <w:unhideWhenUsed/>
    <w:qFormat/>
    <w:rsid w:val="009935BD"/>
    <w:pPr>
      <w:keepNext/>
      <w:keepLines/>
      <w:spacing w:before="200" w:after="0"/>
      <w:outlineLvl w:val="1"/>
    </w:pPr>
    <w:rPr>
      <w:rFonts w:eastAsiaTheme="majorEastAsia" w:cstheme="majorBidi"/>
      <w:b/>
      <w:bCs/>
      <w:color w:val="0070C0"/>
      <w:sz w:val="28"/>
      <w:szCs w:val="28"/>
    </w:rPr>
  </w:style>
  <w:style w:type="paragraph" w:styleId="Heading3">
    <w:name w:val="heading 3"/>
    <w:basedOn w:val="Normal"/>
    <w:next w:val="Normal"/>
    <w:link w:val="Heading3Char"/>
    <w:uiPriority w:val="9"/>
    <w:unhideWhenUsed/>
    <w:qFormat/>
    <w:rsid w:val="00810ADF"/>
    <w:pPr>
      <w:keepNext/>
      <w:keepLines/>
      <w:spacing w:before="200" w:after="0"/>
      <w:outlineLvl w:val="2"/>
    </w:pPr>
    <w:rPr>
      <w:rFonts w:eastAsiaTheme="majorEastAsia"/>
      <w:b/>
      <w:b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DE2"/>
    <w:rPr>
      <w:rFonts w:ascii="Arial" w:eastAsiaTheme="majorEastAsia" w:hAnsi="Arial" w:cstheme="majorBidi"/>
      <w:b/>
      <w:bCs/>
      <w:color w:val="0070C0"/>
      <w:sz w:val="40"/>
      <w:szCs w:val="28"/>
    </w:rPr>
  </w:style>
  <w:style w:type="character" w:customStyle="1" w:styleId="Heading2Char">
    <w:name w:val="Heading 2 Char"/>
    <w:basedOn w:val="DefaultParagraphFont"/>
    <w:link w:val="Heading2"/>
    <w:uiPriority w:val="9"/>
    <w:rsid w:val="009935BD"/>
    <w:rPr>
      <w:rFonts w:ascii="Arial" w:eastAsiaTheme="majorEastAsia" w:hAnsi="Arial" w:cstheme="majorBidi"/>
      <w:b/>
      <w:bCs/>
      <w:color w:val="0070C0"/>
      <w:sz w:val="28"/>
      <w:szCs w:val="28"/>
    </w:rPr>
  </w:style>
  <w:style w:type="character" w:customStyle="1" w:styleId="Heading3Char">
    <w:name w:val="Heading 3 Char"/>
    <w:basedOn w:val="DefaultParagraphFont"/>
    <w:link w:val="Heading3"/>
    <w:uiPriority w:val="9"/>
    <w:rsid w:val="00810ADF"/>
    <w:rPr>
      <w:rFonts w:ascii="Arial" w:eastAsiaTheme="majorEastAsia" w:hAnsi="Arial" w:cs="Arial"/>
      <w:b/>
      <w:bCs/>
      <w:color w:val="0070C0"/>
      <w:sz w:val="24"/>
    </w:rPr>
  </w:style>
  <w:style w:type="paragraph" w:styleId="Header">
    <w:name w:val="header"/>
    <w:basedOn w:val="Normal"/>
    <w:link w:val="HeaderChar"/>
    <w:uiPriority w:val="99"/>
    <w:unhideWhenUsed/>
    <w:rsid w:val="00652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DE2"/>
  </w:style>
  <w:style w:type="paragraph" w:styleId="Footer">
    <w:name w:val="footer"/>
    <w:basedOn w:val="Normal"/>
    <w:link w:val="FooterChar"/>
    <w:uiPriority w:val="99"/>
    <w:unhideWhenUsed/>
    <w:rsid w:val="00652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DE2"/>
  </w:style>
  <w:style w:type="paragraph" w:styleId="BalloonText">
    <w:name w:val="Balloon Text"/>
    <w:basedOn w:val="Normal"/>
    <w:link w:val="BalloonTextChar"/>
    <w:uiPriority w:val="99"/>
    <w:semiHidden/>
    <w:unhideWhenUsed/>
    <w:rsid w:val="00652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DE2"/>
    <w:rPr>
      <w:rFonts w:ascii="Tahoma" w:hAnsi="Tahoma" w:cs="Tahoma"/>
      <w:sz w:val="16"/>
      <w:szCs w:val="16"/>
    </w:rPr>
  </w:style>
  <w:style w:type="table" w:styleId="TableGrid">
    <w:name w:val="Table Grid"/>
    <w:basedOn w:val="TableNormal"/>
    <w:uiPriority w:val="59"/>
    <w:rsid w:val="00652DE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35BD"/>
    <w:pPr>
      <w:numPr>
        <w:numId w:val="1"/>
      </w:numPr>
      <w:contextualSpacing/>
    </w:pPr>
  </w:style>
  <w:style w:type="paragraph" w:customStyle="1" w:styleId="Default">
    <w:name w:val="Default"/>
    <w:rsid w:val="00652DE2"/>
    <w:pPr>
      <w:widowControl/>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652DE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2DE2"/>
    <w:rPr>
      <w:sz w:val="16"/>
      <w:szCs w:val="16"/>
    </w:rPr>
  </w:style>
  <w:style w:type="paragraph" w:styleId="CommentText">
    <w:name w:val="annotation text"/>
    <w:basedOn w:val="Normal"/>
    <w:link w:val="CommentTextChar"/>
    <w:uiPriority w:val="99"/>
    <w:semiHidden/>
    <w:unhideWhenUsed/>
    <w:rsid w:val="00652DE2"/>
    <w:pPr>
      <w:spacing w:line="240" w:lineRule="auto"/>
    </w:pPr>
    <w:rPr>
      <w:sz w:val="20"/>
      <w:szCs w:val="20"/>
    </w:rPr>
  </w:style>
  <w:style w:type="character" w:customStyle="1" w:styleId="CommentTextChar">
    <w:name w:val="Comment Text Char"/>
    <w:basedOn w:val="DefaultParagraphFont"/>
    <w:link w:val="CommentText"/>
    <w:uiPriority w:val="99"/>
    <w:semiHidden/>
    <w:rsid w:val="00652DE2"/>
    <w:rPr>
      <w:sz w:val="20"/>
      <w:szCs w:val="20"/>
    </w:rPr>
  </w:style>
  <w:style w:type="character" w:customStyle="1" w:styleId="CommentSubjectChar">
    <w:name w:val="Comment Subject Char"/>
    <w:basedOn w:val="CommentTextChar"/>
    <w:link w:val="CommentSubject"/>
    <w:uiPriority w:val="99"/>
    <w:semiHidden/>
    <w:rsid w:val="00652DE2"/>
    <w:rPr>
      <w:b/>
      <w:bCs/>
      <w:sz w:val="20"/>
      <w:szCs w:val="20"/>
    </w:rPr>
  </w:style>
  <w:style w:type="paragraph" w:styleId="CommentSubject">
    <w:name w:val="annotation subject"/>
    <w:basedOn w:val="CommentText"/>
    <w:next w:val="CommentText"/>
    <w:link w:val="CommentSubjectChar"/>
    <w:uiPriority w:val="99"/>
    <w:semiHidden/>
    <w:unhideWhenUsed/>
    <w:rsid w:val="00652DE2"/>
    <w:rPr>
      <w:b/>
      <w:bCs/>
    </w:rPr>
  </w:style>
  <w:style w:type="character" w:styleId="Hyperlink">
    <w:name w:val="Hyperlink"/>
    <w:basedOn w:val="DefaultParagraphFont"/>
    <w:uiPriority w:val="99"/>
    <w:unhideWhenUsed/>
    <w:rsid w:val="00652DE2"/>
    <w:rPr>
      <w:color w:val="0000FF" w:themeColor="hyperlink"/>
      <w:u w:val="single"/>
    </w:rPr>
  </w:style>
  <w:style w:type="paragraph" w:customStyle="1" w:styleId="Reporttitle">
    <w:name w:val="Report title"/>
    <w:basedOn w:val="Normal"/>
    <w:link w:val="ReporttitleChar"/>
    <w:qFormat/>
    <w:rsid w:val="009935BD"/>
    <w:pPr>
      <w:spacing w:before="120" w:after="120" w:line="240" w:lineRule="auto"/>
    </w:pPr>
    <w:rPr>
      <w:rFonts w:eastAsiaTheme="minorEastAsia"/>
      <w:b/>
      <w:bCs/>
      <w:color w:val="005EB8"/>
      <w:sz w:val="72"/>
      <w:szCs w:val="96"/>
    </w:rPr>
  </w:style>
  <w:style w:type="character" w:customStyle="1" w:styleId="ReporttitleChar">
    <w:name w:val="Report title Char"/>
    <w:basedOn w:val="DefaultParagraphFont"/>
    <w:link w:val="Reporttitle"/>
    <w:rsid w:val="009935BD"/>
    <w:rPr>
      <w:rFonts w:ascii="Arial" w:eastAsiaTheme="minorEastAsia" w:hAnsi="Arial" w:cs="Arial"/>
      <w:b/>
      <w:bCs/>
      <w:color w:val="005EB8"/>
      <w:sz w:val="72"/>
      <w:szCs w:val="96"/>
    </w:rPr>
  </w:style>
  <w:style w:type="paragraph" w:customStyle="1" w:styleId="Reportsubtitle">
    <w:name w:val="Report sub title"/>
    <w:basedOn w:val="Normal"/>
    <w:link w:val="ReportsubtitleChar"/>
    <w:qFormat/>
    <w:rsid w:val="00810ADF"/>
    <w:pPr>
      <w:spacing w:before="120" w:after="120"/>
    </w:pPr>
    <w:rPr>
      <w:rFonts w:eastAsiaTheme="minorEastAsia"/>
      <w:color w:val="000000" w:themeColor="text1"/>
      <w:sz w:val="44"/>
      <w:szCs w:val="44"/>
    </w:rPr>
  </w:style>
  <w:style w:type="character" w:customStyle="1" w:styleId="ReportsubtitleChar">
    <w:name w:val="Report sub title Char"/>
    <w:basedOn w:val="DefaultParagraphFont"/>
    <w:link w:val="Reportsubtitle"/>
    <w:rsid w:val="00810ADF"/>
    <w:rPr>
      <w:rFonts w:ascii="Arial" w:eastAsiaTheme="minorEastAsia" w:hAnsi="Arial" w:cs="Arial"/>
      <w:color w:val="000000" w:themeColor="text1"/>
      <w:sz w:val="44"/>
      <w:szCs w:val="44"/>
    </w:rPr>
  </w:style>
  <w:style w:type="paragraph" w:styleId="TOCHeading">
    <w:name w:val="TOC Heading"/>
    <w:basedOn w:val="Heading1"/>
    <w:next w:val="Normal"/>
    <w:uiPriority w:val="39"/>
    <w:semiHidden/>
    <w:unhideWhenUsed/>
    <w:qFormat/>
    <w:rsid w:val="00674167"/>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674167"/>
    <w:pPr>
      <w:spacing w:after="100"/>
    </w:pPr>
  </w:style>
  <w:style w:type="paragraph" w:styleId="TOC2">
    <w:name w:val="toc 2"/>
    <w:basedOn w:val="Normal"/>
    <w:next w:val="Normal"/>
    <w:autoRedefine/>
    <w:uiPriority w:val="39"/>
    <w:unhideWhenUsed/>
    <w:rsid w:val="00674167"/>
    <w:pPr>
      <w:spacing w:after="100"/>
      <w:ind w:left="240"/>
    </w:pPr>
  </w:style>
  <w:style w:type="paragraph" w:styleId="TOC3">
    <w:name w:val="toc 3"/>
    <w:basedOn w:val="Normal"/>
    <w:next w:val="Normal"/>
    <w:autoRedefine/>
    <w:uiPriority w:val="39"/>
    <w:unhideWhenUsed/>
    <w:rsid w:val="00674167"/>
    <w:pPr>
      <w:spacing w:after="100"/>
      <w:ind w:left="480"/>
    </w:pPr>
  </w:style>
  <w:style w:type="character" w:styleId="FollowedHyperlink">
    <w:name w:val="FollowedHyperlink"/>
    <w:basedOn w:val="DefaultParagraphFont"/>
    <w:uiPriority w:val="99"/>
    <w:semiHidden/>
    <w:unhideWhenUsed/>
    <w:rsid w:val="00D128F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52DE2"/>
    <w:pPr>
      <w:widowControl/>
    </w:pPr>
    <w:rPr>
      <w:rFonts w:ascii="Arial" w:hAnsi="Arial" w:cs="Arial"/>
      <w:sz w:val="24"/>
    </w:rPr>
  </w:style>
  <w:style w:type="paragraph" w:styleId="Heading1">
    <w:name w:val="heading 1"/>
    <w:basedOn w:val="Normal"/>
    <w:next w:val="Normal"/>
    <w:link w:val="Heading1Char"/>
    <w:uiPriority w:val="9"/>
    <w:qFormat/>
    <w:rsid w:val="00652DE2"/>
    <w:pPr>
      <w:keepNext/>
      <w:keepLines/>
      <w:spacing w:before="480" w:after="0"/>
      <w:outlineLvl w:val="0"/>
    </w:pPr>
    <w:rPr>
      <w:rFonts w:eastAsiaTheme="majorEastAsia" w:cstheme="majorBidi"/>
      <w:b/>
      <w:bCs/>
      <w:color w:val="0070C0"/>
      <w:sz w:val="40"/>
      <w:szCs w:val="28"/>
    </w:rPr>
  </w:style>
  <w:style w:type="paragraph" w:styleId="Heading2">
    <w:name w:val="heading 2"/>
    <w:basedOn w:val="Normal"/>
    <w:next w:val="Normal"/>
    <w:link w:val="Heading2Char"/>
    <w:uiPriority w:val="9"/>
    <w:unhideWhenUsed/>
    <w:qFormat/>
    <w:rsid w:val="009935BD"/>
    <w:pPr>
      <w:keepNext/>
      <w:keepLines/>
      <w:spacing w:before="200" w:after="0"/>
      <w:outlineLvl w:val="1"/>
    </w:pPr>
    <w:rPr>
      <w:rFonts w:eastAsiaTheme="majorEastAsia" w:cstheme="majorBidi"/>
      <w:b/>
      <w:bCs/>
      <w:color w:val="0070C0"/>
      <w:sz w:val="28"/>
      <w:szCs w:val="28"/>
    </w:rPr>
  </w:style>
  <w:style w:type="paragraph" w:styleId="Heading3">
    <w:name w:val="heading 3"/>
    <w:basedOn w:val="Normal"/>
    <w:next w:val="Normal"/>
    <w:link w:val="Heading3Char"/>
    <w:uiPriority w:val="9"/>
    <w:unhideWhenUsed/>
    <w:qFormat/>
    <w:rsid w:val="00810ADF"/>
    <w:pPr>
      <w:keepNext/>
      <w:keepLines/>
      <w:spacing w:before="200" w:after="0"/>
      <w:outlineLvl w:val="2"/>
    </w:pPr>
    <w:rPr>
      <w:rFonts w:eastAsiaTheme="majorEastAsia"/>
      <w:b/>
      <w:b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DE2"/>
    <w:rPr>
      <w:rFonts w:ascii="Arial" w:eastAsiaTheme="majorEastAsia" w:hAnsi="Arial" w:cstheme="majorBidi"/>
      <w:b/>
      <w:bCs/>
      <w:color w:val="0070C0"/>
      <w:sz w:val="40"/>
      <w:szCs w:val="28"/>
    </w:rPr>
  </w:style>
  <w:style w:type="character" w:customStyle="1" w:styleId="Heading2Char">
    <w:name w:val="Heading 2 Char"/>
    <w:basedOn w:val="DefaultParagraphFont"/>
    <w:link w:val="Heading2"/>
    <w:uiPriority w:val="9"/>
    <w:rsid w:val="009935BD"/>
    <w:rPr>
      <w:rFonts w:ascii="Arial" w:eastAsiaTheme="majorEastAsia" w:hAnsi="Arial" w:cstheme="majorBidi"/>
      <w:b/>
      <w:bCs/>
      <w:color w:val="0070C0"/>
      <w:sz w:val="28"/>
      <w:szCs w:val="28"/>
    </w:rPr>
  </w:style>
  <w:style w:type="character" w:customStyle="1" w:styleId="Heading3Char">
    <w:name w:val="Heading 3 Char"/>
    <w:basedOn w:val="DefaultParagraphFont"/>
    <w:link w:val="Heading3"/>
    <w:uiPriority w:val="9"/>
    <w:rsid w:val="00810ADF"/>
    <w:rPr>
      <w:rFonts w:ascii="Arial" w:eastAsiaTheme="majorEastAsia" w:hAnsi="Arial" w:cs="Arial"/>
      <w:b/>
      <w:bCs/>
      <w:color w:val="0070C0"/>
      <w:sz w:val="24"/>
    </w:rPr>
  </w:style>
  <w:style w:type="paragraph" w:styleId="Header">
    <w:name w:val="header"/>
    <w:basedOn w:val="Normal"/>
    <w:link w:val="HeaderChar"/>
    <w:uiPriority w:val="99"/>
    <w:unhideWhenUsed/>
    <w:rsid w:val="00652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DE2"/>
  </w:style>
  <w:style w:type="paragraph" w:styleId="Footer">
    <w:name w:val="footer"/>
    <w:basedOn w:val="Normal"/>
    <w:link w:val="FooterChar"/>
    <w:uiPriority w:val="99"/>
    <w:unhideWhenUsed/>
    <w:rsid w:val="00652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DE2"/>
  </w:style>
  <w:style w:type="paragraph" w:styleId="BalloonText">
    <w:name w:val="Balloon Text"/>
    <w:basedOn w:val="Normal"/>
    <w:link w:val="BalloonTextChar"/>
    <w:uiPriority w:val="99"/>
    <w:semiHidden/>
    <w:unhideWhenUsed/>
    <w:rsid w:val="00652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DE2"/>
    <w:rPr>
      <w:rFonts w:ascii="Tahoma" w:hAnsi="Tahoma" w:cs="Tahoma"/>
      <w:sz w:val="16"/>
      <w:szCs w:val="16"/>
    </w:rPr>
  </w:style>
  <w:style w:type="table" w:styleId="TableGrid">
    <w:name w:val="Table Grid"/>
    <w:basedOn w:val="TableNormal"/>
    <w:uiPriority w:val="59"/>
    <w:rsid w:val="00652DE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35BD"/>
    <w:pPr>
      <w:numPr>
        <w:numId w:val="1"/>
      </w:numPr>
      <w:contextualSpacing/>
    </w:pPr>
  </w:style>
  <w:style w:type="paragraph" w:customStyle="1" w:styleId="Default">
    <w:name w:val="Default"/>
    <w:rsid w:val="00652DE2"/>
    <w:pPr>
      <w:widowControl/>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652DE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2DE2"/>
    <w:rPr>
      <w:sz w:val="16"/>
      <w:szCs w:val="16"/>
    </w:rPr>
  </w:style>
  <w:style w:type="paragraph" w:styleId="CommentText">
    <w:name w:val="annotation text"/>
    <w:basedOn w:val="Normal"/>
    <w:link w:val="CommentTextChar"/>
    <w:uiPriority w:val="99"/>
    <w:semiHidden/>
    <w:unhideWhenUsed/>
    <w:rsid w:val="00652DE2"/>
    <w:pPr>
      <w:spacing w:line="240" w:lineRule="auto"/>
    </w:pPr>
    <w:rPr>
      <w:sz w:val="20"/>
      <w:szCs w:val="20"/>
    </w:rPr>
  </w:style>
  <w:style w:type="character" w:customStyle="1" w:styleId="CommentTextChar">
    <w:name w:val="Comment Text Char"/>
    <w:basedOn w:val="DefaultParagraphFont"/>
    <w:link w:val="CommentText"/>
    <w:uiPriority w:val="99"/>
    <w:semiHidden/>
    <w:rsid w:val="00652DE2"/>
    <w:rPr>
      <w:sz w:val="20"/>
      <w:szCs w:val="20"/>
    </w:rPr>
  </w:style>
  <w:style w:type="character" w:customStyle="1" w:styleId="CommentSubjectChar">
    <w:name w:val="Comment Subject Char"/>
    <w:basedOn w:val="CommentTextChar"/>
    <w:link w:val="CommentSubject"/>
    <w:uiPriority w:val="99"/>
    <w:semiHidden/>
    <w:rsid w:val="00652DE2"/>
    <w:rPr>
      <w:b/>
      <w:bCs/>
      <w:sz w:val="20"/>
      <w:szCs w:val="20"/>
    </w:rPr>
  </w:style>
  <w:style w:type="paragraph" w:styleId="CommentSubject">
    <w:name w:val="annotation subject"/>
    <w:basedOn w:val="CommentText"/>
    <w:next w:val="CommentText"/>
    <w:link w:val="CommentSubjectChar"/>
    <w:uiPriority w:val="99"/>
    <w:semiHidden/>
    <w:unhideWhenUsed/>
    <w:rsid w:val="00652DE2"/>
    <w:rPr>
      <w:b/>
      <w:bCs/>
    </w:rPr>
  </w:style>
  <w:style w:type="character" w:styleId="Hyperlink">
    <w:name w:val="Hyperlink"/>
    <w:basedOn w:val="DefaultParagraphFont"/>
    <w:uiPriority w:val="99"/>
    <w:unhideWhenUsed/>
    <w:rsid w:val="00652DE2"/>
    <w:rPr>
      <w:color w:val="0000FF" w:themeColor="hyperlink"/>
      <w:u w:val="single"/>
    </w:rPr>
  </w:style>
  <w:style w:type="paragraph" w:customStyle="1" w:styleId="Reporttitle">
    <w:name w:val="Report title"/>
    <w:basedOn w:val="Normal"/>
    <w:link w:val="ReporttitleChar"/>
    <w:qFormat/>
    <w:rsid w:val="009935BD"/>
    <w:pPr>
      <w:spacing w:before="120" w:after="120" w:line="240" w:lineRule="auto"/>
    </w:pPr>
    <w:rPr>
      <w:rFonts w:eastAsiaTheme="minorEastAsia"/>
      <w:b/>
      <w:bCs/>
      <w:color w:val="005EB8"/>
      <w:sz w:val="72"/>
      <w:szCs w:val="96"/>
    </w:rPr>
  </w:style>
  <w:style w:type="character" w:customStyle="1" w:styleId="ReporttitleChar">
    <w:name w:val="Report title Char"/>
    <w:basedOn w:val="DefaultParagraphFont"/>
    <w:link w:val="Reporttitle"/>
    <w:rsid w:val="009935BD"/>
    <w:rPr>
      <w:rFonts w:ascii="Arial" w:eastAsiaTheme="minorEastAsia" w:hAnsi="Arial" w:cs="Arial"/>
      <w:b/>
      <w:bCs/>
      <w:color w:val="005EB8"/>
      <w:sz w:val="72"/>
      <w:szCs w:val="96"/>
    </w:rPr>
  </w:style>
  <w:style w:type="paragraph" w:customStyle="1" w:styleId="Reportsubtitle">
    <w:name w:val="Report sub title"/>
    <w:basedOn w:val="Normal"/>
    <w:link w:val="ReportsubtitleChar"/>
    <w:qFormat/>
    <w:rsid w:val="00810ADF"/>
    <w:pPr>
      <w:spacing w:before="120" w:after="120"/>
    </w:pPr>
    <w:rPr>
      <w:rFonts w:eastAsiaTheme="minorEastAsia"/>
      <w:color w:val="000000" w:themeColor="text1"/>
      <w:sz w:val="44"/>
      <w:szCs w:val="44"/>
    </w:rPr>
  </w:style>
  <w:style w:type="character" w:customStyle="1" w:styleId="ReportsubtitleChar">
    <w:name w:val="Report sub title Char"/>
    <w:basedOn w:val="DefaultParagraphFont"/>
    <w:link w:val="Reportsubtitle"/>
    <w:rsid w:val="00810ADF"/>
    <w:rPr>
      <w:rFonts w:ascii="Arial" w:eastAsiaTheme="minorEastAsia" w:hAnsi="Arial" w:cs="Arial"/>
      <w:color w:val="000000" w:themeColor="text1"/>
      <w:sz w:val="44"/>
      <w:szCs w:val="44"/>
    </w:rPr>
  </w:style>
  <w:style w:type="paragraph" w:styleId="TOCHeading">
    <w:name w:val="TOC Heading"/>
    <w:basedOn w:val="Heading1"/>
    <w:next w:val="Normal"/>
    <w:uiPriority w:val="39"/>
    <w:semiHidden/>
    <w:unhideWhenUsed/>
    <w:qFormat/>
    <w:rsid w:val="00674167"/>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674167"/>
    <w:pPr>
      <w:spacing w:after="100"/>
    </w:pPr>
  </w:style>
  <w:style w:type="paragraph" w:styleId="TOC2">
    <w:name w:val="toc 2"/>
    <w:basedOn w:val="Normal"/>
    <w:next w:val="Normal"/>
    <w:autoRedefine/>
    <w:uiPriority w:val="39"/>
    <w:unhideWhenUsed/>
    <w:rsid w:val="00674167"/>
    <w:pPr>
      <w:spacing w:after="100"/>
      <w:ind w:left="240"/>
    </w:pPr>
  </w:style>
  <w:style w:type="paragraph" w:styleId="TOC3">
    <w:name w:val="toc 3"/>
    <w:basedOn w:val="Normal"/>
    <w:next w:val="Normal"/>
    <w:autoRedefine/>
    <w:uiPriority w:val="39"/>
    <w:unhideWhenUsed/>
    <w:rsid w:val="00674167"/>
    <w:pPr>
      <w:spacing w:after="100"/>
      <w:ind w:left="480"/>
    </w:pPr>
  </w:style>
  <w:style w:type="character" w:styleId="FollowedHyperlink">
    <w:name w:val="FollowedHyperlink"/>
    <w:basedOn w:val="DefaultParagraphFont"/>
    <w:uiPriority w:val="99"/>
    <w:semiHidden/>
    <w:unhideWhenUsed/>
    <w:rsid w:val="00D128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2772">
      <w:bodyDiv w:val="1"/>
      <w:marLeft w:val="0"/>
      <w:marRight w:val="0"/>
      <w:marTop w:val="0"/>
      <w:marBottom w:val="0"/>
      <w:divBdr>
        <w:top w:val="none" w:sz="0" w:space="0" w:color="auto"/>
        <w:left w:val="none" w:sz="0" w:space="0" w:color="auto"/>
        <w:bottom w:val="none" w:sz="0" w:space="0" w:color="auto"/>
        <w:right w:val="none" w:sz="0" w:space="0" w:color="auto"/>
      </w:divBdr>
    </w:div>
    <w:div w:id="11807703">
      <w:bodyDiv w:val="1"/>
      <w:marLeft w:val="0"/>
      <w:marRight w:val="0"/>
      <w:marTop w:val="0"/>
      <w:marBottom w:val="0"/>
      <w:divBdr>
        <w:top w:val="none" w:sz="0" w:space="0" w:color="auto"/>
        <w:left w:val="none" w:sz="0" w:space="0" w:color="auto"/>
        <w:bottom w:val="none" w:sz="0" w:space="0" w:color="auto"/>
        <w:right w:val="none" w:sz="0" w:space="0" w:color="auto"/>
      </w:divBdr>
    </w:div>
    <w:div w:id="12460058">
      <w:bodyDiv w:val="1"/>
      <w:marLeft w:val="0"/>
      <w:marRight w:val="0"/>
      <w:marTop w:val="0"/>
      <w:marBottom w:val="0"/>
      <w:divBdr>
        <w:top w:val="none" w:sz="0" w:space="0" w:color="auto"/>
        <w:left w:val="none" w:sz="0" w:space="0" w:color="auto"/>
        <w:bottom w:val="none" w:sz="0" w:space="0" w:color="auto"/>
        <w:right w:val="none" w:sz="0" w:space="0" w:color="auto"/>
      </w:divBdr>
    </w:div>
    <w:div w:id="77408075">
      <w:bodyDiv w:val="1"/>
      <w:marLeft w:val="0"/>
      <w:marRight w:val="0"/>
      <w:marTop w:val="0"/>
      <w:marBottom w:val="0"/>
      <w:divBdr>
        <w:top w:val="none" w:sz="0" w:space="0" w:color="auto"/>
        <w:left w:val="none" w:sz="0" w:space="0" w:color="auto"/>
        <w:bottom w:val="none" w:sz="0" w:space="0" w:color="auto"/>
        <w:right w:val="none" w:sz="0" w:space="0" w:color="auto"/>
      </w:divBdr>
    </w:div>
    <w:div w:id="87504252">
      <w:bodyDiv w:val="1"/>
      <w:marLeft w:val="0"/>
      <w:marRight w:val="0"/>
      <w:marTop w:val="0"/>
      <w:marBottom w:val="0"/>
      <w:divBdr>
        <w:top w:val="none" w:sz="0" w:space="0" w:color="auto"/>
        <w:left w:val="none" w:sz="0" w:space="0" w:color="auto"/>
        <w:bottom w:val="none" w:sz="0" w:space="0" w:color="auto"/>
        <w:right w:val="none" w:sz="0" w:space="0" w:color="auto"/>
      </w:divBdr>
    </w:div>
    <w:div w:id="123433381">
      <w:bodyDiv w:val="1"/>
      <w:marLeft w:val="0"/>
      <w:marRight w:val="0"/>
      <w:marTop w:val="0"/>
      <w:marBottom w:val="0"/>
      <w:divBdr>
        <w:top w:val="none" w:sz="0" w:space="0" w:color="auto"/>
        <w:left w:val="none" w:sz="0" w:space="0" w:color="auto"/>
        <w:bottom w:val="none" w:sz="0" w:space="0" w:color="auto"/>
        <w:right w:val="none" w:sz="0" w:space="0" w:color="auto"/>
      </w:divBdr>
    </w:div>
    <w:div w:id="128986155">
      <w:bodyDiv w:val="1"/>
      <w:marLeft w:val="0"/>
      <w:marRight w:val="0"/>
      <w:marTop w:val="0"/>
      <w:marBottom w:val="0"/>
      <w:divBdr>
        <w:top w:val="none" w:sz="0" w:space="0" w:color="auto"/>
        <w:left w:val="none" w:sz="0" w:space="0" w:color="auto"/>
        <w:bottom w:val="none" w:sz="0" w:space="0" w:color="auto"/>
        <w:right w:val="none" w:sz="0" w:space="0" w:color="auto"/>
      </w:divBdr>
    </w:div>
    <w:div w:id="136921243">
      <w:bodyDiv w:val="1"/>
      <w:marLeft w:val="0"/>
      <w:marRight w:val="0"/>
      <w:marTop w:val="0"/>
      <w:marBottom w:val="0"/>
      <w:divBdr>
        <w:top w:val="none" w:sz="0" w:space="0" w:color="auto"/>
        <w:left w:val="none" w:sz="0" w:space="0" w:color="auto"/>
        <w:bottom w:val="none" w:sz="0" w:space="0" w:color="auto"/>
        <w:right w:val="none" w:sz="0" w:space="0" w:color="auto"/>
      </w:divBdr>
    </w:div>
    <w:div w:id="143356795">
      <w:bodyDiv w:val="1"/>
      <w:marLeft w:val="0"/>
      <w:marRight w:val="0"/>
      <w:marTop w:val="0"/>
      <w:marBottom w:val="0"/>
      <w:divBdr>
        <w:top w:val="none" w:sz="0" w:space="0" w:color="auto"/>
        <w:left w:val="none" w:sz="0" w:space="0" w:color="auto"/>
        <w:bottom w:val="none" w:sz="0" w:space="0" w:color="auto"/>
        <w:right w:val="none" w:sz="0" w:space="0" w:color="auto"/>
      </w:divBdr>
    </w:div>
    <w:div w:id="181558057">
      <w:bodyDiv w:val="1"/>
      <w:marLeft w:val="0"/>
      <w:marRight w:val="0"/>
      <w:marTop w:val="0"/>
      <w:marBottom w:val="0"/>
      <w:divBdr>
        <w:top w:val="none" w:sz="0" w:space="0" w:color="auto"/>
        <w:left w:val="none" w:sz="0" w:space="0" w:color="auto"/>
        <w:bottom w:val="none" w:sz="0" w:space="0" w:color="auto"/>
        <w:right w:val="none" w:sz="0" w:space="0" w:color="auto"/>
      </w:divBdr>
    </w:div>
    <w:div w:id="203490578">
      <w:bodyDiv w:val="1"/>
      <w:marLeft w:val="0"/>
      <w:marRight w:val="0"/>
      <w:marTop w:val="0"/>
      <w:marBottom w:val="0"/>
      <w:divBdr>
        <w:top w:val="none" w:sz="0" w:space="0" w:color="auto"/>
        <w:left w:val="none" w:sz="0" w:space="0" w:color="auto"/>
        <w:bottom w:val="none" w:sz="0" w:space="0" w:color="auto"/>
        <w:right w:val="none" w:sz="0" w:space="0" w:color="auto"/>
      </w:divBdr>
    </w:div>
    <w:div w:id="205483289">
      <w:bodyDiv w:val="1"/>
      <w:marLeft w:val="0"/>
      <w:marRight w:val="0"/>
      <w:marTop w:val="0"/>
      <w:marBottom w:val="0"/>
      <w:divBdr>
        <w:top w:val="none" w:sz="0" w:space="0" w:color="auto"/>
        <w:left w:val="none" w:sz="0" w:space="0" w:color="auto"/>
        <w:bottom w:val="none" w:sz="0" w:space="0" w:color="auto"/>
        <w:right w:val="none" w:sz="0" w:space="0" w:color="auto"/>
      </w:divBdr>
    </w:div>
    <w:div w:id="224876294">
      <w:bodyDiv w:val="1"/>
      <w:marLeft w:val="0"/>
      <w:marRight w:val="0"/>
      <w:marTop w:val="0"/>
      <w:marBottom w:val="0"/>
      <w:divBdr>
        <w:top w:val="none" w:sz="0" w:space="0" w:color="auto"/>
        <w:left w:val="none" w:sz="0" w:space="0" w:color="auto"/>
        <w:bottom w:val="none" w:sz="0" w:space="0" w:color="auto"/>
        <w:right w:val="none" w:sz="0" w:space="0" w:color="auto"/>
      </w:divBdr>
    </w:div>
    <w:div w:id="239295247">
      <w:bodyDiv w:val="1"/>
      <w:marLeft w:val="0"/>
      <w:marRight w:val="0"/>
      <w:marTop w:val="0"/>
      <w:marBottom w:val="0"/>
      <w:divBdr>
        <w:top w:val="none" w:sz="0" w:space="0" w:color="auto"/>
        <w:left w:val="none" w:sz="0" w:space="0" w:color="auto"/>
        <w:bottom w:val="none" w:sz="0" w:space="0" w:color="auto"/>
        <w:right w:val="none" w:sz="0" w:space="0" w:color="auto"/>
      </w:divBdr>
    </w:div>
    <w:div w:id="261498087">
      <w:bodyDiv w:val="1"/>
      <w:marLeft w:val="0"/>
      <w:marRight w:val="0"/>
      <w:marTop w:val="0"/>
      <w:marBottom w:val="0"/>
      <w:divBdr>
        <w:top w:val="none" w:sz="0" w:space="0" w:color="auto"/>
        <w:left w:val="none" w:sz="0" w:space="0" w:color="auto"/>
        <w:bottom w:val="none" w:sz="0" w:space="0" w:color="auto"/>
        <w:right w:val="none" w:sz="0" w:space="0" w:color="auto"/>
      </w:divBdr>
    </w:div>
    <w:div w:id="279924295">
      <w:bodyDiv w:val="1"/>
      <w:marLeft w:val="0"/>
      <w:marRight w:val="0"/>
      <w:marTop w:val="0"/>
      <w:marBottom w:val="0"/>
      <w:divBdr>
        <w:top w:val="none" w:sz="0" w:space="0" w:color="auto"/>
        <w:left w:val="none" w:sz="0" w:space="0" w:color="auto"/>
        <w:bottom w:val="none" w:sz="0" w:space="0" w:color="auto"/>
        <w:right w:val="none" w:sz="0" w:space="0" w:color="auto"/>
      </w:divBdr>
    </w:div>
    <w:div w:id="304745078">
      <w:bodyDiv w:val="1"/>
      <w:marLeft w:val="0"/>
      <w:marRight w:val="0"/>
      <w:marTop w:val="0"/>
      <w:marBottom w:val="0"/>
      <w:divBdr>
        <w:top w:val="none" w:sz="0" w:space="0" w:color="auto"/>
        <w:left w:val="none" w:sz="0" w:space="0" w:color="auto"/>
        <w:bottom w:val="none" w:sz="0" w:space="0" w:color="auto"/>
        <w:right w:val="none" w:sz="0" w:space="0" w:color="auto"/>
      </w:divBdr>
    </w:div>
    <w:div w:id="309217359">
      <w:bodyDiv w:val="1"/>
      <w:marLeft w:val="0"/>
      <w:marRight w:val="0"/>
      <w:marTop w:val="0"/>
      <w:marBottom w:val="0"/>
      <w:divBdr>
        <w:top w:val="none" w:sz="0" w:space="0" w:color="auto"/>
        <w:left w:val="none" w:sz="0" w:space="0" w:color="auto"/>
        <w:bottom w:val="none" w:sz="0" w:space="0" w:color="auto"/>
        <w:right w:val="none" w:sz="0" w:space="0" w:color="auto"/>
      </w:divBdr>
    </w:div>
    <w:div w:id="312220212">
      <w:bodyDiv w:val="1"/>
      <w:marLeft w:val="0"/>
      <w:marRight w:val="0"/>
      <w:marTop w:val="0"/>
      <w:marBottom w:val="0"/>
      <w:divBdr>
        <w:top w:val="none" w:sz="0" w:space="0" w:color="auto"/>
        <w:left w:val="none" w:sz="0" w:space="0" w:color="auto"/>
        <w:bottom w:val="none" w:sz="0" w:space="0" w:color="auto"/>
        <w:right w:val="none" w:sz="0" w:space="0" w:color="auto"/>
      </w:divBdr>
    </w:div>
    <w:div w:id="315499785">
      <w:bodyDiv w:val="1"/>
      <w:marLeft w:val="0"/>
      <w:marRight w:val="0"/>
      <w:marTop w:val="0"/>
      <w:marBottom w:val="0"/>
      <w:divBdr>
        <w:top w:val="none" w:sz="0" w:space="0" w:color="auto"/>
        <w:left w:val="none" w:sz="0" w:space="0" w:color="auto"/>
        <w:bottom w:val="none" w:sz="0" w:space="0" w:color="auto"/>
        <w:right w:val="none" w:sz="0" w:space="0" w:color="auto"/>
      </w:divBdr>
    </w:div>
    <w:div w:id="320474629">
      <w:bodyDiv w:val="1"/>
      <w:marLeft w:val="0"/>
      <w:marRight w:val="0"/>
      <w:marTop w:val="0"/>
      <w:marBottom w:val="0"/>
      <w:divBdr>
        <w:top w:val="none" w:sz="0" w:space="0" w:color="auto"/>
        <w:left w:val="none" w:sz="0" w:space="0" w:color="auto"/>
        <w:bottom w:val="none" w:sz="0" w:space="0" w:color="auto"/>
        <w:right w:val="none" w:sz="0" w:space="0" w:color="auto"/>
      </w:divBdr>
    </w:div>
    <w:div w:id="352462107">
      <w:bodyDiv w:val="1"/>
      <w:marLeft w:val="0"/>
      <w:marRight w:val="0"/>
      <w:marTop w:val="0"/>
      <w:marBottom w:val="0"/>
      <w:divBdr>
        <w:top w:val="none" w:sz="0" w:space="0" w:color="auto"/>
        <w:left w:val="none" w:sz="0" w:space="0" w:color="auto"/>
        <w:bottom w:val="none" w:sz="0" w:space="0" w:color="auto"/>
        <w:right w:val="none" w:sz="0" w:space="0" w:color="auto"/>
      </w:divBdr>
    </w:div>
    <w:div w:id="364067325">
      <w:bodyDiv w:val="1"/>
      <w:marLeft w:val="0"/>
      <w:marRight w:val="0"/>
      <w:marTop w:val="0"/>
      <w:marBottom w:val="0"/>
      <w:divBdr>
        <w:top w:val="none" w:sz="0" w:space="0" w:color="auto"/>
        <w:left w:val="none" w:sz="0" w:space="0" w:color="auto"/>
        <w:bottom w:val="none" w:sz="0" w:space="0" w:color="auto"/>
        <w:right w:val="none" w:sz="0" w:space="0" w:color="auto"/>
      </w:divBdr>
    </w:div>
    <w:div w:id="370224566">
      <w:bodyDiv w:val="1"/>
      <w:marLeft w:val="0"/>
      <w:marRight w:val="0"/>
      <w:marTop w:val="0"/>
      <w:marBottom w:val="0"/>
      <w:divBdr>
        <w:top w:val="none" w:sz="0" w:space="0" w:color="auto"/>
        <w:left w:val="none" w:sz="0" w:space="0" w:color="auto"/>
        <w:bottom w:val="none" w:sz="0" w:space="0" w:color="auto"/>
        <w:right w:val="none" w:sz="0" w:space="0" w:color="auto"/>
      </w:divBdr>
    </w:div>
    <w:div w:id="381447719">
      <w:bodyDiv w:val="1"/>
      <w:marLeft w:val="0"/>
      <w:marRight w:val="0"/>
      <w:marTop w:val="0"/>
      <w:marBottom w:val="0"/>
      <w:divBdr>
        <w:top w:val="none" w:sz="0" w:space="0" w:color="auto"/>
        <w:left w:val="none" w:sz="0" w:space="0" w:color="auto"/>
        <w:bottom w:val="none" w:sz="0" w:space="0" w:color="auto"/>
        <w:right w:val="none" w:sz="0" w:space="0" w:color="auto"/>
      </w:divBdr>
    </w:div>
    <w:div w:id="423385564">
      <w:bodyDiv w:val="1"/>
      <w:marLeft w:val="0"/>
      <w:marRight w:val="0"/>
      <w:marTop w:val="0"/>
      <w:marBottom w:val="0"/>
      <w:divBdr>
        <w:top w:val="none" w:sz="0" w:space="0" w:color="auto"/>
        <w:left w:val="none" w:sz="0" w:space="0" w:color="auto"/>
        <w:bottom w:val="none" w:sz="0" w:space="0" w:color="auto"/>
        <w:right w:val="none" w:sz="0" w:space="0" w:color="auto"/>
      </w:divBdr>
    </w:div>
    <w:div w:id="434133824">
      <w:bodyDiv w:val="1"/>
      <w:marLeft w:val="0"/>
      <w:marRight w:val="0"/>
      <w:marTop w:val="0"/>
      <w:marBottom w:val="0"/>
      <w:divBdr>
        <w:top w:val="none" w:sz="0" w:space="0" w:color="auto"/>
        <w:left w:val="none" w:sz="0" w:space="0" w:color="auto"/>
        <w:bottom w:val="none" w:sz="0" w:space="0" w:color="auto"/>
        <w:right w:val="none" w:sz="0" w:space="0" w:color="auto"/>
      </w:divBdr>
    </w:div>
    <w:div w:id="464129325">
      <w:bodyDiv w:val="1"/>
      <w:marLeft w:val="0"/>
      <w:marRight w:val="0"/>
      <w:marTop w:val="0"/>
      <w:marBottom w:val="0"/>
      <w:divBdr>
        <w:top w:val="none" w:sz="0" w:space="0" w:color="auto"/>
        <w:left w:val="none" w:sz="0" w:space="0" w:color="auto"/>
        <w:bottom w:val="none" w:sz="0" w:space="0" w:color="auto"/>
        <w:right w:val="none" w:sz="0" w:space="0" w:color="auto"/>
      </w:divBdr>
    </w:div>
    <w:div w:id="465198181">
      <w:bodyDiv w:val="1"/>
      <w:marLeft w:val="0"/>
      <w:marRight w:val="0"/>
      <w:marTop w:val="0"/>
      <w:marBottom w:val="0"/>
      <w:divBdr>
        <w:top w:val="none" w:sz="0" w:space="0" w:color="auto"/>
        <w:left w:val="none" w:sz="0" w:space="0" w:color="auto"/>
        <w:bottom w:val="none" w:sz="0" w:space="0" w:color="auto"/>
        <w:right w:val="none" w:sz="0" w:space="0" w:color="auto"/>
      </w:divBdr>
    </w:div>
    <w:div w:id="477265756">
      <w:bodyDiv w:val="1"/>
      <w:marLeft w:val="0"/>
      <w:marRight w:val="0"/>
      <w:marTop w:val="0"/>
      <w:marBottom w:val="0"/>
      <w:divBdr>
        <w:top w:val="none" w:sz="0" w:space="0" w:color="auto"/>
        <w:left w:val="none" w:sz="0" w:space="0" w:color="auto"/>
        <w:bottom w:val="none" w:sz="0" w:space="0" w:color="auto"/>
        <w:right w:val="none" w:sz="0" w:space="0" w:color="auto"/>
      </w:divBdr>
    </w:div>
    <w:div w:id="548807556">
      <w:bodyDiv w:val="1"/>
      <w:marLeft w:val="0"/>
      <w:marRight w:val="0"/>
      <w:marTop w:val="0"/>
      <w:marBottom w:val="0"/>
      <w:divBdr>
        <w:top w:val="none" w:sz="0" w:space="0" w:color="auto"/>
        <w:left w:val="none" w:sz="0" w:space="0" w:color="auto"/>
        <w:bottom w:val="none" w:sz="0" w:space="0" w:color="auto"/>
        <w:right w:val="none" w:sz="0" w:space="0" w:color="auto"/>
      </w:divBdr>
    </w:div>
    <w:div w:id="553469868">
      <w:bodyDiv w:val="1"/>
      <w:marLeft w:val="0"/>
      <w:marRight w:val="0"/>
      <w:marTop w:val="0"/>
      <w:marBottom w:val="0"/>
      <w:divBdr>
        <w:top w:val="none" w:sz="0" w:space="0" w:color="auto"/>
        <w:left w:val="none" w:sz="0" w:space="0" w:color="auto"/>
        <w:bottom w:val="none" w:sz="0" w:space="0" w:color="auto"/>
        <w:right w:val="none" w:sz="0" w:space="0" w:color="auto"/>
      </w:divBdr>
    </w:div>
    <w:div w:id="584613151">
      <w:bodyDiv w:val="1"/>
      <w:marLeft w:val="0"/>
      <w:marRight w:val="0"/>
      <w:marTop w:val="0"/>
      <w:marBottom w:val="0"/>
      <w:divBdr>
        <w:top w:val="none" w:sz="0" w:space="0" w:color="auto"/>
        <w:left w:val="none" w:sz="0" w:space="0" w:color="auto"/>
        <w:bottom w:val="none" w:sz="0" w:space="0" w:color="auto"/>
        <w:right w:val="none" w:sz="0" w:space="0" w:color="auto"/>
      </w:divBdr>
    </w:div>
    <w:div w:id="591207466">
      <w:bodyDiv w:val="1"/>
      <w:marLeft w:val="0"/>
      <w:marRight w:val="0"/>
      <w:marTop w:val="0"/>
      <w:marBottom w:val="0"/>
      <w:divBdr>
        <w:top w:val="none" w:sz="0" w:space="0" w:color="auto"/>
        <w:left w:val="none" w:sz="0" w:space="0" w:color="auto"/>
        <w:bottom w:val="none" w:sz="0" w:space="0" w:color="auto"/>
        <w:right w:val="none" w:sz="0" w:space="0" w:color="auto"/>
      </w:divBdr>
    </w:div>
    <w:div w:id="629627978">
      <w:bodyDiv w:val="1"/>
      <w:marLeft w:val="0"/>
      <w:marRight w:val="0"/>
      <w:marTop w:val="0"/>
      <w:marBottom w:val="0"/>
      <w:divBdr>
        <w:top w:val="none" w:sz="0" w:space="0" w:color="auto"/>
        <w:left w:val="none" w:sz="0" w:space="0" w:color="auto"/>
        <w:bottom w:val="none" w:sz="0" w:space="0" w:color="auto"/>
        <w:right w:val="none" w:sz="0" w:space="0" w:color="auto"/>
      </w:divBdr>
    </w:div>
    <w:div w:id="637689984">
      <w:bodyDiv w:val="1"/>
      <w:marLeft w:val="0"/>
      <w:marRight w:val="0"/>
      <w:marTop w:val="0"/>
      <w:marBottom w:val="0"/>
      <w:divBdr>
        <w:top w:val="none" w:sz="0" w:space="0" w:color="auto"/>
        <w:left w:val="none" w:sz="0" w:space="0" w:color="auto"/>
        <w:bottom w:val="none" w:sz="0" w:space="0" w:color="auto"/>
        <w:right w:val="none" w:sz="0" w:space="0" w:color="auto"/>
      </w:divBdr>
    </w:div>
    <w:div w:id="649217307">
      <w:bodyDiv w:val="1"/>
      <w:marLeft w:val="0"/>
      <w:marRight w:val="0"/>
      <w:marTop w:val="0"/>
      <w:marBottom w:val="0"/>
      <w:divBdr>
        <w:top w:val="none" w:sz="0" w:space="0" w:color="auto"/>
        <w:left w:val="none" w:sz="0" w:space="0" w:color="auto"/>
        <w:bottom w:val="none" w:sz="0" w:space="0" w:color="auto"/>
        <w:right w:val="none" w:sz="0" w:space="0" w:color="auto"/>
      </w:divBdr>
    </w:div>
    <w:div w:id="654143463">
      <w:bodyDiv w:val="1"/>
      <w:marLeft w:val="0"/>
      <w:marRight w:val="0"/>
      <w:marTop w:val="0"/>
      <w:marBottom w:val="0"/>
      <w:divBdr>
        <w:top w:val="none" w:sz="0" w:space="0" w:color="auto"/>
        <w:left w:val="none" w:sz="0" w:space="0" w:color="auto"/>
        <w:bottom w:val="none" w:sz="0" w:space="0" w:color="auto"/>
        <w:right w:val="none" w:sz="0" w:space="0" w:color="auto"/>
      </w:divBdr>
    </w:div>
    <w:div w:id="694235827">
      <w:bodyDiv w:val="1"/>
      <w:marLeft w:val="0"/>
      <w:marRight w:val="0"/>
      <w:marTop w:val="0"/>
      <w:marBottom w:val="0"/>
      <w:divBdr>
        <w:top w:val="none" w:sz="0" w:space="0" w:color="auto"/>
        <w:left w:val="none" w:sz="0" w:space="0" w:color="auto"/>
        <w:bottom w:val="none" w:sz="0" w:space="0" w:color="auto"/>
        <w:right w:val="none" w:sz="0" w:space="0" w:color="auto"/>
      </w:divBdr>
    </w:div>
    <w:div w:id="702051385">
      <w:bodyDiv w:val="1"/>
      <w:marLeft w:val="0"/>
      <w:marRight w:val="0"/>
      <w:marTop w:val="0"/>
      <w:marBottom w:val="0"/>
      <w:divBdr>
        <w:top w:val="none" w:sz="0" w:space="0" w:color="auto"/>
        <w:left w:val="none" w:sz="0" w:space="0" w:color="auto"/>
        <w:bottom w:val="none" w:sz="0" w:space="0" w:color="auto"/>
        <w:right w:val="none" w:sz="0" w:space="0" w:color="auto"/>
      </w:divBdr>
    </w:div>
    <w:div w:id="738795431">
      <w:bodyDiv w:val="1"/>
      <w:marLeft w:val="0"/>
      <w:marRight w:val="0"/>
      <w:marTop w:val="0"/>
      <w:marBottom w:val="0"/>
      <w:divBdr>
        <w:top w:val="none" w:sz="0" w:space="0" w:color="auto"/>
        <w:left w:val="none" w:sz="0" w:space="0" w:color="auto"/>
        <w:bottom w:val="none" w:sz="0" w:space="0" w:color="auto"/>
        <w:right w:val="none" w:sz="0" w:space="0" w:color="auto"/>
      </w:divBdr>
    </w:div>
    <w:div w:id="787316331">
      <w:bodyDiv w:val="1"/>
      <w:marLeft w:val="0"/>
      <w:marRight w:val="0"/>
      <w:marTop w:val="0"/>
      <w:marBottom w:val="0"/>
      <w:divBdr>
        <w:top w:val="none" w:sz="0" w:space="0" w:color="auto"/>
        <w:left w:val="none" w:sz="0" w:space="0" w:color="auto"/>
        <w:bottom w:val="none" w:sz="0" w:space="0" w:color="auto"/>
        <w:right w:val="none" w:sz="0" w:space="0" w:color="auto"/>
      </w:divBdr>
    </w:div>
    <w:div w:id="788819510">
      <w:bodyDiv w:val="1"/>
      <w:marLeft w:val="0"/>
      <w:marRight w:val="0"/>
      <w:marTop w:val="0"/>
      <w:marBottom w:val="0"/>
      <w:divBdr>
        <w:top w:val="none" w:sz="0" w:space="0" w:color="auto"/>
        <w:left w:val="none" w:sz="0" w:space="0" w:color="auto"/>
        <w:bottom w:val="none" w:sz="0" w:space="0" w:color="auto"/>
        <w:right w:val="none" w:sz="0" w:space="0" w:color="auto"/>
      </w:divBdr>
    </w:div>
    <w:div w:id="804156120">
      <w:bodyDiv w:val="1"/>
      <w:marLeft w:val="0"/>
      <w:marRight w:val="0"/>
      <w:marTop w:val="0"/>
      <w:marBottom w:val="0"/>
      <w:divBdr>
        <w:top w:val="none" w:sz="0" w:space="0" w:color="auto"/>
        <w:left w:val="none" w:sz="0" w:space="0" w:color="auto"/>
        <w:bottom w:val="none" w:sz="0" w:space="0" w:color="auto"/>
        <w:right w:val="none" w:sz="0" w:space="0" w:color="auto"/>
      </w:divBdr>
    </w:div>
    <w:div w:id="810292787">
      <w:bodyDiv w:val="1"/>
      <w:marLeft w:val="0"/>
      <w:marRight w:val="0"/>
      <w:marTop w:val="0"/>
      <w:marBottom w:val="0"/>
      <w:divBdr>
        <w:top w:val="none" w:sz="0" w:space="0" w:color="auto"/>
        <w:left w:val="none" w:sz="0" w:space="0" w:color="auto"/>
        <w:bottom w:val="none" w:sz="0" w:space="0" w:color="auto"/>
        <w:right w:val="none" w:sz="0" w:space="0" w:color="auto"/>
      </w:divBdr>
    </w:div>
    <w:div w:id="813985375">
      <w:bodyDiv w:val="1"/>
      <w:marLeft w:val="0"/>
      <w:marRight w:val="0"/>
      <w:marTop w:val="0"/>
      <w:marBottom w:val="0"/>
      <w:divBdr>
        <w:top w:val="none" w:sz="0" w:space="0" w:color="auto"/>
        <w:left w:val="none" w:sz="0" w:space="0" w:color="auto"/>
        <w:bottom w:val="none" w:sz="0" w:space="0" w:color="auto"/>
        <w:right w:val="none" w:sz="0" w:space="0" w:color="auto"/>
      </w:divBdr>
    </w:div>
    <w:div w:id="869296743">
      <w:bodyDiv w:val="1"/>
      <w:marLeft w:val="0"/>
      <w:marRight w:val="0"/>
      <w:marTop w:val="0"/>
      <w:marBottom w:val="0"/>
      <w:divBdr>
        <w:top w:val="none" w:sz="0" w:space="0" w:color="auto"/>
        <w:left w:val="none" w:sz="0" w:space="0" w:color="auto"/>
        <w:bottom w:val="none" w:sz="0" w:space="0" w:color="auto"/>
        <w:right w:val="none" w:sz="0" w:space="0" w:color="auto"/>
      </w:divBdr>
    </w:div>
    <w:div w:id="878322372">
      <w:bodyDiv w:val="1"/>
      <w:marLeft w:val="0"/>
      <w:marRight w:val="0"/>
      <w:marTop w:val="0"/>
      <w:marBottom w:val="0"/>
      <w:divBdr>
        <w:top w:val="none" w:sz="0" w:space="0" w:color="auto"/>
        <w:left w:val="none" w:sz="0" w:space="0" w:color="auto"/>
        <w:bottom w:val="none" w:sz="0" w:space="0" w:color="auto"/>
        <w:right w:val="none" w:sz="0" w:space="0" w:color="auto"/>
      </w:divBdr>
    </w:div>
    <w:div w:id="897319523">
      <w:bodyDiv w:val="1"/>
      <w:marLeft w:val="0"/>
      <w:marRight w:val="0"/>
      <w:marTop w:val="0"/>
      <w:marBottom w:val="0"/>
      <w:divBdr>
        <w:top w:val="none" w:sz="0" w:space="0" w:color="auto"/>
        <w:left w:val="none" w:sz="0" w:space="0" w:color="auto"/>
        <w:bottom w:val="none" w:sz="0" w:space="0" w:color="auto"/>
        <w:right w:val="none" w:sz="0" w:space="0" w:color="auto"/>
      </w:divBdr>
    </w:div>
    <w:div w:id="907115437">
      <w:bodyDiv w:val="1"/>
      <w:marLeft w:val="0"/>
      <w:marRight w:val="0"/>
      <w:marTop w:val="0"/>
      <w:marBottom w:val="0"/>
      <w:divBdr>
        <w:top w:val="none" w:sz="0" w:space="0" w:color="auto"/>
        <w:left w:val="none" w:sz="0" w:space="0" w:color="auto"/>
        <w:bottom w:val="none" w:sz="0" w:space="0" w:color="auto"/>
        <w:right w:val="none" w:sz="0" w:space="0" w:color="auto"/>
      </w:divBdr>
    </w:div>
    <w:div w:id="967785603">
      <w:bodyDiv w:val="1"/>
      <w:marLeft w:val="0"/>
      <w:marRight w:val="0"/>
      <w:marTop w:val="0"/>
      <w:marBottom w:val="0"/>
      <w:divBdr>
        <w:top w:val="none" w:sz="0" w:space="0" w:color="auto"/>
        <w:left w:val="none" w:sz="0" w:space="0" w:color="auto"/>
        <w:bottom w:val="none" w:sz="0" w:space="0" w:color="auto"/>
        <w:right w:val="none" w:sz="0" w:space="0" w:color="auto"/>
      </w:divBdr>
    </w:div>
    <w:div w:id="970595488">
      <w:bodyDiv w:val="1"/>
      <w:marLeft w:val="0"/>
      <w:marRight w:val="0"/>
      <w:marTop w:val="0"/>
      <w:marBottom w:val="0"/>
      <w:divBdr>
        <w:top w:val="none" w:sz="0" w:space="0" w:color="auto"/>
        <w:left w:val="none" w:sz="0" w:space="0" w:color="auto"/>
        <w:bottom w:val="none" w:sz="0" w:space="0" w:color="auto"/>
        <w:right w:val="none" w:sz="0" w:space="0" w:color="auto"/>
      </w:divBdr>
    </w:div>
    <w:div w:id="1002515031">
      <w:bodyDiv w:val="1"/>
      <w:marLeft w:val="0"/>
      <w:marRight w:val="0"/>
      <w:marTop w:val="0"/>
      <w:marBottom w:val="0"/>
      <w:divBdr>
        <w:top w:val="none" w:sz="0" w:space="0" w:color="auto"/>
        <w:left w:val="none" w:sz="0" w:space="0" w:color="auto"/>
        <w:bottom w:val="none" w:sz="0" w:space="0" w:color="auto"/>
        <w:right w:val="none" w:sz="0" w:space="0" w:color="auto"/>
      </w:divBdr>
    </w:div>
    <w:div w:id="1008407410">
      <w:bodyDiv w:val="1"/>
      <w:marLeft w:val="0"/>
      <w:marRight w:val="0"/>
      <w:marTop w:val="0"/>
      <w:marBottom w:val="0"/>
      <w:divBdr>
        <w:top w:val="none" w:sz="0" w:space="0" w:color="auto"/>
        <w:left w:val="none" w:sz="0" w:space="0" w:color="auto"/>
        <w:bottom w:val="none" w:sz="0" w:space="0" w:color="auto"/>
        <w:right w:val="none" w:sz="0" w:space="0" w:color="auto"/>
      </w:divBdr>
    </w:div>
    <w:div w:id="1012951076">
      <w:bodyDiv w:val="1"/>
      <w:marLeft w:val="0"/>
      <w:marRight w:val="0"/>
      <w:marTop w:val="0"/>
      <w:marBottom w:val="0"/>
      <w:divBdr>
        <w:top w:val="none" w:sz="0" w:space="0" w:color="auto"/>
        <w:left w:val="none" w:sz="0" w:space="0" w:color="auto"/>
        <w:bottom w:val="none" w:sz="0" w:space="0" w:color="auto"/>
        <w:right w:val="none" w:sz="0" w:space="0" w:color="auto"/>
      </w:divBdr>
    </w:div>
    <w:div w:id="1022318425">
      <w:bodyDiv w:val="1"/>
      <w:marLeft w:val="0"/>
      <w:marRight w:val="0"/>
      <w:marTop w:val="0"/>
      <w:marBottom w:val="0"/>
      <w:divBdr>
        <w:top w:val="none" w:sz="0" w:space="0" w:color="auto"/>
        <w:left w:val="none" w:sz="0" w:space="0" w:color="auto"/>
        <w:bottom w:val="none" w:sz="0" w:space="0" w:color="auto"/>
        <w:right w:val="none" w:sz="0" w:space="0" w:color="auto"/>
      </w:divBdr>
    </w:div>
    <w:div w:id="1035693652">
      <w:bodyDiv w:val="1"/>
      <w:marLeft w:val="0"/>
      <w:marRight w:val="0"/>
      <w:marTop w:val="0"/>
      <w:marBottom w:val="0"/>
      <w:divBdr>
        <w:top w:val="none" w:sz="0" w:space="0" w:color="auto"/>
        <w:left w:val="none" w:sz="0" w:space="0" w:color="auto"/>
        <w:bottom w:val="none" w:sz="0" w:space="0" w:color="auto"/>
        <w:right w:val="none" w:sz="0" w:space="0" w:color="auto"/>
      </w:divBdr>
    </w:div>
    <w:div w:id="1048652131">
      <w:bodyDiv w:val="1"/>
      <w:marLeft w:val="0"/>
      <w:marRight w:val="0"/>
      <w:marTop w:val="0"/>
      <w:marBottom w:val="0"/>
      <w:divBdr>
        <w:top w:val="none" w:sz="0" w:space="0" w:color="auto"/>
        <w:left w:val="none" w:sz="0" w:space="0" w:color="auto"/>
        <w:bottom w:val="none" w:sz="0" w:space="0" w:color="auto"/>
        <w:right w:val="none" w:sz="0" w:space="0" w:color="auto"/>
      </w:divBdr>
    </w:div>
    <w:div w:id="1052388621">
      <w:bodyDiv w:val="1"/>
      <w:marLeft w:val="0"/>
      <w:marRight w:val="0"/>
      <w:marTop w:val="0"/>
      <w:marBottom w:val="0"/>
      <w:divBdr>
        <w:top w:val="none" w:sz="0" w:space="0" w:color="auto"/>
        <w:left w:val="none" w:sz="0" w:space="0" w:color="auto"/>
        <w:bottom w:val="none" w:sz="0" w:space="0" w:color="auto"/>
        <w:right w:val="none" w:sz="0" w:space="0" w:color="auto"/>
      </w:divBdr>
    </w:div>
    <w:div w:id="1081220797">
      <w:bodyDiv w:val="1"/>
      <w:marLeft w:val="0"/>
      <w:marRight w:val="0"/>
      <w:marTop w:val="0"/>
      <w:marBottom w:val="0"/>
      <w:divBdr>
        <w:top w:val="none" w:sz="0" w:space="0" w:color="auto"/>
        <w:left w:val="none" w:sz="0" w:space="0" w:color="auto"/>
        <w:bottom w:val="none" w:sz="0" w:space="0" w:color="auto"/>
        <w:right w:val="none" w:sz="0" w:space="0" w:color="auto"/>
      </w:divBdr>
    </w:div>
    <w:div w:id="1087536851">
      <w:bodyDiv w:val="1"/>
      <w:marLeft w:val="0"/>
      <w:marRight w:val="0"/>
      <w:marTop w:val="0"/>
      <w:marBottom w:val="0"/>
      <w:divBdr>
        <w:top w:val="none" w:sz="0" w:space="0" w:color="auto"/>
        <w:left w:val="none" w:sz="0" w:space="0" w:color="auto"/>
        <w:bottom w:val="none" w:sz="0" w:space="0" w:color="auto"/>
        <w:right w:val="none" w:sz="0" w:space="0" w:color="auto"/>
      </w:divBdr>
    </w:div>
    <w:div w:id="1092778345">
      <w:bodyDiv w:val="1"/>
      <w:marLeft w:val="0"/>
      <w:marRight w:val="0"/>
      <w:marTop w:val="0"/>
      <w:marBottom w:val="0"/>
      <w:divBdr>
        <w:top w:val="none" w:sz="0" w:space="0" w:color="auto"/>
        <w:left w:val="none" w:sz="0" w:space="0" w:color="auto"/>
        <w:bottom w:val="none" w:sz="0" w:space="0" w:color="auto"/>
        <w:right w:val="none" w:sz="0" w:space="0" w:color="auto"/>
      </w:divBdr>
    </w:div>
    <w:div w:id="1099839109">
      <w:bodyDiv w:val="1"/>
      <w:marLeft w:val="0"/>
      <w:marRight w:val="0"/>
      <w:marTop w:val="0"/>
      <w:marBottom w:val="0"/>
      <w:divBdr>
        <w:top w:val="none" w:sz="0" w:space="0" w:color="auto"/>
        <w:left w:val="none" w:sz="0" w:space="0" w:color="auto"/>
        <w:bottom w:val="none" w:sz="0" w:space="0" w:color="auto"/>
        <w:right w:val="none" w:sz="0" w:space="0" w:color="auto"/>
      </w:divBdr>
    </w:div>
    <w:div w:id="1133519662">
      <w:bodyDiv w:val="1"/>
      <w:marLeft w:val="0"/>
      <w:marRight w:val="0"/>
      <w:marTop w:val="0"/>
      <w:marBottom w:val="0"/>
      <w:divBdr>
        <w:top w:val="none" w:sz="0" w:space="0" w:color="auto"/>
        <w:left w:val="none" w:sz="0" w:space="0" w:color="auto"/>
        <w:bottom w:val="none" w:sz="0" w:space="0" w:color="auto"/>
        <w:right w:val="none" w:sz="0" w:space="0" w:color="auto"/>
      </w:divBdr>
    </w:div>
    <w:div w:id="1146048669">
      <w:bodyDiv w:val="1"/>
      <w:marLeft w:val="0"/>
      <w:marRight w:val="0"/>
      <w:marTop w:val="0"/>
      <w:marBottom w:val="0"/>
      <w:divBdr>
        <w:top w:val="none" w:sz="0" w:space="0" w:color="auto"/>
        <w:left w:val="none" w:sz="0" w:space="0" w:color="auto"/>
        <w:bottom w:val="none" w:sz="0" w:space="0" w:color="auto"/>
        <w:right w:val="none" w:sz="0" w:space="0" w:color="auto"/>
      </w:divBdr>
    </w:div>
    <w:div w:id="1147939027">
      <w:bodyDiv w:val="1"/>
      <w:marLeft w:val="0"/>
      <w:marRight w:val="0"/>
      <w:marTop w:val="0"/>
      <w:marBottom w:val="0"/>
      <w:divBdr>
        <w:top w:val="none" w:sz="0" w:space="0" w:color="auto"/>
        <w:left w:val="none" w:sz="0" w:space="0" w:color="auto"/>
        <w:bottom w:val="none" w:sz="0" w:space="0" w:color="auto"/>
        <w:right w:val="none" w:sz="0" w:space="0" w:color="auto"/>
      </w:divBdr>
    </w:div>
    <w:div w:id="1149132955">
      <w:bodyDiv w:val="1"/>
      <w:marLeft w:val="0"/>
      <w:marRight w:val="0"/>
      <w:marTop w:val="0"/>
      <w:marBottom w:val="0"/>
      <w:divBdr>
        <w:top w:val="none" w:sz="0" w:space="0" w:color="auto"/>
        <w:left w:val="none" w:sz="0" w:space="0" w:color="auto"/>
        <w:bottom w:val="none" w:sz="0" w:space="0" w:color="auto"/>
        <w:right w:val="none" w:sz="0" w:space="0" w:color="auto"/>
      </w:divBdr>
    </w:div>
    <w:div w:id="1153453765">
      <w:bodyDiv w:val="1"/>
      <w:marLeft w:val="0"/>
      <w:marRight w:val="0"/>
      <w:marTop w:val="0"/>
      <w:marBottom w:val="0"/>
      <w:divBdr>
        <w:top w:val="none" w:sz="0" w:space="0" w:color="auto"/>
        <w:left w:val="none" w:sz="0" w:space="0" w:color="auto"/>
        <w:bottom w:val="none" w:sz="0" w:space="0" w:color="auto"/>
        <w:right w:val="none" w:sz="0" w:space="0" w:color="auto"/>
      </w:divBdr>
    </w:div>
    <w:div w:id="1166282771">
      <w:bodyDiv w:val="1"/>
      <w:marLeft w:val="0"/>
      <w:marRight w:val="0"/>
      <w:marTop w:val="0"/>
      <w:marBottom w:val="0"/>
      <w:divBdr>
        <w:top w:val="none" w:sz="0" w:space="0" w:color="auto"/>
        <w:left w:val="none" w:sz="0" w:space="0" w:color="auto"/>
        <w:bottom w:val="none" w:sz="0" w:space="0" w:color="auto"/>
        <w:right w:val="none" w:sz="0" w:space="0" w:color="auto"/>
      </w:divBdr>
    </w:div>
    <w:div w:id="1179732524">
      <w:bodyDiv w:val="1"/>
      <w:marLeft w:val="0"/>
      <w:marRight w:val="0"/>
      <w:marTop w:val="0"/>
      <w:marBottom w:val="0"/>
      <w:divBdr>
        <w:top w:val="none" w:sz="0" w:space="0" w:color="auto"/>
        <w:left w:val="none" w:sz="0" w:space="0" w:color="auto"/>
        <w:bottom w:val="none" w:sz="0" w:space="0" w:color="auto"/>
        <w:right w:val="none" w:sz="0" w:space="0" w:color="auto"/>
      </w:divBdr>
    </w:div>
    <w:div w:id="1186754376">
      <w:bodyDiv w:val="1"/>
      <w:marLeft w:val="0"/>
      <w:marRight w:val="0"/>
      <w:marTop w:val="0"/>
      <w:marBottom w:val="0"/>
      <w:divBdr>
        <w:top w:val="none" w:sz="0" w:space="0" w:color="auto"/>
        <w:left w:val="none" w:sz="0" w:space="0" w:color="auto"/>
        <w:bottom w:val="none" w:sz="0" w:space="0" w:color="auto"/>
        <w:right w:val="none" w:sz="0" w:space="0" w:color="auto"/>
      </w:divBdr>
    </w:div>
    <w:div w:id="1203978597">
      <w:bodyDiv w:val="1"/>
      <w:marLeft w:val="0"/>
      <w:marRight w:val="0"/>
      <w:marTop w:val="0"/>
      <w:marBottom w:val="0"/>
      <w:divBdr>
        <w:top w:val="none" w:sz="0" w:space="0" w:color="auto"/>
        <w:left w:val="none" w:sz="0" w:space="0" w:color="auto"/>
        <w:bottom w:val="none" w:sz="0" w:space="0" w:color="auto"/>
        <w:right w:val="none" w:sz="0" w:space="0" w:color="auto"/>
      </w:divBdr>
    </w:div>
    <w:div w:id="1243371918">
      <w:bodyDiv w:val="1"/>
      <w:marLeft w:val="0"/>
      <w:marRight w:val="0"/>
      <w:marTop w:val="0"/>
      <w:marBottom w:val="0"/>
      <w:divBdr>
        <w:top w:val="none" w:sz="0" w:space="0" w:color="auto"/>
        <w:left w:val="none" w:sz="0" w:space="0" w:color="auto"/>
        <w:bottom w:val="none" w:sz="0" w:space="0" w:color="auto"/>
        <w:right w:val="none" w:sz="0" w:space="0" w:color="auto"/>
      </w:divBdr>
    </w:div>
    <w:div w:id="1244216084">
      <w:bodyDiv w:val="1"/>
      <w:marLeft w:val="0"/>
      <w:marRight w:val="0"/>
      <w:marTop w:val="0"/>
      <w:marBottom w:val="0"/>
      <w:divBdr>
        <w:top w:val="none" w:sz="0" w:space="0" w:color="auto"/>
        <w:left w:val="none" w:sz="0" w:space="0" w:color="auto"/>
        <w:bottom w:val="none" w:sz="0" w:space="0" w:color="auto"/>
        <w:right w:val="none" w:sz="0" w:space="0" w:color="auto"/>
      </w:divBdr>
    </w:div>
    <w:div w:id="1264151392">
      <w:bodyDiv w:val="1"/>
      <w:marLeft w:val="0"/>
      <w:marRight w:val="0"/>
      <w:marTop w:val="0"/>
      <w:marBottom w:val="0"/>
      <w:divBdr>
        <w:top w:val="none" w:sz="0" w:space="0" w:color="auto"/>
        <w:left w:val="none" w:sz="0" w:space="0" w:color="auto"/>
        <w:bottom w:val="none" w:sz="0" w:space="0" w:color="auto"/>
        <w:right w:val="none" w:sz="0" w:space="0" w:color="auto"/>
      </w:divBdr>
    </w:div>
    <w:div w:id="1286236931">
      <w:bodyDiv w:val="1"/>
      <w:marLeft w:val="0"/>
      <w:marRight w:val="0"/>
      <w:marTop w:val="0"/>
      <w:marBottom w:val="0"/>
      <w:divBdr>
        <w:top w:val="none" w:sz="0" w:space="0" w:color="auto"/>
        <w:left w:val="none" w:sz="0" w:space="0" w:color="auto"/>
        <w:bottom w:val="none" w:sz="0" w:space="0" w:color="auto"/>
        <w:right w:val="none" w:sz="0" w:space="0" w:color="auto"/>
      </w:divBdr>
    </w:div>
    <w:div w:id="1299143234">
      <w:bodyDiv w:val="1"/>
      <w:marLeft w:val="0"/>
      <w:marRight w:val="0"/>
      <w:marTop w:val="0"/>
      <w:marBottom w:val="0"/>
      <w:divBdr>
        <w:top w:val="none" w:sz="0" w:space="0" w:color="auto"/>
        <w:left w:val="none" w:sz="0" w:space="0" w:color="auto"/>
        <w:bottom w:val="none" w:sz="0" w:space="0" w:color="auto"/>
        <w:right w:val="none" w:sz="0" w:space="0" w:color="auto"/>
      </w:divBdr>
    </w:div>
    <w:div w:id="1311709557">
      <w:bodyDiv w:val="1"/>
      <w:marLeft w:val="0"/>
      <w:marRight w:val="0"/>
      <w:marTop w:val="0"/>
      <w:marBottom w:val="0"/>
      <w:divBdr>
        <w:top w:val="none" w:sz="0" w:space="0" w:color="auto"/>
        <w:left w:val="none" w:sz="0" w:space="0" w:color="auto"/>
        <w:bottom w:val="none" w:sz="0" w:space="0" w:color="auto"/>
        <w:right w:val="none" w:sz="0" w:space="0" w:color="auto"/>
      </w:divBdr>
    </w:div>
    <w:div w:id="1315915618">
      <w:bodyDiv w:val="1"/>
      <w:marLeft w:val="0"/>
      <w:marRight w:val="0"/>
      <w:marTop w:val="0"/>
      <w:marBottom w:val="0"/>
      <w:divBdr>
        <w:top w:val="none" w:sz="0" w:space="0" w:color="auto"/>
        <w:left w:val="none" w:sz="0" w:space="0" w:color="auto"/>
        <w:bottom w:val="none" w:sz="0" w:space="0" w:color="auto"/>
        <w:right w:val="none" w:sz="0" w:space="0" w:color="auto"/>
      </w:divBdr>
    </w:div>
    <w:div w:id="1340428914">
      <w:bodyDiv w:val="1"/>
      <w:marLeft w:val="0"/>
      <w:marRight w:val="0"/>
      <w:marTop w:val="0"/>
      <w:marBottom w:val="0"/>
      <w:divBdr>
        <w:top w:val="none" w:sz="0" w:space="0" w:color="auto"/>
        <w:left w:val="none" w:sz="0" w:space="0" w:color="auto"/>
        <w:bottom w:val="none" w:sz="0" w:space="0" w:color="auto"/>
        <w:right w:val="none" w:sz="0" w:space="0" w:color="auto"/>
      </w:divBdr>
    </w:div>
    <w:div w:id="1355157157">
      <w:bodyDiv w:val="1"/>
      <w:marLeft w:val="0"/>
      <w:marRight w:val="0"/>
      <w:marTop w:val="0"/>
      <w:marBottom w:val="0"/>
      <w:divBdr>
        <w:top w:val="none" w:sz="0" w:space="0" w:color="auto"/>
        <w:left w:val="none" w:sz="0" w:space="0" w:color="auto"/>
        <w:bottom w:val="none" w:sz="0" w:space="0" w:color="auto"/>
        <w:right w:val="none" w:sz="0" w:space="0" w:color="auto"/>
      </w:divBdr>
    </w:div>
    <w:div w:id="1355689788">
      <w:bodyDiv w:val="1"/>
      <w:marLeft w:val="0"/>
      <w:marRight w:val="0"/>
      <w:marTop w:val="0"/>
      <w:marBottom w:val="0"/>
      <w:divBdr>
        <w:top w:val="none" w:sz="0" w:space="0" w:color="auto"/>
        <w:left w:val="none" w:sz="0" w:space="0" w:color="auto"/>
        <w:bottom w:val="none" w:sz="0" w:space="0" w:color="auto"/>
        <w:right w:val="none" w:sz="0" w:space="0" w:color="auto"/>
      </w:divBdr>
    </w:div>
    <w:div w:id="1356151654">
      <w:bodyDiv w:val="1"/>
      <w:marLeft w:val="0"/>
      <w:marRight w:val="0"/>
      <w:marTop w:val="0"/>
      <w:marBottom w:val="0"/>
      <w:divBdr>
        <w:top w:val="none" w:sz="0" w:space="0" w:color="auto"/>
        <w:left w:val="none" w:sz="0" w:space="0" w:color="auto"/>
        <w:bottom w:val="none" w:sz="0" w:space="0" w:color="auto"/>
        <w:right w:val="none" w:sz="0" w:space="0" w:color="auto"/>
      </w:divBdr>
    </w:div>
    <w:div w:id="1380739318">
      <w:bodyDiv w:val="1"/>
      <w:marLeft w:val="0"/>
      <w:marRight w:val="0"/>
      <w:marTop w:val="0"/>
      <w:marBottom w:val="0"/>
      <w:divBdr>
        <w:top w:val="none" w:sz="0" w:space="0" w:color="auto"/>
        <w:left w:val="none" w:sz="0" w:space="0" w:color="auto"/>
        <w:bottom w:val="none" w:sz="0" w:space="0" w:color="auto"/>
        <w:right w:val="none" w:sz="0" w:space="0" w:color="auto"/>
      </w:divBdr>
    </w:div>
    <w:div w:id="1381441661">
      <w:bodyDiv w:val="1"/>
      <w:marLeft w:val="0"/>
      <w:marRight w:val="0"/>
      <w:marTop w:val="0"/>
      <w:marBottom w:val="0"/>
      <w:divBdr>
        <w:top w:val="none" w:sz="0" w:space="0" w:color="auto"/>
        <w:left w:val="none" w:sz="0" w:space="0" w:color="auto"/>
        <w:bottom w:val="none" w:sz="0" w:space="0" w:color="auto"/>
        <w:right w:val="none" w:sz="0" w:space="0" w:color="auto"/>
      </w:divBdr>
    </w:div>
    <w:div w:id="1404595736">
      <w:bodyDiv w:val="1"/>
      <w:marLeft w:val="0"/>
      <w:marRight w:val="0"/>
      <w:marTop w:val="0"/>
      <w:marBottom w:val="0"/>
      <w:divBdr>
        <w:top w:val="none" w:sz="0" w:space="0" w:color="auto"/>
        <w:left w:val="none" w:sz="0" w:space="0" w:color="auto"/>
        <w:bottom w:val="none" w:sz="0" w:space="0" w:color="auto"/>
        <w:right w:val="none" w:sz="0" w:space="0" w:color="auto"/>
      </w:divBdr>
    </w:div>
    <w:div w:id="1405100551">
      <w:bodyDiv w:val="1"/>
      <w:marLeft w:val="0"/>
      <w:marRight w:val="0"/>
      <w:marTop w:val="0"/>
      <w:marBottom w:val="0"/>
      <w:divBdr>
        <w:top w:val="none" w:sz="0" w:space="0" w:color="auto"/>
        <w:left w:val="none" w:sz="0" w:space="0" w:color="auto"/>
        <w:bottom w:val="none" w:sz="0" w:space="0" w:color="auto"/>
        <w:right w:val="none" w:sz="0" w:space="0" w:color="auto"/>
      </w:divBdr>
    </w:div>
    <w:div w:id="1461069617">
      <w:bodyDiv w:val="1"/>
      <w:marLeft w:val="0"/>
      <w:marRight w:val="0"/>
      <w:marTop w:val="0"/>
      <w:marBottom w:val="0"/>
      <w:divBdr>
        <w:top w:val="none" w:sz="0" w:space="0" w:color="auto"/>
        <w:left w:val="none" w:sz="0" w:space="0" w:color="auto"/>
        <w:bottom w:val="none" w:sz="0" w:space="0" w:color="auto"/>
        <w:right w:val="none" w:sz="0" w:space="0" w:color="auto"/>
      </w:divBdr>
    </w:div>
    <w:div w:id="1466700921">
      <w:bodyDiv w:val="1"/>
      <w:marLeft w:val="0"/>
      <w:marRight w:val="0"/>
      <w:marTop w:val="0"/>
      <w:marBottom w:val="0"/>
      <w:divBdr>
        <w:top w:val="none" w:sz="0" w:space="0" w:color="auto"/>
        <w:left w:val="none" w:sz="0" w:space="0" w:color="auto"/>
        <w:bottom w:val="none" w:sz="0" w:space="0" w:color="auto"/>
        <w:right w:val="none" w:sz="0" w:space="0" w:color="auto"/>
      </w:divBdr>
    </w:div>
    <w:div w:id="1478184465">
      <w:bodyDiv w:val="1"/>
      <w:marLeft w:val="0"/>
      <w:marRight w:val="0"/>
      <w:marTop w:val="0"/>
      <w:marBottom w:val="0"/>
      <w:divBdr>
        <w:top w:val="none" w:sz="0" w:space="0" w:color="auto"/>
        <w:left w:val="none" w:sz="0" w:space="0" w:color="auto"/>
        <w:bottom w:val="none" w:sz="0" w:space="0" w:color="auto"/>
        <w:right w:val="none" w:sz="0" w:space="0" w:color="auto"/>
      </w:divBdr>
    </w:div>
    <w:div w:id="1515530109">
      <w:bodyDiv w:val="1"/>
      <w:marLeft w:val="0"/>
      <w:marRight w:val="0"/>
      <w:marTop w:val="0"/>
      <w:marBottom w:val="0"/>
      <w:divBdr>
        <w:top w:val="none" w:sz="0" w:space="0" w:color="auto"/>
        <w:left w:val="none" w:sz="0" w:space="0" w:color="auto"/>
        <w:bottom w:val="none" w:sz="0" w:space="0" w:color="auto"/>
        <w:right w:val="none" w:sz="0" w:space="0" w:color="auto"/>
      </w:divBdr>
    </w:div>
    <w:div w:id="1523392928">
      <w:bodyDiv w:val="1"/>
      <w:marLeft w:val="0"/>
      <w:marRight w:val="0"/>
      <w:marTop w:val="0"/>
      <w:marBottom w:val="0"/>
      <w:divBdr>
        <w:top w:val="none" w:sz="0" w:space="0" w:color="auto"/>
        <w:left w:val="none" w:sz="0" w:space="0" w:color="auto"/>
        <w:bottom w:val="none" w:sz="0" w:space="0" w:color="auto"/>
        <w:right w:val="none" w:sz="0" w:space="0" w:color="auto"/>
      </w:divBdr>
    </w:div>
    <w:div w:id="1526555709">
      <w:bodyDiv w:val="1"/>
      <w:marLeft w:val="0"/>
      <w:marRight w:val="0"/>
      <w:marTop w:val="0"/>
      <w:marBottom w:val="0"/>
      <w:divBdr>
        <w:top w:val="none" w:sz="0" w:space="0" w:color="auto"/>
        <w:left w:val="none" w:sz="0" w:space="0" w:color="auto"/>
        <w:bottom w:val="none" w:sz="0" w:space="0" w:color="auto"/>
        <w:right w:val="none" w:sz="0" w:space="0" w:color="auto"/>
      </w:divBdr>
    </w:div>
    <w:div w:id="1545948997">
      <w:bodyDiv w:val="1"/>
      <w:marLeft w:val="0"/>
      <w:marRight w:val="0"/>
      <w:marTop w:val="0"/>
      <w:marBottom w:val="0"/>
      <w:divBdr>
        <w:top w:val="none" w:sz="0" w:space="0" w:color="auto"/>
        <w:left w:val="none" w:sz="0" w:space="0" w:color="auto"/>
        <w:bottom w:val="none" w:sz="0" w:space="0" w:color="auto"/>
        <w:right w:val="none" w:sz="0" w:space="0" w:color="auto"/>
      </w:divBdr>
    </w:div>
    <w:div w:id="1558082044">
      <w:bodyDiv w:val="1"/>
      <w:marLeft w:val="0"/>
      <w:marRight w:val="0"/>
      <w:marTop w:val="0"/>
      <w:marBottom w:val="0"/>
      <w:divBdr>
        <w:top w:val="none" w:sz="0" w:space="0" w:color="auto"/>
        <w:left w:val="none" w:sz="0" w:space="0" w:color="auto"/>
        <w:bottom w:val="none" w:sz="0" w:space="0" w:color="auto"/>
        <w:right w:val="none" w:sz="0" w:space="0" w:color="auto"/>
      </w:divBdr>
    </w:div>
    <w:div w:id="1608537598">
      <w:bodyDiv w:val="1"/>
      <w:marLeft w:val="0"/>
      <w:marRight w:val="0"/>
      <w:marTop w:val="0"/>
      <w:marBottom w:val="0"/>
      <w:divBdr>
        <w:top w:val="none" w:sz="0" w:space="0" w:color="auto"/>
        <w:left w:val="none" w:sz="0" w:space="0" w:color="auto"/>
        <w:bottom w:val="none" w:sz="0" w:space="0" w:color="auto"/>
        <w:right w:val="none" w:sz="0" w:space="0" w:color="auto"/>
      </w:divBdr>
    </w:div>
    <w:div w:id="1636835257">
      <w:bodyDiv w:val="1"/>
      <w:marLeft w:val="0"/>
      <w:marRight w:val="0"/>
      <w:marTop w:val="0"/>
      <w:marBottom w:val="0"/>
      <w:divBdr>
        <w:top w:val="none" w:sz="0" w:space="0" w:color="auto"/>
        <w:left w:val="none" w:sz="0" w:space="0" w:color="auto"/>
        <w:bottom w:val="none" w:sz="0" w:space="0" w:color="auto"/>
        <w:right w:val="none" w:sz="0" w:space="0" w:color="auto"/>
      </w:divBdr>
    </w:div>
    <w:div w:id="1666350961">
      <w:bodyDiv w:val="1"/>
      <w:marLeft w:val="0"/>
      <w:marRight w:val="0"/>
      <w:marTop w:val="0"/>
      <w:marBottom w:val="0"/>
      <w:divBdr>
        <w:top w:val="none" w:sz="0" w:space="0" w:color="auto"/>
        <w:left w:val="none" w:sz="0" w:space="0" w:color="auto"/>
        <w:bottom w:val="none" w:sz="0" w:space="0" w:color="auto"/>
        <w:right w:val="none" w:sz="0" w:space="0" w:color="auto"/>
      </w:divBdr>
    </w:div>
    <w:div w:id="1699820392">
      <w:bodyDiv w:val="1"/>
      <w:marLeft w:val="0"/>
      <w:marRight w:val="0"/>
      <w:marTop w:val="0"/>
      <w:marBottom w:val="0"/>
      <w:divBdr>
        <w:top w:val="none" w:sz="0" w:space="0" w:color="auto"/>
        <w:left w:val="none" w:sz="0" w:space="0" w:color="auto"/>
        <w:bottom w:val="none" w:sz="0" w:space="0" w:color="auto"/>
        <w:right w:val="none" w:sz="0" w:space="0" w:color="auto"/>
      </w:divBdr>
    </w:div>
    <w:div w:id="1720350412">
      <w:bodyDiv w:val="1"/>
      <w:marLeft w:val="0"/>
      <w:marRight w:val="0"/>
      <w:marTop w:val="0"/>
      <w:marBottom w:val="0"/>
      <w:divBdr>
        <w:top w:val="none" w:sz="0" w:space="0" w:color="auto"/>
        <w:left w:val="none" w:sz="0" w:space="0" w:color="auto"/>
        <w:bottom w:val="none" w:sz="0" w:space="0" w:color="auto"/>
        <w:right w:val="none" w:sz="0" w:space="0" w:color="auto"/>
      </w:divBdr>
    </w:div>
    <w:div w:id="1726642122">
      <w:bodyDiv w:val="1"/>
      <w:marLeft w:val="0"/>
      <w:marRight w:val="0"/>
      <w:marTop w:val="0"/>
      <w:marBottom w:val="0"/>
      <w:divBdr>
        <w:top w:val="none" w:sz="0" w:space="0" w:color="auto"/>
        <w:left w:val="none" w:sz="0" w:space="0" w:color="auto"/>
        <w:bottom w:val="none" w:sz="0" w:space="0" w:color="auto"/>
        <w:right w:val="none" w:sz="0" w:space="0" w:color="auto"/>
      </w:divBdr>
    </w:div>
    <w:div w:id="1733960905">
      <w:bodyDiv w:val="1"/>
      <w:marLeft w:val="0"/>
      <w:marRight w:val="0"/>
      <w:marTop w:val="0"/>
      <w:marBottom w:val="0"/>
      <w:divBdr>
        <w:top w:val="none" w:sz="0" w:space="0" w:color="auto"/>
        <w:left w:val="none" w:sz="0" w:space="0" w:color="auto"/>
        <w:bottom w:val="none" w:sz="0" w:space="0" w:color="auto"/>
        <w:right w:val="none" w:sz="0" w:space="0" w:color="auto"/>
      </w:divBdr>
    </w:div>
    <w:div w:id="1768842999">
      <w:bodyDiv w:val="1"/>
      <w:marLeft w:val="0"/>
      <w:marRight w:val="0"/>
      <w:marTop w:val="0"/>
      <w:marBottom w:val="0"/>
      <w:divBdr>
        <w:top w:val="none" w:sz="0" w:space="0" w:color="auto"/>
        <w:left w:val="none" w:sz="0" w:space="0" w:color="auto"/>
        <w:bottom w:val="none" w:sz="0" w:space="0" w:color="auto"/>
        <w:right w:val="none" w:sz="0" w:space="0" w:color="auto"/>
      </w:divBdr>
    </w:div>
    <w:div w:id="1779446765">
      <w:bodyDiv w:val="1"/>
      <w:marLeft w:val="0"/>
      <w:marRight w:val="0"/>
      <w:marTop w:val="0"/>
      <w:marBottom w:val="0"/>
      <w:divBdr>
        <w:top w:val="none" w:sz="0" w:space="0" w:color="auto"/>
        <w:left w:val="none" w:sz="0" w:space="0" w:color="auto"/>
        <w:bottom w:val="none" w:sz="0" w:space="0" w:color="auto"/>
        <w:right w:val="none" w:sz="0" w:space="0" w:color="auto"/>
      </w:divBdr>
    </w:div>
    <w:div w:id="1788813517">
      <w:bodyDiv w:val="1"/>
      <w:marLeft w:val="0"/>
      <w:marRight w:val="0"/>
      <w:marTop w:val="0"/>
      <w:marBottom w:val="0"/>
      <w:divBdr>
        <w:top w:val="none" w:sz="0" w:space="0" w:color="auto"/>
        <w:left w:val="none" w:sz="0" w:space="0" w:color="auto"/>
        <w:bottom w:val="none" w:sz="0" w:space="0" w:color="auto"/>
        <w:right w:val="none" w:sz="0" w:space="0" w:color="auto"/>
      </w:divBdr>
    </w:div>
    <w:div w:id="1859999194">
      <w:bodyDiv w:val="1"/>
      <w:marLeft w:val="0"/>
      <w:marRight w:val="0"/>
      <w:marTop w:val="0"/>
      <w:marBottom w:val="0"/>
      <w:divBdr>
        <w:top w:val="none" w:sz="0" w:space="0" w:color="auto"/>
        <w:left w:val="none" w:sz="0" w:space="0" w:color="auto"/>
        <w:bottom w:val="none" w:sz="0" w:space="0" w:color="auto"/>
        <w:right w:val="none" w:sz="0" w:space="0" w:color="auto"/>
      </w:divBdr>
    </w:div>
    <w:div w:id="1882278157">
      <w:bodyDiv w:val="1"/>
      <w:marLeft w:val="0"/>
      <w:marRight w:val="0"/>
      <w:marTop w:val="0"/>
      <w:marBottom w:val="0"/>
      <w:divBdr>
        <w:top w:val="none" w:sz="0" w:space="0" w:color="auto"/>
        <w:left w:val="none" w:sz="0" w:space="0" w:color="auto"/>
        <w:bottom w:val="none" w:sz="0" w:space="0" w:color="auto"/>
        <w:right w:val="none" w:sz="0" w:space="0" w:color="auto"/>
      </w:divBdr>
    </w:div>
    <w:div w:id="1900480222">
      <w:bodyDiv w:val="1"/>
      <w:marLeft w:val="0"/>
      <w:marRight w:val="0"/>
      <w:marTop w:val="0"/>
      <w:marBottom w:val="0"/>
      <w:divBdr>
        <w:top w:val="none" w:sz="0" w:space="0" w:color="auto"/>
        <w:left w:val="none" w:sz="0" w:space="0" w:color="auto"/>
        <w:bottom w:val="none" w:sz="0" w:space="0" w:color="auto"/>
        <w:right w:val="none" w:sz="0" w:space="0" w:color="auto"/>
      </w:divBdr>
    </w:div>
    <w:div w:id="1904215732">
      <w:bodyDiv w:val="1"/>
      <w:marLeft w:val="0"/>
      <w:marRight w:val="0"/>
      <w:marTop w:val="0"/>
      <w:marBottom w:val="0"/>
      <w:divBdr>
        <w:top w:val="none" w:sz="0" w:space="0" w:color="auto"/>
        <w:left w:val="none" w:sz="0" w:space="0" w:color="auto"/>
        <w:bottom w:val="none" w:sz="0" w:space="0" w:color="auto"/>
        <w:right w:val="none" w:sz="0" w:space="0" w:color="auto"/>
      </w:divBdr>
    </w:div>
    <w:div w:id="1914580731">
      <w:bodyDiv w:val="1"/>
      <w:marLeft w:val="0"/>
      <w:marRight w:val="0"/>
      <w:marTop w:val="0"/>
      <w:marBottom w:val="0"/>
      <w:divBdr>
        <w:top w:val="none" w:sz="0" w:space="0" w:color="auto"/>
        <w:left w:val="none" w:sz="0" w:space="0" w:color="auto"/>
        <w:bottom w:val="none" w:sz="0" w:space="0" w:color="auto"/>
        <w:right w:val="none" w:sz="0" w:space="0" w:color="auto"/>
      </w:divBdr>
    </w:div>
    <w:div w:id="1916016537">
      <w:bodyDiv w:val="1"/>
      <w:marLeft w:val="0"/>
      <w:marRight w:val="0"/>
      <w:marTop w:val="0"/>
      <w:marBottom w:val="0"/>
      <w:divBdr>
        <w:top w:val="none" w:sz="0" w:space="0" w:color="auto"/>
        <w:left w:val="none" w:sz="0" w:space="0" w:color="auto"/>
        <w:bottom w:val="none" w:sz="0" w:space="0" w:color="auto"/>
        <w:right w:val="none" w:sz="0" w:space="0" w:color="auto"/>
      </w:divBdr>
    </w:div>
    <w:div w:id="1952545312">
      <w:bodyDiv w:val="1"/>
      <w:marLeft w:val="0"/>
      <w:marRight w:val="0"/>
      <w:marTop w:val="0"/>
      <w:marBottom w:val="0"/>
      <w:divBdr>
        <w:top w:val="none" w:sz="0" w:space="0" w:color="auto"/>
        <w:left w:val="none" w:sz="0" w:space="0" w:color="auto"/>
        <w:bottom w:val="none" w:sz="0" w:space="0" w:color="auto"/>
        <w:right w:val="none" w:sz="0" w:space="0" w:color="auto"/>
      </w:divBdr>
    </w:div>
    <w:div w:id="2023823467">
      <w:bodyDiv w:val="1"/>
      <w:marLeft w:val="0"/>
      <w:marRight w:val="0"/>
      <w:marTop w:val="0"/>
      <w:marBottom w:val="0"/>
      <w:divBdr>
        <w:top w:val="none" w:sz="0" w:space="0" w:color="auto"/>
        <w:left w:val="none" w:sz="0" w:space="0" w:color="auto"/>
        <w:bottom w:val="none" w:sz="0" w:space="0" w:color="auto"/>
        <w:right w:val="none" w:sz="0" w:space="0" w:color="auto"/>
      </w:divBdr>
    </w:div>
    <w:div w:id="2040203284">
      <w:bodyDiv w:val="1"/>
      <w:marLeft w:val="0"/>
      <w:marRight w:val="0"/>
      <w:marTop w:val="0"/>
      <w:marBottom w:val="0"/>
      <w:divBdr>
        <w:top w:val="none" w:sz="0" w:space="0" w:color="auto"/>
        <w:left w:val="none" w:sz="0" w:space="0" w:color="auto"/>
        <w:bottom w:val="none" w:sz="0" w:space="0" w:color="auto"/>
        <w:right w:val="none" w:sz="0" w:space="0" w:color="auto"/>
      </w:divBdr>
    </w:div>
    <w:div w:id="2042707932">
      <w:bodyDiv w:val="1"/>
      <w:marLeft w:val="0"/>
      <w:marRight w:val="0"/>
      <w:marTop w:val="0"/>
      <w:marBottom w:val="0"/>
      <w:divBdr>
        <w:top w:val="none" w:sz="0" w:space="0" w:color="auto"/>
        <w:left w:val="none" w:sz="0" w:space="0" w:color="auto"/>
        <w:bottom w:val="none" w:sz="0" w:space="0" w:color="auto"/>
        <w:right w:val="none" w:sz="0" w:space="0" w:color="auto"/>
      </w:divBdr>
    </w:div>
    <w:div w:id="2063940418">
      <w:bodyDiv w:val="1"/>
      <w:marLeft w:val="0"/>
      <w:marRight w:val="0"/>
      <w:marTop w:val="0"/>
      <w:marBottom w:val="0"/>
      <w:divBdr>
        <w:top w:val="none" w:sz="0" w:space="0" w:color="auto"/>
        <w:left w:val="none" w:sz="0" w:space="0" w:color="auto"/>
        <w:bottom w:val="none" w:sz="0" w:space="0" w:color="auto"/>
        <w:right w:val="none" w:sz="0" w:space="0" w:color="auto"/>
      </w:divBdr>
    </w:div>
    <w:div w:id="2071343389">
      <w:bodyDiv w:val="1"/>
      <w:marLeft w:val="0"/>
      <w:marRight w:val="0"/>
      <w:marTop w:val="0"/>
      <w:marBottom w:val="0"/>
      <w:divBdr>
        <w:top w:val="none" w:sz="0" w:space="0" w:color="auto"/>
        <w:left w:val="none" w:sz="0" w:space="0" w:color="auto"/>
        <w:bottom w:val="none" w:sz="0" w:space="0" w:color="auto"/>
        <w:right w:val="none" w:sz="0" w:space="0" w:color="auto"/>
      </w:divBdr>
    </w:div>
    <w:div w:id="2114670206">
      <w:bodyDiv w:val="1"/>
      <w:marLeft w:val="0"/>
      <w:marRight w:val="0"/>
      <w:marTop w:val="0"/>
      <w:marBottom w:val="0"/>
      <w:divBdr>
        <w:top w:val="none" w:sz="0" w:space="0" w:color="auto"/>
        <w:left w:val="none" w:sz="0" w:space="0" w:color="auto"/>
        <w:bottom w:val="none" w:sz="0" w:space="0" w:color="auto"/>
        <w:right w:val="none" w:sz="0" w:space="0" w:color="auto"/>
      </w:divBdr>
    </w:div>
    <w:div w:id="2137991090">
      <w:bodyDiv w:val="1"/>
      <w:marLeft w:val="0"/>
      <w:marRight w:val="0"/>
      <w:marTop w:val="0"/>
      <w:marBottom w:val="0"/>
      <w:divBdr>
        <w:top w:val="none" w:sz="0" w:space="0" w:color="auto"/>
        <w:left w:val="none" w:sz="0" w:space="0" w:color="auto"/>
        <w:bottom w:val="none" w:sz="0" w:space="0" w:color="auto"/>
        <w:right w:val="none" w:sz="0" w:space="0" w:color="auto"/>
      </w:divBdr>
    </w:div>
    <w:div w:id="2140027591">
      <w:bodyDiv w:val="1"/>
      <w:marLeft w:val="0"/>
      <w:marRight w:val="0"/>
      <w:marTop w:val="0"/>
      <w:marBottom w:val="0"/>
      <w:divBdr>
        <w:top w:val="none" w:sz="0" w:space="0" w:color="auto"/>
        <w:left w:val="none" w:sz="0" w:space="0" w:color="auto"/>
        <w:bottom w:val="none" w:sz="0" w:space="0" w:color="auto"/>
        <w:right w:val="none" w:sz="0" w:space="0" w:color="auto"/>
      </w:divBdr>
    </w:div>
    <w:div w:id="214488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78.xml"/><Relationship Id="rId21" Type="http://schemas.openxmlformats.org/officeDocument/2006/relationships/image" Target="media/image4.png"/><Relationship Id="rId42" Type="http://schemas.openxmlformats.org/officeDocument/2006/relationships/chart" Target="charts/chart3.xml"/><Relationship Id="rId47" Type="http://schemas.openxmlformats.org/officeDocument/2006/relationships/chart" Target="charts/chart8.xml"/><Relationship Id="rId63" Type="http://schemas.openxmlformats.org/officeDocument/2006/relationships/chart" Target="charts/chart24.xml"/><Relationship Id="rId68" Type="http://schemas.openxmlformats.org/officeDocument/2006/relationships/chart" Target="charts/chart29.xml"/><Relationship Id="rId84" Type="http://schemas.openxmlformats.org/officeDocument/2006/relationships/chart" Target="charts/chart45.xml"/><Relationship Id="rId89" Type="http://schemas.openxmlformats.org/officeDocument/2006/relationships/chart" Target="charts/chart50.xml"/><Relationship Id="rId112" Type="http://schemas.openxmlformats.org/officeDocument/2006/relationships/chart" Target="charts/chart73.xml"/><Relationship Id="rId16" Type="http://schemas.openxmlformats.org/officeDocument/2006/relationships/hyperlink" Target="http://www.bsuh.nhs.uk/about-us/equality-diversity-and-human-rights/edi/" TargetMode="External"/><Relationship Id="rId107" Type="http://schemas.openxmlformats.org/officeDocument/2006/relationships/chart" Target="charts/chart68.xml"/><Relationship Id="rId11" Type="http://schemas.openxmlformats.org/officeDocument/2006/relationships/header" Target="header1.xml"/><Relationship Id="rId32" Type="http://schemas.openxmlformats.org/officeDocument/2006/relationships/hyperlink" Target="mailto:LDLTreferral@sussexpartnership.nhs.uk" TargetMode="External"/><Relationship Id="rId37" Type="http://schemas.openxmlformats.org/officeDocument/2006/relationships/image" Target="media/image12.jpeg"/><Relationship Id="rId53" Type="http://schemas.openxmlformats.org/officeDocument/2006/relationships/chart" Target="charts/chart14.xml"/><Relationship Id="rId58" Type="http://schemas.openxmlformats.org/officeDocument/2006/relationships/chart" Target="charts/chart19.xml"/><Relationship Id="rId74" Type="http://schemas.openxmlformats.org/officeDocument/2006/relationships/chart" Target="charts/chart35.xml"/><Relationship Id="rId79" Type="http://schemas.openxmlformats.org/officeDocument/2006/relationships/chart" Target="charts/chart40.xml"/><Relationship Id="rId102" Type="http://schemas.openxmlformats.org/officeDocument/2006/relationships/chart" Target="charts/chart63.xml"/><Relationship Id="rId123" Type="http://schemas.openxmlformats.org/officeDocument/2006/relationships/chart" Target="charts/chart84.xm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chart" Target="charts/chart51.xml"/><Relationship Id="rId95" Type="http://schemas.openxmlformats.org/officeDocument/2006/relationships/chart" Target="charts/chart56.xml"/><Relationship Id="rId22" Type="http://schemas.openxmlformats.org/officeDocument/2006/relationships/image" Target="media/image5.png"/><Relationship Id="rId27" Type="http://schemas.openxmlformats.org/officeDocument/2006/relationships/hyperlink" Target="mailto:uhsussex.equality@nhs.net" TargetMode="External"/><Relationship Id="rId43" Type="http://schemas.openxmlformats.org/officeDocument/2006/relationships/chart" Target="charts/chart4.xml"/><Relationship Id="rId48" Type="http://schemas.openxmlformats.org/officeDocument/2006/relationships/chart" Target="charts/chart9.xml"/><Relationship Id="rId64" Type="http://schemas.openxmlformats.org/officeDocument/2006/relationships/chart" Target="charts/chart25.xml"/><Relationship Id="rId69" Type="http://schemas.openxmlformats.org/officeDocument/2006/relationships/chart" Target="charts/chart30.xml"/><Relationship Id="rId113" Type="http://schemas.openxmlformats.org/officeDocument/2006/relationships/chart" Target="charts/chart74.xml"/><Relationship Id="rId118" Type="http://schemas.openxmlformats.org/officeDocument/2006/relationships/chart" Target="charts/chart79.xml"/><Relationship Id="rId80" Type="http://schemas.openxmlformats.org/officeDocument/2006/relationships/chart" Target="charts/chart41.xml"/><Relationship Id="rId85" Type="http://schemas.openxmlformats.org/officeDocument/2006/relationships/chart" Target="charts/chart46.xml"/><Relationship Id="rId12" Type="http://schemas.openxmlformats.org/officeDocument/2006/relationships/footer" Target="footer2.xml"/><Relationship Id="rId17" Type="http://schemas.openxmlformats.org/officeDocument/2006/relationships/hyperlink" Target="http://www.westernsussexhospitals.nhs.uk/your-trust/about/equality-diversity/" TargetMode="External"/><Relationship Id="rId33" Type="http://schemas.openxmlformats.org/officeDocument/2006/relationships/image" Target="media/image9.jpeg"/><Relationship Id="rId38" Type="http://schemas.openxmlformats.org/officeDocument/2006/relationships/hyperlink" Target="http://www.bsuh.nhs.uk/accessibility" TargetMode="External"/><Relationship Id="rId59" Type="http://schemas.openxmlformats.org/officeDocument/2006/relationships/chart" Target="charts/chart20.xml"/><Relationship Id="rId103" Type="http://schemas.openxmlformats.org/officeDocument/2006/relationships/chart" Target="charts/chart64.xml"/><Relationship Id="rId108" Type="http://schemas.openxmlformats.org/officeDocument/2006/relationships/chart" Target="charts/chart69.xml"/><Relationship Id="rId124" Type="http://schemas.openxmlformats.org/officeDocument/2006/relationships/chart" Target="charts/chart85.xml"/><Relationship Id="rId129" Type="http://schemas.openxmlformats.org/officeDocument/2006/relationships/theme" Target="theme/theme1.xml"/><Relationship Id="rId54" Type="http://schemas.openxmlformats.org/officeDocument/2006/relationships/chart" Target="charts/chart15.xml"/><Relationship Id="rId70" Type="http://schemas.openxmlformats.org/officeDocument/2006/relationships/chart" Target="charts/chart31.xml"/><Relationship Id="rId75" Type="http://schemas.openxmlformats.org/officeDocument/2006/relationships/chart" Target="charts/chart36.xml"/><Relationship Id="rId91" Type="http://schemas.openxmlformats.org/officeDocument/2006/relationships/chart" Target="charts/chart52.xml"/><Relationship Id="rId96" Type="http://schemas.openxmlformats.org/officeDocument/2006/relationships/chart" Target="charts/chart5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twitter.com/uhsussex_lgbtq" TargetMode="External"/><Relationship Id="rId28" Type="http://schemas.openxmlformats.org/officeDocument/2006/relationships/hyperlink" Target="mailto:uhsussex.western.equality@nhs.net" TargetMode="External"/><Relationship Id="rId49" Type="http://schemas.openxmlformats.org/officeDocument/2006/relationships/chart" Target="charts/chart10.xml"/><Relationship Id="rId114" Type="http://schemas.openxmlformats.org/officeDocument/2006/relationships/chart" Target="charts/chart75.xml"/><Relationship Id="rId119" Type="http://schemas.openxmlformats.org/officeDocument/2006/relationships/chart" Target="charts/chart80.xml"/><Relationship Id="rId44" Type="http://schemas.openxmlformats.org/officeDocument/2006/relationships/chart" Target="charts/chart5.xml"/><Relationship Id="rId60" Type="http://schemas.openxmlformats.org/officeDocument/2006/relationships/chart" Target="charts/chart21.xml"/><Relationship Id="rId65" Type="http://schemas.openxmlformats.org/officeDocument/2006/relationships/chart" Target="charts/chart26.xml"/><Relationship Id="rId81" Type="http://schemas.openxmlformats.org/officeDocument/2006/relationships/chart" Target="charts/chart42.xml"/><Relationship Id="rId86" Type="http://schemas.openxmlformats.org/officeDocument/2006/relationships/chart" Target="charts/chart47.xml"/><Relationship Id="rId13" Type="http://schemas.openxmlformats.org/officeDocument/2006/relationships/image" Target="media/image3.jpeg"/><Relationship Id="rId18" Type="http://schemas.openxmlformats.org/officeDocument/2006/relationships/hyperlink" Target="http://www.bsuh.nhs.uk/about-us/equality-diversity-and-human-rights/edi/" TargetMode="External"/><Relationship Id="rId39" Type="http://schemas.openxmlformats.org/officeDocument/2006/relationships/hyperlink" Target="http://www.westernsussexhospitals.nhs.uk/your-trust/about/website-accessibility" TargetMode="External"/><Relationship Id="rId109" Type="http://schemas.openxmlformats.org/officeDocument/2006/relationships/chart" Target="charts/chart70.xml"/><Relationship Id="rId34" Type="http://schemas.openxmlformats.org/officeDocument/2006/relationships/hyperlink" Target="http://www.bsuh.nhs.uk/wp-content/uploads/sites/5/2016/09/Occupational-health-services-privacy-notice.pdf" TargetMode="External"/><Relationship Id="rId50" Type="http://schemas.openxmlformats.org/officeDocument/2006/relationships/chart" Target="charts/chart11.xml"/><Relationship Id="rId55" Type="http://schemas.openxmlformats.org/officeDocument/2006/relationships/chart" Target="charts/chart16.xml"/><Relationship Id="rId76" Type="http://schemas.openxmlformats.org/officeDocument/2006/relationships/chart" Target="charts/chart37.xml"/><Relationship Id="rId97" Type="http://schemas.openxmlformats.org/officeDocument/2006/relationships/chart" Target="charts/chart58.xml"/><Relationship Id="rId104" Type="http://schemas.openxmlformats.org/officeDocument/2006/relationships/chart" Target="charts/chart65.xml"/><Relationship Id="rId120" Type="http://schemas.openxmlformats.org/officeDocument/2006/relationships/chart" Target="charts/chart81.xml"/><Relationship Id="rId125" Type="http://schemas.openxmlformats.org/officeDocument/2006/relationships/chart" Target="charts/chart86.xml"/><Relationship Id="rId7" Type="http://schemas.openxmlformats.org/officeDocument/2006/relationships/footnotes" Target="footnotes.xml"/><Relationship Id="rId71" Type="http://schemas.openxmlformats.org/officeDocument/2006/relationships/chart" Target="charts/chart32.xml"/><Relationship Id="rId92" Type="http://schemas.openxmlformats.org/officeDocument/2006/relationships/chart" Target="charts/chart53.xml"/><Relationship Id="rId2" Type="http://schemas.openxmlformats.org/officeDocument/2006/relationships/numbering" Target="numbering.xml"/><Relationship Id="rId29" Type="http://schemas.openxmlformats.org/officeDocument/2006/relationships/hyperlink" Target="http://www.england.nhs.uk/ourwork/accessibleinfo/" TargetMode="External"/><Relationship Id="rId24" Type="http://schemas.openxmlformats.org/officeDocument/2006/relationships/hyperlink" Target="https://www.youtube.com/watch?v=Z9fbViKY9-I" TargetMode="External"/><Relationship Id="rId40" Type="http://schemas.openxmlformats.org/officeDocument/2006/relationships/chart" Target="charts/chart1.xml"/><Relationship Id="rId45" Type="http://schemas.openxmlformats.org/officeDocument/2006/relationships/chart" Target="charts/chart6.xml"/><Relationship Id="rId66" Type="http://schemas.openxmlformats.org/officeDocument/2006/relationships/chart" Target="charts/chart27.xml"/><Relationship Id="rId87" Type="http://schemas.openxmlformats.org/officeDocument/2006/relationships/chart" Target="charts/chart48.xml"/><Relationship Id="rId110" Type="http://schemas.openxmlformats.org/officeDocument/2006/relationships/chart" Target="charts/chart71.xml"/><Relationship Id="rId115" Type="http://schemas.openxmlformats.org/officeDocument/2006/relationships/chart" Target="charts/chart76.xml"/><Relationship Id="rId61" Type="http://schemas.openxmlformats.org/officeDocument/2006/relationships/chart" Target="charts/chart22.xml"/><Relationship Id="rId82" Type="http://schemas.openxmlformats.org/officeDocument/2006/relationships/chart" Target="charts/chart43.xml"/><Relationship Id="rId19" Type="http://schemas.openxmlformats.org/officeDocument/2006/relationships/hyperlink" Target="http://www.westernsussexhospitals.nhs.uk/your-trust/about/equality-diversity/" TargetMode="External"/><Relationship Id="rId14" Type="http://schemas.openxmlformats.org/officeDocument/2006/relationships/hyperlink" Target="https://gender-pay-gap.service.gov.uk/Employer/QqOrRsA6" TargetMode="External"/><Relationship Id="rId30" Type="http://schemas.openxmlformats.org/officeDocument/2006/relationships/image" Target="media/image7.jpeg"/><Relationship Id="rId35" Type="http://schemas.openxmlformats.org/officeDocument/2006/relationships/image" Target="media/image10.jpeg"/><Relationship Id="rId56" Type="http://schemas.openxmlformats.org/officeDocument/2006/relationships/chart" Target="charts/chart17.xml"/><Relationship Id="rId77" Type="http://schemas.openxmlformats.org/officeDocument/2006/relationships/chart" Target="charts/chart38.xml"/><Relationship Id="rId100" Type="http://schemas.openxmlformats.org/officeDocument/2006/relationships/chart" Target="charts/chart61.xml"/><Relationship Id="rId105" Type="http://schemas.openxmlformats.org/officeDocument/2006/relationships/chart" Target="charts/chart66.xml"/><Relationship Id="rId126" Type="http://schemas.openxmlformats.org/officeDocument/2006/relationships/chart" Target="charts/chart87.xml"/><Relationship Id="rId8" Type="http://schemas.openxmlformats.org/officeDocument/2006/relationships/endnotes" Target="endnotes.xml"/><Relationship Id="rId51" Type="http://schemas.openxmlformats.org/officeDocument/2006/relationships/chart" Target="charts/chart12.xml"/><Relationship Id="rId72" Type="http://schemas.openxmlformats.org/officeDocument/2006/relationships/chart" Target="charts/chart33.xml"/><Relationship Id="rId93" Type="http://schemas.openxmlformats.org/officeDocument/2006/relationships/chart" Target="charts/chart54.xml"/><Relationship Id="rId98" Type="http://schemas.openxmlformats.org/officeDocument/2006/relationships/chart" Target="charts/chart59.xml"/><Relationship Id="rId121" Type="http://schemas.openxmlformats.org/officeDocument/2006/relationships/chart" Target="charts/chart82.xml"/><Relationship Id="rId3" Type="http://schemas.openxmlformats.org/officeDocument/2006/relationships/styles" Target="styles.xml"/><Relationship Id="rId25" Type="http://schemas.openxmlformats.org/officeDocument/2006/relationships/hyperlink" Target="https://www.youtube.com/channel/UCs18Lx_hUO1NGoIuMEDIe-w/videos" TargetMode="External"/><Relationship Id="rId46" Type="http://schemas.openxmlformats.org/officeDocument/2006/relationships/chart" Target="charts/chart7.xml"/><Relationship Id="rId67" Type="http://schemas.openxmlformats.org/officeDocument/2006/relationships/chart" Target="charts/chart28.xml"/><Relationship Id="rId116" Type="http://schemas.openxmlformats.org/officeDocument/2006/relationships/chart" Target="charts/chart77.xml"/><Relationship Id="rId20" Type="http://schemas.openxmlformats.org/officeDocument/2006/relationships/hyperlink" Target="http://www.england.nhs.uk/about/equality/equality-hub/sexual-orientation-monitoring-information-standard/" TargetMode="External"/><Relationship Id="rId41" Type="http://schemas.openxmlformats.org/officeDocument/2006/relationships/chart" Target="charts/chart2.xml"/><Relationship Id="rId62" Type="http://schemas.openxmlformats.org/officeDocument/2006/relationships/chart" Target="charts/chart23.xml"/><Relationship Id="rId83" Type="http://schemas.openxmlformats.org/officeDocument/2006/relationships/chart" Target="charts/chart44.xml"/><Relationship Id="rId88" Type="http://schemas.openxmlformats.org/officeDocument/2006/relationships/chart" Target="charts/chart49.xml"/><Relationship Id="rId111" Type="http://schemas.openxmlformats.org/officeDocument/2006/relationships/chart" Target="charts/chart72.xml"/><Relationship Id="rId15" Type="http://schemas.openxmlformats.org/officeDocument/2006/relationships/hyperlink" Target="https://gender-pay-gap.service.gov.uk/Employer/KVkQecZX" TargetMode="External"/><Relationship Id="rId36" Type="http://schemas.openxmlformats.org/officeDocument/2006/relationships/image" Target="media/image11.jpeg"/><Relationship Id="rId57" Type="http://schemas.openxmlformats.org/officeDocument/2006/relationships/chart" Target="charts/chart18.xml"/><Relationship Id="rId106" Type="http://schemas.openxmlformats.org/officeDocument/2006/relationships/chart" Target="charts/chart67.xml"/><Relationship Id="rId127" Type="http://schemas.openxmlformats.org/officeDocument/2006/relationships/footer" Target="footer3.xml"/><Relationship Id="rId10" Type="http://schemas.openxmlformats.org/officeDocument/2006/relationships/footer" Target="footer1.xml"/><Relationship Id="rId31" Type="http://schemas.openxmlformats.org/officeDocument/2006/relationships/image" Target="media/image8.jpeg"/><Relationship Id="rId52" Type="http://schemas.openxmlformats.org/officeDocument/2006/relationships/chart" Target="charts/chart13.xml"/><Relationship Id="rId73" Type="http://schemas.openxmlformats.org/officeDocument/2006/relationships/chart" Target="charts/chart34.xml"/><Relationship Id="rId78" Type="http://schemas.openxmlformats.org/officeDocument/2006/relationships/chart" Target="charts/chart39.xml"/><Relationship Id="rId94" Type="http://schemas.openxmlformats.org/officeDocument/2006/relationships/chart" Target="charts/chart55.xml"/><Relationship Id="rId99" Type="http://schemas.openxmlformats.org/officeDocument/2006/relationships/chart" Target="charts/chart60.xml"/><Relationship Id="rId101" Type="http://schemas.openxmlformats.org/officeDocument/2006/relationships/chart" Target="charts/chart62.xml"/><Relationship Id="rId122" Type="http://schemas.openxmlformats.org/officeDocument/2006/relationships/chart" Target="charts/chart83.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ESR%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Leaver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Leaver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ESR%20Dat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Recruitment\Combined%20Recruitmen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Recruitment\Combined%20Recruitmen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Non%20Mandatory%20and%20CPD\Combined%20Non-Mandatory%20CP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Non%20Mandatory%20and%20CPD\Combined%20Non-Mandatory%20CPD.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Recruitment\Combined%20Recruitmen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Leaver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Leaver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ESR%20Dat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Recruitment\Combined%20Recruitmen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Recruitment\Combined%20Recruitmen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Non%20Mandatory%20and%20CPD\Combined%20Non-Mandatory%20CPD.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Non%20Mandatory%20and%20CPD\Combined%20Non-Mandatory%20CPD.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Recruitment\Combined%20Recruitmen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Leaver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Leaver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ESR%20Data.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Recruitment\Combined%20Recruitment.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Recruitment\Combined%20Recruitment.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Non%20Mandatory%20and%20CPD\Combined%20Non-Mandatory%20CPD.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Non%20Mandatory%20and%20CPD\Combined%20Non-Mandatory%20CPD.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Non%20Mandatory%20and%20CPD\Combined%20Non-Mandatory%20CPD.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Leavers.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Leavers.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ESR%20Data.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Recruitment\Combined%20Recruitment.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Recruitment\Combined%20Recruitment.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Non%20Mandatory%20and%20CPD\Combined%20Non-Mandatory%20CPD.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Non%20Mandatory%20and%20CPD\Combined%20Non-Mandatory%20CP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Non%20Mandatory%20and%20CPD\Combined%20Non-Mandatory%20CPD.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Leavers.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Leavers.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ESR%20Data.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Recruitment\Combined%20Recruitment.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Recruitment\Combined%20Recruitment.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Non%20Mandatory%20and%20CPD\Combined%20Non-Mandatory%20CP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Non%20Mandatory%20and%20CPD\Combined%20Non-Mandatory%20CPD.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Leavers.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Leavers.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ESR%20Data.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Recruitment\Combined%20Recruitment.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Recruitment\Combined%20Recruitmen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Non%20Mandatory%20and%20CPD\Combined%20Non-Mandatory%20CPD.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Non%20Mandatory%20and%20CPD\Combined%20Non-Mandatory%20CPD.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Leavers.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SR\Combined%20Leavers.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Patient%20Demographics\Combined%20PT%20Demographics.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Patient%20Demographics\Combined%20PT%20Demographic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Patient%20Demographics\Combined%20PT%20Demographics.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Patient%20Demographics\Combined%20PT%20Demographics.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Patient%20Demographics\Combined%20PT%20Demographics.xlsx" TargetMode="External"/></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4.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FFT\WSHT%20FFT.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FFT\WSHT%20FFT.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FFT\WSHT%20FFT.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FFT\WSHT%20FF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bsuh.nhs.uk\go\shared\QA\Inclusion\Reports\Equality%20Report\Equality%20Report%202021\ER%20Data\Combined%20ER%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502061419051487E-2"/>
          <c:y val="3.6124794745484398E-2"/>
          <c:w val="0.68041839171859819"/>
          <c:h val="0.84823707381404911"/>
        </c:manualLayout>
      </c:layout>
      <c:barChart>
        <c:barDir val="col"/>
        <c:grouping val="clustered"/>
        <c:varyColors val="0"/>
        <c:ser>
          <c:idx val="1"/>
          <c:order val="0"/>
          <c:tx>
            <c:strRef>
              <c:f>Age!$A$19</c:f>
              <c:strCache>
                <c:ptCount val="1"/>
                <c:pt idx="0">
                  <c:v>2020/21 (BSUH)</c:v>
                </c:pt>
              </c:strCache>
            </c:strRef>
          </c:tx>
          <c:spPr>
            <a:solidFill>
              <a:srgbClr val="41B6E6"/>
            </a:solidFill>
          </c:spPr>
          <c:invertIfNegative val="0"/>
          <c:cat>
            <c:strRef>
              <c:f>Age!$B$17:$M$17</c:f>
              <c:strCache>
                <c:ptCount val="12"/>
                <c:pt idx="0">
                  <c:v>&lt;=20 Years</c:v>
                </c:pt>
                <c:pt idx="1">
                  <c:v>21-25</c:v>
                </c:pt>
                <c:pt idx="2">
                  <c:v>26-30</c:v>
                </c:pt>
                <c:pt idx="3">
                  <c:v>31-35</c:v>
                </c:pt>
                <c:pt idx="4">
                  <c:v>36-40</c:v>
                </c:pt>
                <c:pt idx="5">
                  <c:v>41-45</c:v>
                </c:pt>
                <c:pt idx="6">
                  <c:v>46-50</c:v>
                </c:pt>
                <c:pt idx="7">
                  <c:v>51-55</c:v>
                </c:pt>
                <c:pt idx="8">
                  <c:v>56-60</c:v>
                </c:pt>
                <c:pt idx="9">
                  <c:v>61-65</c:v>
                </c:pt>
                <c:pt idx="10">
                  <c:v>66-70</c:v>
                </c:pt>
                <c:pt idx="11">
                  <c:v>&gt;=71 Years</c:v>
                </c:pt>
              </c:strCache>
            </c:strRef>
          </c:cat>
          <c:val>
            <c:numRef>
              <c:f>Age!$B$19:$M$19</c:f>
              <c:numCache>
                <c:formatCode>0.0%</c:formatCode>
                <c:ptCount val="12"/>
                <c:pt idx="0">
                  <c:v>4.6207596077989408E-3</c:v>
                </c:pt>
                <c:pt idx="1">
                  <c:v>6.3450918516848864E-2</c:v>
                </c:pt>
                <c:pt idx="2">
                  <c:v>0.13264961117998422</c:v>
                </c:pt>
                <c:pt idx="3">
                  <c:v>0.14234193621097713</c:v>
                </c:pt>
                <c:pt idx="4">
                  <c:v>0.12126676434126001</c:v>
                </c:pt>
                <c:pt idx="5">
                  <c:v>0.12261918178744506</c:v>
                </c:pt>
                <c:pt idx="6">
                  <c:v>0.12814155302603403</c:v>
                </c:pt>
                <c:pt idx="7">
                  <c:v>0.11878733235658739</c:v>
                </c:pt>
                <c:pt idx="8">
                  <c:v>9.4781922686802661E-2</c:v>
                </c:pt>
                <c:pt idx="9">
                  <c:v>5.4660205116646002E-2</c:v>
                </c:pt>
                <c:pt idx="10">
                  <c:v>1.1720951200270483E-2</c:v>
                </c:pt>
                <c:pt idx="11">
                  <c:v>4.9588639693452048E-3</c:v>
                </c:pt>
              </c:numCache>
            </c:numRef>
          </c:val>
        </c:ser>
        <c:ser>
          <c:idx val="3"/>
          <c:order val="1"/>
          <c:tx>
            <c:strRef>
              <c:f>Age!$A$21</c:f>
              <c:strCache>
                <c:ptCount val="1"/>
                <c:pt idx="0">
                  <c:v>2020/21 (WSHT)</c:v>
                </c:pt>
              </c:strCache>
            </c:strRef>
          </c:tx>
          <c:spPr>
            <a:solidFill>
              <a:srgbClr val="009639"/>
            </a:solidFill>
          </c:spPr>
          <c:invertIfNegative val="0"/>
          <c:cat>
            <c:strRef>
              <c:f>Age!$B$17:$M$17</c:f>
              <c:strCache>
                <c:ptCount val="12"/>
                <c:pt idx="0">
                  <c:v>&lt;=20 Years</c:v>
                </c:pt>
                <c:pt idx="1">
                  <c:v>21-25</c:v>
                </c:pt>
                <c:pt idx="2">
                  <c:v>26-30</c:v>
                </c:pt>
                <c:pt idx="3">
                  <c:v>31-35</c:v>
                </c:pt>
                <c:pt idx="4">
                  <c:v>36-40</c:v>
                </c:pt>
                <c:pt idx="5">
                  <c:v>41-45</c:v>
                </c:pt>
                <c:pt idx="6">
                  <c:v>46-50</c:v>
                </c:pt>
                <c:pt idx="7">
                  <c:v>51-55</c:v>
                </c:pt>
                <c:pt idx="8">
                  <c:v>56-60</c:v>
                </c:pt>
                <c:pt idx="9">
                  <c:v>61-65</c:v>
                </c:pt>
                <c:pt idx="10">
                  <c:v>66-70</c:v>
                </c:pt>
                <c:pt idx="11">
                  <c:v>&gt;=71 Years</c:v>
                </c:pt>
              </c:strCache>
            </c:strRef>
          </c:cat>
          <c:val>
            <c:numRef>
              <c:f>Age!$B$21:$M$21</c:f>
              <c:numCache>
                <c:formatCode>0.0%</c:formatCode>
                <c:ptCount val="12"/>
                <c:pt idx="0">
                  <c:v>7.9797845458172631E-3</c:v>
                </c:pt>
                <c:pt idx="1">
                  <c:v>5.8651416411756883E-2</c:v>
                </c:pt>
                <c:pt idx="2">
                  <c:v>0.12408564968745844</c:v>
                </c:pt>
                <c:pt idx="3">
                  <c:v>0.13632131932437824</c:v>
                </c:pt>
                <c:pt idx="4">
                  <c:v>0.11384492618699295</c:v>
                </c:pt>
                <c:pt idx="5">
                  <c:v>0.11929777895996808</c:v>
                </c:pt>
                <c:pt idx="6">
                  <c:v>0.13166644500598484</c:v>
                </c:pt>
                <c:pt idx="7">
                  <c:v>0.12115972868732544</c:v>
                </c:pt>
                <c:pt idx="8">
                  <c:v>0.10480117036840006</c:v>
                </c:pt>
                <c:pt idx="9">
                  <c:v>6.1311344593695971E-2</c:v>
                </c:pt>
                <c:pt idx="10">
                  <c:v>1.4629605000664982E-2</c:v>
                </c:pt>
                <c:pt idx="11">
                  <c:v>6.2508312275568563E-3</c:v>
                </c:pt>
              </c:numCache>
            </c:numRef>
          </c:val>
        </c:ser>
        <c:dLbls>
          <c:showLegendKey val="0"/>
          <c:showVal val="0"/>
          <c:showCatName val="0"/>
          <c:showSerName val="0"/>
          <c:showPercent val="0"/>
          <c:showBubbleSize val="0"/>
        </c:dLbls>
        <c:gapWidth val="150"/>
        <c:axId val="168156672"/>
        <c:axId val="144382144"/>
      </c:barChart>
      <c:scatterChart>
        <c:scatterStyle val="lineMarker"/>
        <c:varyColors val="0"/>
        <c:ser>
          <c:idx val="4"/>
          <c:order val="2"/>
          <c:tx>
            <c:strRef>
              <c:f>Age!$A$22</c:f>
              <c:strCache>
                <c:ptCount val="1"/>
                <c:pt idx="0">
                  <c:v>Census 2011 (SE England)</c:v>
                </c:pt>
              </c:strCache>
            </c:strRef>
          </c:tx>
          <c:spPr>
            <a:ln w="28575">
              <a:noFill/>
            </a:ln>
          </c:spPr>
          <c:marker>
            <c:symbol val="dash"/>
            <c:size val="12"/>
            <c:spPr>
              <a:solidFill>
                <a:srgbClr val="FFB81C"/>
              </a:solidFill>
              <a:ln>
                <a:solidFill>
                  <a:schemeClr val="bg1"/>
                </a:solidFill>
              </a:ln>
            </c:spPr>
          </c:marker>
          <c:xVal>
            <c:strRef>
              <c:f>Age!$B$17:$M$17</c:f>
              <c:strCache>
                <c:ptCount val="12"/>
                <c:pt idx="0">
                  <c:v>&lt;=20 Years</c:v>
                </c:pt>
                <c:pt idx="1">
                  <c:v>21-25</c:v>
                </c:pt>
                <c:pt idx="2">
                  <c:v>26-30</c:v>
                </c:pt>
                <c:pt idx="3">
                  <c:v>31-35</c:v>
                </c:pt>
                <c:pt idx="4">
                  <c:v>36-40</c:v>
                </c:pt>
                <c:pt idx="5">
                  <c:v>41-45</c:v>
                </c:pt>
                <c:pt idx="6">
                  <c:v>46-50</c:v>
                </c:pt>
                <c:pt idx="7">
                  <c:v>51-55</c:v>
                </c:pt>
                <c:pt idx="8">
                  <c:v>56-60</c:v>
                </c:pt>
                <c:pt idx="9">
                  <c:v>61-65</c:v>
                </c:pt>
                <c:pt idx="10">
                  <c:v>66-70</c:v>
                </c:pt>
                <c:pt idx="11">
                  <c:v>&gt;=71 Years</c:v>
                </c:pt>
              </c:strCache>
            </c:strRef>
          </c:xVal>
          <c:yVal>
            <c:numRef>
              <c:f>Age!$B$22:$M$22</c:f>
              <c:numCache>
                <c:formatCode>0.0%</c:formatCode>
                <c:ptCount val="12"/>
                <c:pt idx="0">
                  <c:v>6.4000000000000001E-2</c:v>
                </c:pt>
                <c:pt idx="1">
                  <c:v>6.0999999999999999E-2</c:v>
                </c:pt>
                <c:pt idx="2">
                  <c:v>6.2E-2</c:v>
                </c:pt>
                <c:pt idx="3">
                  <c:v>6.2E-2</c:v>
                </c:pt>
                <c:pt idx="4">
                  <c:v>6.9000000000000006E-2</c:v>
                </c:pt>
                <c:pt idx="5">
                  <c:v>7.4999999999999997E-2</c:v>
                </c:pt>
                <c:pt idx="6">
                  <c:v>7.3999999999999996E-2</c:v>
                </c:pt>
                <c:pt idx="7">
                  <c:v>6.4000000000000001E-2</c:v>
                </c:pt>
                <c:pt idx="8">
                  <c:v>5.7000000000000002E-2</c:v>
                </c:pt>
                <c:pt idx="9">
                  <c:v>6.0999999999999999E-2</c:v>
                </c:pt>
                <c:pt idx="10">
                  <c:v>4.7E-2</c:v>
                </c:pt>
                <c:pt idx="11">
                  <c:v>0.115</c:v>
                </c:pt>
              </c:numCache>
            </c:numRef>
          </c:yVal>
          <c:smooth val="0"/>
        </c:ser>
        <c:dLbls>
          <c:showLegendKey val="0"/>
          <c:showVal val="0"/>
          <c:showCatName val="0"/>
          <c:showSerName val="0"/>
          <c:showPercent val="0"/>
          <c:showBubbleSize val="0"/>
        </c:dLbls>
        <c:axId val="168156672"/>
        <c:axId val="144382144"/>
      </c:scatterChart>
      <c:catAx>
        <c:axId val="168156672"/>
        <c:scaling>
          <c:orientation val="minMax"/>
        </c:scaling>
        <c:delete val="0"/>
        <c:axPos val="b"/>
        <c:majorTickMark val="out"/>
        <c:minorTickMark val="none"/>
        <c:tickLblPos val="nextTo"/>
        <c:crossAx val="144382144"/>
        <c:crosses val="autoZero"/>
        <c:auto val="1"/>
        <c:lblAlgn val="ctr"/>
        <c:lblOffset val="100"/>
        <c:noMultiLvlLbl val="0"/>
      </c:catAx>
      <c:valAx>
        <c:axId val="144382144"/>
        <c:scaling>
          <c:orientation val="minMax"/>
        </c:scaling>
        <c:delete val="0"/>
        <c:axPos val="l"/>
        <c:numFmt formatCode="0.0%" sourceLinked="1"/>
        <c:majorTickMark val="out"/>
        <c:minorTickMark val="none"/>
        <c:tickLblPos val="nextTo"/>
        <c:crossAx val="168156672"/>
        <c:crosses val="autoZero"/>
        <c:crossBetween val="between"/>
      </c:valAx>
    </c:plotArea>
    <c:legend>
      <c:legendPos val="r"/>
      <c:layout>
        <c:manualLayout>
          <c:xMode val="edge"/>
          <c:yMode val="edge"/>
          <c:x val="0.76723841874321153"/>
          <c:y val="0.28786574092031597"/>
          <c:w val="0.22178463284844607"/>
          <c:h val="0.3618708868288015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250085587127689E-2"/>
          <c:y val="2.4239121272631618E-2"/>
          <c:w val="0.89722016179137032"/>
          <c:h val="0.85200745255680255"/>
        </c:manualLayout>
      </c:layout>
      <c:barChart>
        <c:barDir val="col"/>
        <c:grouping val="clustered"/>
        <c:varyColors val="0"/>
        <c:ser>
          <c:idx val="0"/>
          <c:order val="0"/>
          <c:tx>
            <c:strRef>
              <c:f>'Age B'!$C$1</c:f>
              <c:strCache>
                <c:ptCount val="1"/>
                <c:pt idx="0">
                  <c:v>2020/21 BSUH Leavers (%)</c:v>
                </c:pt>
              </c:strCache>
            </c:strRef>
          </c:tx>
          <c:spPr>
            <a:solidFill>
              <a:srgbClr val="41B6E6"/>
            </a:solidFill>
          </c:spPr>
          <c:invertIfNegative val="0"/>
          <c:cat>
            <c:strRef>
              <c:f>'Age B'!$A$2:$A$13</c:f>
              <c:strCache>
                <c:ptCount val="12"/>
                <c:pt idx="0">
                  <c:v>Under 20</c:v>
                </c:pt>
                <c:pt idx="1">
                  <c:v>21-25</c:v>
                </c:pt>
                <c:pt idx="2">
                  <c:v>26-30</c:v>
                </c:pt>
                <c:pt idx="3">
                  <c:v>31-35</c:v>
                </c:pt>
                <c:pt idx="4">
                  <c:v>36-40</c:v>
                </c:pt>
                <c:pt idx="5">
                  <c:v>41-45</c:v>
                </c:pt>
                <c:pt idx="6">
                  <c:v>46-50</c:v>
                </c:pt>
                <c:pt idx="7">
                  <c:v>51-55</c:v>
                </c:pt>
                <c:pt idx="8">
                  <c:v>56-60</c:v>
                </c:pt>
                <c:pt idx="9">
                  <c:v>61-65</c:v>
                </c:pt>
                <c:pt idx="10">
                  <c:v>66-70</c:v>
                </c:pt>
                <c:pt idx="11">
                  <c:v>Over 71 </c:v>
                </c:pt>
              </c:strCache>
            </c:strRef>
          </c:cat>
          <c:val>
            <c:numRef>
              <c:f>'Age B'!$C$2:$C$13</c:f>
              <c:numCache>
                <c:formatCode>0.0%</c:formatCode>
                <c:ptCount val="12"/>
                <c:pt idx="0">
                  <c:v>1.0478061558611657E-2</c:v>
                </c:pt>
                <c:pt idx="1">
                  <c:v>0.12704649639816634</c:v>
                </c:pt>
                <c:pt idx="2">
                  <c:v>0.23051735428945644</c:v>
                </c:pt>
                <c:pt idx="3">
                  <c:v>0.17485265225933203</c:v>
                </c:pt>
                <c:pt idx="4">
                  <c:v>0.11132940406024885</c:v>
                </c:pt>
                <c:pt idx="5">
                  <c:v>6.9417157825802225E-2</c:v>
                </c:pt>
                <c:pt idx="6">
                  <c:v>5.6974459724950882E-2</c:v>
                </c:pt>
                <c:pt idx="7">
                  <c:v>5.2390307793058283E-2</c:v>
                </c:pt>
                <c:pt idx="8">
                  <c:v>6.4833005893909626E-2</c:v>
                </c:pt>
                <c:pt idx="9">
                  <c:v>6.548788474132286E-2</c:v>
                </c:pt>
                <c:pt idx="10">
                  <c:v>2.6850032743942372E-2</c:v>
                </c:pt>
                <c:pt idx="11">
                  <c:v>9.823182711198428E-3</c:v>
                </c:pt>
              </c:numCache>
            </c:numRef>
          </c:val>
        </c:ser>
        <c:ser>
          <c:idx val="1"/>
          <c:order val="1"/>
          <c:tx>
            <c:strRef>
              <c:f>'Age B'!$E$1</c:f>
              <c:strCache>
                <c:ptCount val="1"/>
                <c:pt idx="0">
                  <c:v>% in Workforce</c:v>
                </c:pt>
              </c:strCache>
            </c:strRef>
          </c:tx>
          <c:spPr>
            <a:solidFill>
              <a:srgbClr val="FFB81C"/>
            </a:solidFill>
          </c:spPr>
          <c:invertIfNegative val="0"/>
          <c:cat>
            <c:strRef>
              <c:f>'Age B'!$A$2:$A$13</c:f>
              <c:strCache>
                <c:ptCount val="12"/>
                <c:pt idx="0">
                  <c:v>Under 20</c:v>
                </c:pt>
                <c:pt idx="1">
                  <c:v>21-25</c:v>
                </c:pt>
                <c:pt idx="2">
                  <c:v>26-30</c:v>
                </c:pt>
                <c:pt idx="3">
                  <c:v>31-35</c:v>
                </c:pt>
                <c:pt idx="4">
                  <c:v>36-40</c:v>
                </c:pt>
                <c:pt idx="5">
                  <c:v>41-45</c:v>
                </c:pt>
                <c:pt idx="6">
                  <c:v>46-50</c:v>
                </c:pt>
                <c:pt idx="7">
                  <c:v>51-55</c:v>
                </c:pt>
                <c:pt idx="8">
                  <c:v>56-60</c:v>
                </c:pt>
                <c:pt idx="9">
                  <c:v>61-65</c:v>
                </c:pt>
                <c:pt idx="10">
                  <c:v>66-70</c:v>
                </c:pt>
                <c:pt idx="11">
                  <c:v>Over 71 </c:v>
                </c:pt>
              </c:strCache>
            </c:strRef>
          </c:cat>
          <c:val>
            <c:numRef>
              <c:f>'Age B'!$E$2:$E$13</c:f>
              <c:numCache>
                <c:formatCode>0.0%</c:formatCode>
                <c:ptCount val="12"/>
                <c:pt idx="0">
                  <c:v>4.6212804328223623E-3</c:v>
                </c:pt>
                <c:pt idx="1">
                  <c:v>6.3458070333633904E-2</c:v>
                </c:pt>
                <c:pt idx="2">
                  <c:v>0.13266456266907123</c:v>
                </c:pt>
                <c:pt idx="3">
                  <c:v>0.14235798016230838</c:v>
                </c:pt>
                <c:pt idx="4">
                  <c:v>0.12116771866546439</c:v>
                </c:pt>
                <c:pt idx="5">
                  <c:v>0.12263300270513977</c:v>
                </c:pt>
                <c:pt idx="6">
                  <c:v>0.12815599639314698</c:v>
                </c:pt>
                <c:pt idx="7">
                  <c:v>0.11880072137060414</c:v>
                </c:pt>
                <c:pt idx="8">
                  <c:v>9.4792605951307479E-2</c:v>
                </c:pt>
                <c:pt idx="9">
                  <c:v>5.4666366095581606E-2</c:v>
                </c:pt>
                <c:pt idx="10">
                  <c:v>1.1722272317403066E-2</c:v>
                </c:pt>
                <c:pt idx="11">
                  <c:v>4.9594229035166814E-3</c:v>
                </c:pt>
              </c:numCache>
            </c:numRef>
          </c:val>
        </c:ser>
        <c:dLbls>
          <c:showLegendKey val="0"/>
          <c:showVal val="0"/>
          <c:showCatName val="0"/>
          <c:showSerName val="0"/>
          <c:showPercent val="0"/>
          <c:showBubbleSize val="0"/>
        </c:dLbls>
        <c:gapWidth val="150"/>
        <c:axId val="170029568"/>
        <c:axId val="169991488"/>
      </c:barChart>
      <c:catAx>
        <c:axId val="170029568"/>
        <c:scaling>
          <c:orientation val="minMax"/>
        </c:scaling>
        <c:delete val="0"/>
        <c:axPos val="b"/>
        <c:majorTickMark val="out"/>
        <c:minorTickMark val="none"/>
        <c:tickLblPos val="nextTo"/>
        <c:crossAx val="169991488"/>
        <c:crosses val="autoZero"/>
        <c:auto val="1"/>
        <c:lblAlgn val="ctr"/>
        <c:lblOffset val="100"/>
        <c:noMultiLvlLbl val="0"/>
      </c:catAx>
      <c:valAx>
        <c:axId val="169991488"/>
        <c:scaling>
          <c:orientation val="minMax"/>
        </c:scaling>
        <c:delete val="0"/>
        <c:axPos val="l"/>
        <c:numFmt formatCode="0.0%" sourceLinked="1"/>
        <c:majorTickMark val="out"/>
        <c:minorTickMark val="none"/>
        <c:tickLblPos val="nextTo"/>
        <c:spPr>
          <a:ln>
            <a:noFill/>
          </a:ln>
        </c:spPr>
        <c:crossAx val="170029568"/>
        <c:crosses val="autoZero"/>
        <c:crossBetween val="between"/>
      </c:valAx>
    </c:plotArea>
    <c:legend>
      <c:legendPos val="r"/>
      <c:layout>
        <c:manualLayout>
          <c:xMode val="edge"/>
          <c:yMode val="edge"/>
          <c:x val="0.70322568374605343"/>
          <c:y val="4.4905411005701099E-2"/>
          <c:w val="0.28067125667262605"/>
          <c:h val="0.21538705243636863"/>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250085587127689E-2"/>
          <c:y val="2.4239121272631618E-2"/>
          <c:w val="0.89722016179137032"/>
          <c:h val="0.85200745255680255"/>
        </c:manualLayout>
      </c:layout>
      <c:barChart>
        <c:barDir val="col"/>
        <c:grouping val="clustered"/>
        <c:varyColors val="0"/>
        <c:ser>
          <c:idx val="0"/>
          <c:order val="0"/>
          <c:tx>
            <c:strRef>
              <c:f>'Age W'!$C$1</c:f>
              <c:strCache>
                <c:ptCount val="1"/>
                <c:pt idx="0">
                  <c:v>2020/21 WSHT Leavers (%)</c:v>
                </c:pt>
              </c:strCache>
            </c:strRef>
          </c:tx>
          <c:spPr>
            <a:solidFill>
              <a:srgbClr val="009639"/>
            </a:solidFill>
          </c:spPr>
          <c:invertIfNegative val="0"/>
          <c:cat>
            <c:strRef>
              <c:f>'Age W'!$A$2:$A$13</c:f>
              <c:strCache>
                <c:ptCount val="12"/>
                <c:pt idx="0">
                  <c:v>Under 20</c:v>
                </c:pt>
                <c:pt idx="1">
                  <c:v>21-25</c:v>
                </c:pt>
                <c:pt idx="2">
                  <c:v>26-30</c:v>
                </c:pt>
                <c:pt idx="3">
                  <c:v>31-35</c:v>
                </c:pt>
                <c:pt idx="4">
                  <c:v>36-40</c:v>
                </c:pt>
                <c:pt idx="5">
                  <c:v>41-45</c:v>
                </c:pt>
                <c:pt idx="6">
                  <c:v>46-50</c:v>
                </c:pt>
                <c:pt idx="7">
                  <c:v>51-55</c:v>
                </c:pt>
                <c:pt idx="8">
                  <c:v>56-60</c:v>
                </c:pt>
                <c:pt idx="9">
                  <c:v>61-65</c:v>
                </c:pt>
                <c:pt idx="10">
                  <c:v>66-70</c:v>
                </c:pt>
                <c:pt idx="11">
                  <c:v>Over 71 </c:v>
                </c:pt>
              </c:strCache>
            </c:strRef>
          </c:cat>
          <c:val>
            <c:numRef>
              <c:f>'Age W'!$C$2:$C$13</c:f>
              <c:numCache>
                <c:formatCode>0.0%</c:formatCode>
                <c:ptCount val="12"/>
                <c:pt idx="0">
                  <c:v>1.0263929618768328E-2</c:v>
                </c:pt>
                <c:pt idx="1">
                  <c:v>0.12316715542521994</c:v>
                </c:pt>
                <c:pt idx="2">
                  <c:v>0.15542521994134897</c:v>
                </c:pt>
                <c:pt idx="3">
                  <c:v>0.14222873900293256</c:v>
                </c:pt>
                <c:pt idx="4">
                  <c:v>9.0909090909090912E-2</c:v>
                </c:pt>
                <c:pt idx="5">
                  <c:v>6.1583577712609971E-2</c:v>
                </c:pt>
                <c:pt idx="6">
                  <c:v>5.5718475073313782E-2</c:v>
                </c:pt>
                <c:pt idx="7">
                  <c:v>6.89149560117302E-2</c:v>
                </c:pt>
                <c:pt idx="8">
                  <c:v>0.12316715542521994</c:v>
                </c:pt>
                <c:pt idx="9">
                  <c:v>9.0909090909090912E-2</c:v>
                </c:pt>
                <c:pt idx="10">
                  <c:v>5.7184750733137828E-2</c:v>
                </c:pt>
                <c:pt idx="11">
                  <c:v>2.0527859237536656E-2</c:v>
                </c:pt>
              </c:numCache>
            </c:numRef>
          </c:val>
        </c:ser>
        <c:ser>
          <c:idx val="1"/>
          <c:order val="1"/>
          <c:tx>
            <c:strRef>
              <c:f>'Age W'!$E$1</c:f>
              <c:strCache>
                <c:ptCount val="1"/>
                <c:pt idx="0">
                  <c:v>% in Workforce</c:v>
                </c:pt>
              </c:strCache>
            </c:strRef>
          </c:tx>
          <c:spPr>
            <a:solidFill>
              <a:srgbClr val="FFB81C"/>
            </a:solidFill>
          </c:spPr>
          <c:invertIfNegative val="0"/>
          <c:cat>
            <c:strRef>
              <c:f>'Age W'!$A$2:$A$13</c:f>
              <c:strCache>
                <c:ptCount val="12"/>
                <c:pt idx="0">
                  <c:v>Under 20</c:v>
                </c:pt>
                <c:pt idx="1">
                  <c:v>21-25</c:v>
                </c:pt>
                <c:pt idx="2">
                  <c:v>26-30</c:v>
                </c:pt>
                <c:pt idx="3">
                  <c:v>31-35</c:v>
                </c:pt>
                <c:pt idx="4">
                  <c:v>36-40</c:v>
                </c:pt>
                <c:pt idx="5">
                  <c:v>41-45</c:v>
                </c:pt>
                <c:pt idx="6">
                  <c:v>46-50</c:v>
                </c:pt>
                <c:pt idx="7">
                  <c:v>51-55</c:v>
                </c:pt>
                <c:pt idx="8">
                  <c:v>56-60</c:v>
                </c:pt>
                <c:pt idx="9">
                  <c:v>61-65</c:v>
                </c:pt>
                <c:pt idx="10">
                  <c:v>66-70</c:v>
                </c:pt>
                <c:pt idx="11">
                  <c:v>Over 71 </c:v>
                </c:pt>
              </c:strCache>
            </c:strRef>
          </c:cat>
          <c:val>
            <c:numRef>
              <c:f>'Age W'!$E$2:$E$13</c:f>
              <c:numCache>
                <c:formatCode>0.0%</c:formatCode>
                <c:ptCount val="12"/>
                <c:pt idx="0">
                  <c:v>7.9797845458172631E-3</c:v>
                </c:pt>
                <c:pt idx="1">
                  <c:v>5.8651416411756883E-2</c:v>
                </c:pt>
                <c:pt idx="2">
                  <c:v>0.12408564968745844</c:v>
                </c:pt>
                <c:pt idx="3">
                  <c:v>0.13632131932437824</c:v>
                </c:pt>
                <c:pt idx="4">
                  <c:v>0.11384492618699295</c:v>
                </c:pt>
                <c:pt idx="5">
                  <c:v>0.11929777895996808</c:v>
                </c:pt>
                <c:pt idx="6">
                  <c:v>0.13166644500598484</c:v>
                </c:pt>
                <c:pt idx="7">
                  <c:v>0.12115972868732544</c:v>
                </c:pt>
                <c:pt idx="8">
                  <c:v>0.10480117036840006</c:v>
                </c:pt>
                <c:pt idx="9">
                  <c:v>6.1311344593695971E-2</c:v>
                </c:pt>
                <c:pt idx="10">
                  <c:v>1.4629605000664982E-2</c:v>
                </c:pt>
                <c:pt idx="11">
                  <c:v>6.2508312275568563E-3</c:v>
                </c:pt>
              </c:numCache>
            </c:numRef>
          </c:val>
        </c:ser>
        <c:dLbls>
          <c:showLegendKey val="0"/>
          <c:showVal val="0"/>
          <c:showCatName val="0"/>
          <c:showSerName val="0"/>
          <c:showPercent val="0"/>
          <c:showBubbleSize val="0"/>
        </c:dLbls>
        <c:gapWidth val="150"/>
        <c:axId val="650407936"/>
        <c:axId val="170779776"/>
      </c:barChart>
      <c:catAx>
        <c:axId val="650407936"/>
        <c:scaling>
          <c:orientation val="minMax"/>
        </c:scaling>
        <c:delete val="0"/>
        <c:axPos val="b"/>
        <c:majorTickMark val="out"/>
        <c:minorTickMark val="none"/>
        <c:tickLblPos val="nextTo"/>
        <c:crossAx val="170779776"/>
        <c:crosses val="autoZero"/>
        <c:auto val="1"/>
        <c:lblAlgn val="ctr"/>
        <c:lblOffset val="100"/>
        <c:noMultiLvlLbl val="0"/>
      </c:catAx>
      <c:valAx>
        <c:axId val="170779776"/>
        <c:scaling>
          <c:orientation val="minMax"/>
        </c:scaling>
        <c:delete val="0"/>
        <c:axPos val="l"/>
        <c:numFmt formatCode="0.0%" sourceLinked="1"/>
        <c:majorTickMark val="out"/>
        <c:minorTickMark val="none"/>
        <c:tickLblPos val="nextTo"/>
        <c:spPr>
          <a:ln>
            <a:noFill/>
          </a:ln>
        </c:spPr>
        <c:crossAx val="650407936"/>
        <c:crosses val="autoZero"/>
        <c:crossBetween val="between"/>
      </c:valAx>
    </c:plotArea>
    <c:legend>
      <c:legendPos val="r"/>
      <c:layout>
        <c:manualLayout>
          <c:xMode val="edge"/>
          <c:yMode val="edge"/>
          <c:x val="0.70322568374605343"/>
          <c:y val="2.1675384460299502E-2"/>
          <c:w val="0.28401264153575007"/>
          <c:h val="0.1869375503026559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502061419051487E-2"/>
          <c:y val="3.6124794745484398E-2"/>
          <c:w val="0.68041839171859819"/>
          <c:h val="0.84823707381404911"/>
        </c:manualLayout>
      </c:layout>
      <c:barChart>
        <c:barDir val="col"/>
        <c:grouping val="clustered"/>
        <c:varyColors val="0"/>
        <c:ser>
          <c:idx val="3"/>
          <c:order val="0"/>
          <c:tx>
            <c:strRef>
              <c:f>Disability!$A$19</c:f>
              <c:strCache>
                <c:ptCount val="1"/>
                <c:pt idx="0">
                  <c:v>2020/21 (BSUH)</c:v>
                </c:pt>
              </c:strCache>
            </c:strRef>
          </c:tx>
          <c:spPr>
            <a:solidFill>
              <a:srgbClr val="41B6E6"/>
            </a:solidFill>
          </c:spPr>
          <c:invertIfNegative val="0"/>
          <c:cat>
            <c:strRef>
              <c:f>Disability!$B$17:$E$17</c:f>
              <c:strCache>
                <c:ptCount val="4"/>
                <c:pt idx="0">
                  <c:v>Disabled</c:v>
                </c:pt>
                <c:pt idx="1">
                  <c:v>Not Disabled</c:v>
                </c:pt>
                <c:pt idx="2">
                  <c:v>Declined to Specify</c:v>
                </c:pt>
                <c:pt idx="3">
                  <c:v>Unknown</c:v>
                </c:pt>
              </c:strCache>
            </c:strRef>
          </c:cat>
          <c:val>
            <c:numRef>
              <c:f>Disability!$B$19:$E$19</c:f>
              <c:numCache>
                <c:formatCode>0.0%</c:formatCode>
                <c:ptCount val="4"/>
                <c:pt idx="0">
                  <c:v>6.1647695255268795E-2</c:v>
                </c:pt>
                <c:pt idx="1">
                  <c:v>0.82621435816522037</c:v>
                </c:pt>
                <c:pt idx="2">
                  <c:v>5.3307787670460946E-2</c:v>
                </c:pt>
                <c:pt idx="3">
                  <c:v>5.8830158909049926E-2</c:v>
                </c:pt>
              </c:numCache>
            </c:numRef>
          </c:val>
        </c:ser>
        <c:ser>
          <c:idx val="0"/>
          <c:order val="1"/>
          <c:tx>
            <c:strRef>
              <c:f>Disability!$A$21</c:f>
              <c:strCache>
                <c:ptCount val="1"/>
                <c:pt idx="0">
                  <c:v>2020/21 (WSHT)</c:v>
                </c:pt>
              </c:strCache>
            </c:strRef>
          </c:tx>
          <c:spPr>
            <a:solidFill>
              <a:srgbClr val="00B050"/>
            </a:solidFill>
            <a:ln w="28575">
              <a:noFill/>
            </a:ln>
          </c:spPr>
          <c:invertIfNegative val="0"/>
          <c:cat>
            <c:strRef>
              <c:f>Disability!$B$17:$E$17</c:f>
              <c:strCache>
                <c:ptCount val="4"/>
                <c:pt idx="0">
                  <c:v>Disabled</c:v>
                </c:pt>
                <c:pt idx="1">
                  <c:v>Not Disabled</c:v>
                </c:pt>
                <c:pt idx="2">
                  <c:v>Declined to Specify</c:v>
                </c:pt>
                <c:pt idx="3">
                  <c:v>Unknown</c:v>
                </c:pt>
              </c:strCache>
            </c:strRef>
          </c:cat>
          <c:val>
            <c:numRef>
              <c:f>Disability!$B$21:$E$21</c:f>
              <c:numCache>
                <c:formatCode>0.0%</c:formatCode>
                <c:ptCount val="4"/>
                <c:pt idx="0">
                  <c:v>3.0589174092299509E-2</c:v>
                </c:pt>
                <c:pt idx="1">
                  <c:v>0.71831360553265067</c:v>
                </c:pt>
                <c:pt idx="2">
                  <c:v>0.1863279691448331</c:v>
                </c:pt>
                <c:pt idx="3">
                  <c:v>6.476925123021679E-2</c:v>
                </c:pt>
              </c:numCache>
            </c:numRef>
          </c:val>
        </c:ser>
        <c:dLbls>
          <c:showLegendKey val="0"/>
          <c:showVal val="0"/>
          <c:showCatName val="0"/>
          <c:showSerName val="0"/>
          <c:showPercent val="0"/>
          <c:showBubbleSize val="0"/>
        </c:dLbls>
        <c:gapWidth val="150"/>
        <c:axId val="165731328"/>
        <c:axId val="170782080"/>
      </c:barChart>
      <c:scatterChart>
        <c:scatterStyle val="lineMarker"/>
        <c:varyColors val="0"/>
        <c:ser>
          <c:idx val="2"/>
          <c:order val="2"/>
          <c:tx>
            <c:strRef>
              <c:f>Disability!$A$22</c:f>
              <c:strCache>
                <c:ptCount val="1"/>
                <c:pt idx="0">
                  <c:v>Census 2011 (SE England)</c:v>
                </c:pt>
              </c:strCache>
            </c:strRef>
          </c:tx>
          <c:spPr>
            <a:ln w="28575">
              <a:noFill/>
            </a:ln>
          </c:spPr>
          <c:marker>
            <c:symbol val="dash"/>
            <c:size val="21"/>
            <c:spPr>
              <a:solidFill>
                <a:srgbClr val="FFB81C"/>
              </a:solidFill>
              <a:ln>
                <a:solidFill>
                  <a:schemeClr val="bg1"/>
                </a:solidFill>
              </a:ln>
            </c:spPr>
          </c:marker>
          <c:xVal>
            <c:strRef>
              <c:f>Disability!$B$17:$E$17</c:f>
              <c:strCache>
                <c:ptCount val="4"/>
                <c:pt idx="0">
                  <c:v>Disabled</c:v>
                </c:pt>
                <c:pt idx="1">
                  <c:v>Not Disabled</c:v>
                </c:pt>
                <c:pt idx="2">
                  <c:v>Declined to Specify</c:v>
                </c:pt>
                <c:pt idx="3">
                  <c:v>Unknown</c:v>
                </c:pt>
              </c:strCache>
            </c:strRef>
          </c:xVal>
          <c:yVal>
            <c:numRef>
              <c:f>Disability!$B$22:$E$22</c:f>
              <c:numCache>
                <c:formatCode>0.0%</c:formatCode>
                <c:ptCount val="4"/>
                <c:pt idx="0">
                  <c:v>6.88E-2</c:v>
                </c:pt>
                <c:pt idx="1">
                  <c:v>0.84289999999999998</c:v>
                </c:pt>
              </c:numCache>
            </c:numRef>
          </c:yVal>
          <c:smooth val="0"/>
        </c:ser>
        <c:dLbls>
          <c:showLegendKey val="0"/>
          <c:showVal val="0"/>
          <c:showCatName val="0"/>
          <c:showSerName val="0"/>
          <c:showPercent val="0"/>
          <c:showBubbleSize val="0"/>
        </c:dLbls>
        <c:axId val="165731328"/>
        <c:axId val="170782080"/>
      </c:scatterChart>
      <c:catAx>
        <c:axId val="165731328"/>
        <c:scaling>
          <c:orientation val="minMax"/>
        </c:scaling>
        <c:delete val="0"/>
        <c:axPos val="b"/>
        <c:majorTickMark val="out"/>
        <c:minorTickMark val="none"/>
        <c:tickLblPos val="nextTo"/>
        <c:crossAx val="170782080"/>
        <c:crosses val="autoZero"/>
        <c:auto val="1"/>
        <c:lblAlgn val="ctr"/>
        <c:lblOffset val="100"/>
        <c:noMultiLvlLbl val="0"/>
      </c:catAx>
      <c:valAx>
        <c:axId val="170782080"/>
        <c:scaling>
          <c:orientation val="minMax"/>
        </c:scaling>
        <c:delete val="0"/>
        <c:axPos val="l"/>
        <c:numFmt formatCode="0.0%" sourceLinked="1"/>
        <c:majorTickMark val="out"/>
        <c:minorTickMark val="none"/>
        <c:tickLblPos val="nextTo"/>
        <c:crossAx val="165731328"/>
        <c:crosses val="autoZero"/>
        <c:crossBetween val="between"/>
      </c:valAx>
    </c:plotArea>
    <c:legend>
      <c:legendPos val="r"/>
      <c:layout>
        <c:manualLayout>
          <c:xMode val="edge"/>
          <c:yMode val="edge"/>
          <c:x val="0.76723841874321153"/>
          <c:y val="0.28786574092031597"/>
          <c:w val="0.23276158125678856"/>
          <c:h val="0.1681106241030216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57961504811901E-2"/>
          <c:y val="5.1400554097404488E-2"/>
          <c:w val="0.89006736657917773"/>
          <c:h val="0.78102981918926806"/>
        </c:manualLayout>
      </c:layout>
      <c:barChart>
        <c:barDir val="col"/>
        <c:grouping val="clustered"/>
        <c:varyColors val="0"/>
        <c:ser>
          <c:idx val="0"/>
          <c:order val="0"/>
          <c:tx>
            <c:strRef>
              <c:f>Disability!$B$20</c:f>
              <c:strCache>
                <c:ptCount val="1"/>
                <c:pt idx="0">
                  <c:v>BSUH Applications</c:v>
                </c:pt>
              </c:strCache>
            </c:strRef>
          </c:tx>
          <c:invertIfNegative val="0"/>
          <c:cat>
            <c:strRef>
              <c:f>Disability!$A$21:$A$24</c:f>
              <c:strCache>
                <c:ptCount val="4"/>
                <c:pt idx="0">
                  <c:v>Disabled</c:v>
                </c:pt>
                <c:pt idx="1">
                  <c:v>Non-disabled</c:v>
                </c:pt>
                <c:pt idx="2">
                  <c:v>Prefer not to say</c:v>
                </c:pt>
                <c:pt idx="3">
                  <c:v>Unknown</c:v>
                </c:pt>
              </c:strCache>
            </c:strRef>
          </c:cat>
          <c:val>
            <c:numRef>
              <c:f>Disability!$B$21:$B$24</c:f>
              <c:numCache>
                <c:formatCode>0.0%</c:formatCode>
                <c:ptCount val="4"/>
                <c:pt idx="0">
                  <c:v>4.5114050479146982E-2</c:v>
                </c:pt>
                <c:pt idx="1">
                  <c:v>0.91975975165339452</c:v>
                </c:pt>
                <c:pt idx="2">
                  <c:v>1.2619786745849642E-2</c:v>
                </c:pt>
                <c:pt idx="3">
                  <c:v>2.2506411121608855E-2</c:v>
                </c:pt>
              </c:numCache>
            </c:numRef>
          </c:val>
        </c:ser>
        <c:ser>
          <c:idx val="1"/>
          <c:order val="1"/>
          <c:tx>
            <c:strRef>
              <c:f>Disability!$C$20</c:f>
              <c:strCache>
                <c:ptCount val="1"/>
                <c:pt idx="0">
                  <c:v>BSUH Shortlisted</c:v>
                </c:pt>
              </c:strCache>
            </c:strRef>
          </c:tx>
          <c:invertIfNegative val="0"/>
          <c:cat>
            <c:strRef>
              <c:f>Disability!$A$21:$A$24</c:f>
              <c:strCache>
                <c:ptCount val="4"/>
                <c:pt idx="0">
                  <c:v>Disabled</c:v>
                </c:pt>
                <c:pt idx="1">
                  <c:v>Non-disabled</c:v>
                </c:pt>
                <c:pt idx="2">
                  <c:v>Prefer not to say</c:v>
                </c:pt>
                <c:pt idx="3">
                  <c:v>Unknown</c:v>
                </c:pt>
              </c:strCache>
            </c:strRef>
          </c:cat>
          <c:val>
            <c:numRef>
              <c:f>Disability!$C$21:$C$24</c:f>
              <c:numCache>
                <c:formatCode>0.0%</c:formatCode>
                <c:ptCount val="4"/>
                <c:pt idx="0">
                  <c:v>6.1337242079152102E-2</c:v>
                </c:pt>
                <c:pt idx="1">
                  <c:v>0.84925019731649565</c:v>
                </c:pt>
                <c:pt idx="2">
                  <c:v>1.499605367008682E-2</c:v>
                </c:pt>
                <c:pt idx="3">
                  <c:v>7.4416506934265422E-2</c:v>
                </c:pt>
              </c:numCache>
            </c:numRef>
          </c:val>
        </c:ser>
        <c:ser>
          <c:idx val="2"/>
          <c:order val="2"/>
          <c:tx>
            <c:strRef>
              <c:f>Disability!$D$20</c:f>
              <c:strCache>
                <c:ptCount val="1"/>
                <c:pt idx="0">
                  <c:v>BSUH Appointed</c:v>
                </c:pt>
              </c:strCache>
            </c:strRef>
          </c:tx>
          <c:invertIfNegative val="0"/>
          <c:cat>
            <c:strRef>
              <c:f>Disability!$A$21:$A$24</c:f>
              <c:strCache>
                <c:ptCount val="4"/>
                <c:pt idx="0">
                  <c:v>Disabled</c:v>
                </c:pt>
                <c:pt idx="1">
                  <c:v>Non-disabled</c:v>
                </c:pt>
                <c:pt idx="2">
                  <c:v>Prefer not to say</c:v>
                </c:pt>
                <c:pt idx="3">
                  <c:v>Unknown</c:v>
                </c:pt>
              </c:strCache>
            </c:strRef>
          </c:cat>
          <c:val>
            <c:numRef>
              <c:f>Disability!$D$21:$D$24</c:f>
              <c:numCache>
                <c:formatCode>0.0%</c:formatCode>
                <c:ptCount val="4"/>
                <c:pt idx="0">
                  <c:v>2.9671717171717172E-2</c:v>
                </c:pt>
                <c:pt idx="1">
                  <c:v>0.73232323232323238</c:v>
                </c:pt>
                <c:pt idx="2">
                  <c:v>6.9444444444444441E-3</c:v>
                </c:pt>
                <c:pt idx="3">
                  <c:v>0.23106060606060605</c:v>
                </c:pt>
              </c:numCache>
            </c:numRef>
          </c:val>
        </c:ser>
        <c:dLbls>
          <c:showLegendKey val="0"/>
          <c:showVal val="0"/>
          <c:showCatName val="0"/>
          <c:showSerName val="0"/>
          <c:showPercent val="0"/>
          <c:showBubbleSize val="0"/>
        </c:dLbls>
        <c:gapWidth val="150"/>
        <c:axId val="650409472"/>
        <c:axId val="170782656"/>
      </c:barChart>
      <c:scatterChart>
        <c:scatterStyle val="lineMarker"/>
        <c:varyColors val="0"/>
        <c:ser>
          <c:idx val="3"/>
          <c:order val="3"/>
          <c:tx>
            <c:strRef>
              <c:f>Disability!$E$20</c:f>
              <c:strCache>
                <c:ptCount val="1"/>
                <c:pt idx="0">
                  <c:v>BSUH Workforce</c:v>
                </c:pt>
              </c:strCache>
            </c:strRef>
          </c:tx>
          <c:spPr>
            <a:ln w="28575">
              <a:noFill/>
            </a:ln>
          </c:spPr>
          <c:marker>
            <c:symbol val="circle"/>
            <c:size val="5"/>
            <c:spPr>
              <a:solidFill>
                <a:schemeClr val="accent4"/>
              </a:solidFill>
              <a:ln w="15875">
                <a:solidFill>
                  <a:schemeClr val="bg1"/>
                </a:solidFill>
              </a:ln>
            </c:spPr>
          </c:marker>
          <c:xVal>
            <c:strRef>
              <c:f>Disability!$A$21:$A$24</c:f>
              <c:strCache>
                <c:ptCount val="4"/>
                <c:pt idx="0">
                  <c:v>Disabled</c:v>
                </c:pt>
                <c:pt idx="1">
                  <c:v>Non-disabled</c:v>
                </c:pt>
                <c:pt idx="2">
                  <c:v>Prefer not to say</c:v>
                </c:pt>
                <c:pt idx="3">
                  <c:v>Unknown</c:v>
                </c:pt>
              </c:strCache>
            </c:strRef>
          </c:xVal>
          <c:yVal>
            <c:numRef>
              <c:f>Disability!$E$21:$E$24</c:f>
              <c:numCache>
                <c:formatCode>0.0%</c:formatCode>
                <c:ptCount val="4"/>
                <c:pt idx="0">
                  <c:v>6.1647695255268795E-2</c:v>
                </c:pt>
                <c:pt idx="1">
                  <c:v>0.82621435816522037</c:v>
                </c:pt>
                <c:pt idx="2">
                  <c:v>5.3307787670460946E-2</c:v>
                </c:pt>
                <c:pt idx="3">
                  <c:v>5.8830158909049926E-2</c:v>
                </c:pt>
              </c:numCache>
            </c:numRef>
          </c:yVal>
          <c:smooth val="0"/>
        </c:ser>
        <c:dLbls>
          <c:showLegendKey val="0"/>
          <c:showVal val="0"/>
          <c:showCatName val="0"/>
          <c:showSerName val="0"/>
          <c:showPercent val="0"/>
          <c:showBubbleSize val="0"/>
        </c:dLbls>
        <c:axId val="650409472"/>
        <c:axId val="170782656"/>
      </c:scatterChart>
      <c:catAx>
        <c:axId val="650409472"/>
        <c:scaling>
          <c:orientation val="minMax"/>
        </c:scaling>
        <c:delete val="0"/>
        <c:axPos val="b"/>
        <c:majorTickMark val="out"/>
        <c:minorTickMark val="none"/>
        <c:tickLblPos val="nextTo"/>
        <c:crossAx val="170782656"/>
        <c:crosses val="autoZero"/>
        <c:auto val="1"/>
        <c:lblAlgn val="ctr"/>
        <c:lblOffset val="100"/>
        <c:noMultiLvlLbl val="0"/>
      </c:catAx>
      <c:valAx>
        <c:axId val="170782656"/>
        <c:scaling>
          <c:orientation val="minMax"/>
        </c:scaling>
        <c:delete val="0"/>
        <c:axPos val="l"/>
        <c:numFmt formatCode="0.0%" sourceLinked="1"/>
        <c:majorTickMark val="out"/>
        <c:minorTickMark val="none"/>
        <c:tickLblPos val="nextTo"/>
        <c:spPr>
          <a:ln>
            <a:noFill/>
          </a:ln>
        </c:spPr>
        <c:crossAx val="650409472"/>
        <c:crosses val="autoZero"/>
        <c:crossBetween val="between"/>
      </c:valAx>
    </c:plotArea>
    <c:legend>
      <c:legendPos val="r"/>
      <c:layout>
        <c:manualLayout>
          <c:xMode val="edge"/>
          <c:yMode val="edge"/>
          <c:x val="0.72245866141732296"/>
          <c:y val="4.0898950131233604E-2"/>
          <c:w val="0.21844302545623778"/>
          <c:h val="0.3159857101195683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57961504811901E-2"/>
          <c:y val="5.1400554097404488E-2"/>
          <c:w val="0.89006736657917773"/>
          <c:h val="0.78102981918926806"/>
        </c:manualLayout>
      </c:layout>
      <c:barChart>
        <c:barDir val="col"/>
        <c:grouping val="clustered"/>
        <c:varyColors val="0"/>
        <c:ser>
          <c:idx val="0"/>
          <c:order val="0"/>
          <c:tx>
            <c:strRef>
              <c:f>Disability!$B$33</c:f>
              <c:strCache>
                <c:ptCount val="1"/>
                <c:pt idx="0">
                  <c:v>WSHT Applications</c:v>
                </c:pt>
              </c:strCache>
            </c:strRef>
          </c:tx>
          <c:invertIfNegative val="0"/>
          <c:cat>
            <c:strRef>
              <c:f>Disability!$A$34:$A$37</c:f>
              <c:strCache>
                <c:ptCount val="4"/>
                <c:pt idx="0">
                  <c:v>Disabled</c:v>
                </c:pt>
                <c:pt idx="1">
                  <c:v>Non-Disabled</c:v>
                </c:pt>
                <c:pt idx="2">
                  <c:v>Prefer not to say</c:v>
                </c:pt>
                <c:pt idx="3">
                  <c:v>Unknown</c:v>
                </c:pt>
              </c:strCache>
            </c:strRef>
          </c:cat>
          <c:val>
            <c:numRef>
              <c:f>Disability!$B$34:$B$37</c:f>
              <c:numCache>
                <c:formatCode>0.0%</c:formatCode>
                <c:ptCount val="4"/>
                <c:pt idx="0">
                  <c:v>3.3933614184528497E-2</c:v>
                </c:pt>
                <c:pt idx="1">
                  <c:v>0.9552335540021295</c:v>
                </c:pt>
                <c:pt idx="2">
                  <c:v>1.0832831813341975E-2</c:v>
                </c:pt>
                <c:pt idx="3">
                  <c:v>4.8608860700893475E-3</c:v>
                </c:pt>
              </c:numCache>
            </c:numRef>
          </c:val>
        </c:ser>
        <c:ser>
          <c:idx val="1"/>
          <c:order val="1"/>
          <c:tx>
            <c:strRef>
              <c:f>Disability!$C$33</c:f>
              <c:strCache>
                <c:ptCount val="1"/>
                <c:pt idx="0">
                  <c:v>WSHT Shortlisted</c:v>
                </c:pt>
              </c:strCache>
            </c:strRef>
          </c:tx>
          <c:invertIfNegative val="0"/>
          <c:cat>
            <c:strRef>
              <c:f>Disability!$A$34:$A$37</c:f>
              <c:strCache>
                <c:ptCount val="4"/>
                <c:pt idx="0">
                  <c:v>Disabled</c:v>
                </c:pt>
                <c:pt idx="1">
                  <c:v>Non-Disabled</c:v>
                </c:pt>
                <c:pt idx="2">
                  <c:v>Prefer not to say</c:v>
                </c:pt>
                <c:pt idx="3">
                  <c:v>Unknown</c:v>
                </c:pt>
              </c:strCache>
            </c:strRef>
          </c:cat>
          <c:val>
            <c:numRef>
              <c:f>Disability!$C$34:$C$37</c:f>
              <c:numCache>
                <c:formatCode>0.0%</c:formatCode>
                <c:ptCount val="4"/>
                <c:pt idx="0">
                  <c:v>5.1868928042153796E-2</c:v>
                </c:pt>
                <c:pt idx="1">
                  <c:v>0.93281738844063888</c:v>
                </c:pt>
                <c:pt idx="2">
                  <c:v>1.5313683517207312E-2</c:v>
                </c:pt>
                <c:pt idx="3">
                  <c:v>1.7289642680717931E-2</c:v>
                </c:pt>
              </c:numCache>
            </c:numRef>
          </c:val>
        </c:ser>
        <c:ser>
          <c:idx val="2"/>
          <c:order val="2"/>
          <c:tx>
            <c:strRef>
              <c:f>Disability!$D$33</c:f>
              <c:strCache>
                <c:ptCount val="1"/>
                <c:pt idx="0">
                  <c:v>WSHT Appointed</c:v>
                </c:pt>
              </c:strCache>
            </c:strRef>
          </c:tx>
          <c:invertIfNegative val="0"/>
          <c:cat>
            <c:strRef>
              <c:f>Disability!$A$34:$A$37</c:f>
              <c:strCache>
                <c:ptCount val="4"/>
                <c:pt idx="0">
                  <c:v>Disabled</c:v>
                </c:pt>
                <c:pt idx="1">
                  <c:v>Non-Disabled</c:v>
                </c:pt>
                <c:pt idx="2">
                  <c:v>Prefer not to say</c:v>
                </c:pt>
                <c:pt idx="3">
                  <c:v>Unknown</c:v>
                </c:pt>
              </c:strCache>
            </c:strRef>
          </c:cat>
          <c:val>
            <c:numRef>
              <c:f>Disability!$D$34:$D$37</c:f>
              <c:numCache>
                <c:formatCode>0.0%</c:formatCode>
                <c:ptCount val="4"/>
                <c:pt idx="0">
                  <c:v>3.7099494097807759E-2</c:v>
                </c:pt>
                <c:pt idx="1">
                  <c:v>0.94266441821247893</c:v>
                </c:pt>
                <c:pt idx="2">
                  <c:v>2.0236087689713321E-2</c:v>
                </c:pt>
                <c:pt idx="3">
                  <c:v>4.0472175379426642E-2</c:v>
                </c:pt>
              </c:numCache>
            </c:numRef>
          </c:val>
        </c:ser>
        <c:dLbls>
          <c:showLegendKey val="0"/>
          <c:showVal val="0"/>
          <c:showCatName val="0"/>
          <c:showSerName val="0"/>
          <c:showPercent val="0"/>
          <c:showBubbleSize val="0"/>
        </c:dLbls>
        <c:gapWidth val="150"/>
        <c:axId val="650409984"/>
        <c:axId val="170784384"/>
      </c:barChart>
      <c:scatterChart>
        <c:scatterStyle val="lineMarker"/>
        <c:varyColors val="0"/>
        <c:ser>
          <c:idx val="3"/>
          <c:order val="3"/>
          <c:tx>
            <c:strRef>
              <c:f>Disability!$E$33</c:f>
              <c:strCache>
                <c:ptCount val="1"/>
                <c:pt idx="0">
                  <c:v>WSHT Workforce</c:v>
                </c:pt>
              </c:strCache>
            </c:strRef>
          </c:tx>
          <c:spPr>
            <a:ln w="28575">
              <a:noFill/>
            </a:ln>
          </c:spPr>
          <c:marker>
            <c:symbol val="circle"/>
            <c:size val="5"/>
            <c:spPr>
              <a:solidFill>
                <a:schemeClr val="accent4"/>
              </a:solidFill>
              <a:ln w="15875">
                <a:solidFill>
                  <a:schemeClr val="bg1"/>
                </a:solidFill>
              </a:ln>
            </c:spPr>
          </c:marker>
          <c:xVal>
            <c:strRef>
              <c:f>Disability!$A$34:$A$37</c:f>
              <c:strCache>
                <c:ptCount val="4"/>
                <c:pt idx="0">
                  <c:v>Disabled</c:v>
                </c:pt>
                <c:pt idx="1">
                  <c:v>Non-Disabled</c:v>
                </c:pt>
                <c:pt idx="2">
                  <c:v>Prefer not to say</c:v>
                </c:pt>
                <c:pt idx="3">
                  <c:v>Unknown</c:v>
                </c:pt>
              </c:strCache>
            </c:strRef>
          </c:xVal>
          <c:yVal>
            <c:numRef>
              <c:f>Disability!$E$34:$E$37</c:f>
              <c:numCache>
                <c:formatCode>0.0%</c:formatCode>
                <c:ptCount val="4"/>
                <c:pt idx="0">
                  <c:v>3.0589174092299509E-2</c:v>
                </c:pt>
                <c:pt idx="1">
                  <c:v>0.71831360553265067</c:v>
                </c:pt>
                <c:pt idx="2">
                  <c:v>0.1863279691448331</c:v>
                </c:pt>
                <c:pt idx="3">
                  <c:v>6.476925123021679E-2</c:v>
                </c:pt>
              </c:numCache>
            </c:numRef>
          </c:yVal>
          <c:smooth val="0"/>
        </c:ser>
        <c:dLbls>
          <c:showLegendKey val="0"/>
          <c:showVal val="0"/>
          <c:showCatName val="0"/>
          <c:showSerName val="0"/>
          <c:showPercent val="0"/>
          <c:showBubbleSize val="0"/>
        </c:dLbls>
        <c:axId val="650409984"/>
        <c:axId val="170784384"/>
      </c:scatterChart>
      <c:catAx>
        <c:axId val="650409984"/>
        <c:scaling>
          <c:orientation val="minMax"/>
        </c:scaling>
        <c:delete val="0"/>
        <c:axPos val="b"/>
        <c:majorTickMark val="out"/>
        <c:minorTickMark val="none"/>
        <c:tickLblPos val="nextTo"/>
        <c:crossAx val="170784384"/>
        <c:crosses val="autoZero"/>
        <c:auto val="1"/>
        <c:lblAlgn val="ctr"/>
        <c:lblOffset val="100"/>
        <c:noMultiLvlLbl val="0"/>
      </c:catAx>
      <c:valAx>
        <c:axId val="170784384"/>
        <c:scaling>
          <c:orientation val="minMax"/>
        </c:scaling>
        <c:delete val="0"/>
        <c:axPos val="l"/>
        <c:numFmt formatCode="0.0%" sourceLinked="1"/>
        <c:majorTickMark val="out"/>
        <c:minorTickMark val="none"/>
        <c:tickLblPos val="nextTo"/>
        <c:spPr>
          <a:ln>
            <a:noFill/>
          </a:ln>
        </c:spPr>
        <c:crossAx val="650409984"/>
        <c:crosses val="autoZero"/>
        <c:crossBetween val="between"/>
      </c:valAx>
    </c:plotArea>
    <c:legend>
      <c:legendPos val="r"/>
      <c:layout>
        <c:manualLayout>
          <c:xMode val="edge"/>
          <c:yMode val="edge"/>
          <c:x val="0.72245866141732296"/>
          <c:y val="4.0898950131233604E-2"/>
          <c:w val="0.21844302545623778"/>
          <c:h val="0.3159857101195683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'B Disability'!$A$2</c:f>
              <c:strCache>
                <c:ptCount val="1"/>
                <c:pt idx="0">
                  <c:v>Disabled</c:v>
                </c:pt>
              </c:strCache>
            </c:strRef>
          </c:tx>
          <c:invertIfNegative val="0"/>
          <c:val>
            <c:numRef>
              <c:f>'B Disability'!$B$2</c:f>
              <c:numCache>
                <c:formatCode>General</c:formatCode>
                <c:ptCount val="1"/>
                <c:pt idx="0">
                  <c:v>9</c:v>
                </c:pt>
              </c:numCache>
            </c:numRef>
          </c:val>
        </c:ser>
        <c:ser>
          <c:idx val="1"/>
          <c:order val="1"/>
          <c:tx>
            <c:strRef>
              <c:f>'B Disability'!$A$3</c:f>
              <c:strCache>
                <c:ptCount val="1"/>
                <c:pt idx="0">
                  <c:v>Not Disabled</c:v>
                </c:pt>
              </c:strCache>
            </c:strRef>
          </c:tx>
          <c:invertIfNegative val="0"/>
          <c:val>
            <c:numRef>
              <c:f>'B Disability'!$B$3</c:f>
              <c:numCache>
                <c:formatCode>General</c:formatCode>
                <c:ptCount val="1"/>
                <c:pt idx="0">
                  <c:v>318</c:v>
                </c:pt>
              </c:numCache>
            </c:numRef>
          </c:val>
        </c:ser>
        <c:ser>
          <c:idx val="2"/>
          <c:order val="2"/>
          <c:tx>
            <c:strRef>
              <c:f>'B Disability'!$A$4</c:f>
              <c:strCache>
                <c:ptCount val="1"/>
                <c:pt idx="0">
                  <c:v>Prefer not to say</c:v>
                </c:pt>
              </c:strCache>
            </c:strRef>
          </c:tx>
          <c:invertIfNegative val="0"/>
          <c:val>
            <c:numRef>
              <c:f>'B Disability'!$B$4</c:f>
              <c:numCache>
                <c:formatCode>General</c:formatCode>
                <c:ptCount val="1"/>
                <c:pt idx="0">
                  <c:v>7</c:v>
                </c:pt>
              </c:numCache>
            </c:numRef>
          </c:val>
        </c:ser>
        <c:dLbls>
          <c:showLegendKey val="0"/>
          <c:showVal val="0"/>
          <c:showCatName val="0"/>
          <c:showSerName val="0"/>
          <c:showPercent val="0"/>
          <c:showBubbleSize val="0"/>
        </c:dLbls>
        <c:gapWidth val="100"/>
        <c:overlap val="100"/>
        <c:axId val="650411520"/>
        <c:axId val="170786112"/>
      </c:barChart>
      <c:valAx>
        <c:axId val="170786112"/>
        <c:scaling>
          <c:orientation val="minMax"/>
        </c:scaling>
        <c:delete val="0"/>
        <c:axPos val="b"/>
        <c:numFmt formatCode="0%" sourceLinked="1"/>
        <c:majorTickMark val="out"/>
        <c:minorTickMark val="none"/>
        <c:tickLblPos val="nextTo"/>
        <c:spPr>
          <a:ln>
            <a:noFill/>
          </a:ln>
        </c:spPr>
        <c:crossAx val="650411520"/>
        <c:crosses val="autoZero"/>
        <c:crossBetween val="between"/>
      </c:valAx>
      <c:catAx>
        <c:axId val="650411520"/>
        <c:scaling>
          <c:orientation val="minMax"/>
        </c:scaling>
        <c:delete val="1"/>
        <c:axPos val="l"/>
        <c:majorTickMark val="out"/>
        <c:minorTickMark val="none"/>
        <c:tickLblPos val="nextTo"/>
        <c:crossAx val="170786112"/>
        <c:crosses val="autoZero"/>
        <c:auto val="1"/>
        <c:lblAlgn val="ctr"/>
        <c:lblOffset val="100"/>
        <c:noMultiLvlLbl val="0"/>
      </c:catAx>
      <c:spPr>
        <a:noFill/>
        <a:ln w="25400">
          <a:noFill/>
        </a:ln>
      </c:spPr>
    </c:plotArea>
    <c:legend>
      <c:legendPos val="r"/>
      <c:layout/>
      <c:overlay val="0"/>
      <c:txPr>
        <a:bodyPr/>
        <a:lstStyle/>
        <a:p>
          <a:pPr rtl="0">
            <a:defRPr/>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'W Disability'!$A$2</c:f>
              <c:strCache>
                <c:ptCount val="1"/>
                <c:pt idx="0">
                  <c:v>Disabled</c:v>
                </c:pt>
              </c:strCache>
            </c:strRef>
          </c:tx>
          <c:invertIfNegative val="0"/>
          <c:val>
            <c:numRef>
              <c:f>'W Disability'!$B$2</c:f>
              <c:numCache>
                <c:formatCode>General</c:formatCode>
                <c:ptCount val="1"/>
                <c:pt idx="0">
                  <c:v>90</c:v>
                </c:pt>
              </c:numCache>
            </c:numRef>
          </c:val>
        </c:ser>
        <c:ser>
          <c:idx val="1"/>
          <c:order val="1"/>
          <c:tx>
            <c:strRef>
              <c:f>'W Disability'!$A$3</c:f>
              <c:strCache>
                <c:ptCount val="1"/>
                <c:pt idx="0">
                  <c:v>Not Disabled</c:v>
                </c:pt>
              </c:strCache>
            </c:strRef>
          </c:tx>
          <c:invertIfNegative val="0"/>
          <c:val>
            <c:numRef>
              <c:f>'W Disability'!$B$3</c:f>
              <c:numCache>
                <c:formatCode>General</c:formatCode>
                <c:ptCount val="1"/>
                <c:pt idx="0">
                  <c:v>2045</c:v>
                </c:pt>
              </c:numCache>
            </c:numRef>
          </c:val>
        </c:ser>
        <c:ser>
          <c:idx val="2"/>
          <c:order val="2"/>
          <c:tx>
            <c:strRef>
              <c:f>'W Disability'!$A$4</c:f>
              <c:strCache>
                <c:ptCount val="1"/>
                <c:pt idx="0">
                  <c:v>Prefer not to say</c:v>
                </c:pt>
              </c:strCache>
            </c:strRef>
          </c:tx>
          <c:invertIfNegative val="0"/>
          <c:val>
            <c:numRef>
              <c:f>'W Disability'!$B$4</c:f>
              <c:numCache>
                <c:formatCode>General</c:formatCode>
                <c:ptCount val="1"/>
                <c:pt idx="0">
                  <c:v>474</c:v>
                </c:pt>
              </c:numCache>
            </c:numRef>
          </c:val>
        </c:ser>
        <c:ser>
          <c:idx val="3"/>
          <c:order val="3"/>
          <c:tx>
            <c:strRef>
              <c:f>'W Disability'!$A$5</c:f>
              <c:strCache>
                <c:ptCount val="1"/>
                <c:pt idx="0">
                  <c:v>Unknown</c:v>
                </c:pt>
              </c:strCache>
            </c:strRef>
          </c:tx>
          <c:invertIfNegative val="0"/>
          <c:val>
            <c:numRef>
              <c:f>'W Disability'!$B$5</c:f>
              <c:numCache>
                <c:formatCode>General</c:formatCode>
                <c:ptCount val="1"/>
                <c:pt idx="0">
                  <c:v>132</c:v>
                </c:pt>
              </c:numCache>
            </c:numRef>
          </c:val>
        </c:ser>
        <c:dLbls>
          <c:showLegendKey val="0"/>
          <c:showVal val="0"/>
          <c:showCatName val="0"/>
          <c:showSerName val="0"/>
          <c:showPercent val="0"/>
          <c:showBubbleSize val="0"/>
        </c:dLbls>
        <c:gapWidth val="100"/>
        <c:overlap val="100"/>
        <c:axId val="656805888"/>
        <c:axId val="653337728"/>
      </c:barChart>
      <c:valAx>
        <c:axId val="653337728"/>
        <c:scaling>
          <c:orientation val="minMax"/>
        </c:scaling>
        <c:delete val="0"/>
        <c:axPos val="b"/>
        <c:numFmt formatCode="0%" sourceLinked="1"/>
        <c:majorTickMark val="out"/>
        <c:minorTickMark val="none"/>
        <c:tickLblPos val="nextTo"/>
        <c:spPr>
          <a:ln>
            <a:noFill/>
          </a:ln>
        </c:spPr>
        <c:crossAx val="656805888"/>
        <c:crosses val="autoZero"/>
        <c:crossBetween val="between"/>
      </c:valAx>
      <c:catAx>
        <c:axId val="656805888"/>
        <c:scaling>
          <c:orientation val="minMax"/>
        </c:scaling>
        <c:delete val="1"/>
        <c:axPos val="l"/>
        <c:majorTickMark val="out"/>
        <c:minorTickMark val="none"/>
        <c:tickLblPos val="nextTo"/>
        <c:crossAx val="653337728"/>
        <c:crosses val="autoZero"/>
        <c:auto val="1"/>
        <c:lblAlgn val="ctr"/>
        <c:lblOffset val="100"/>
        <c:noMultiLvlLbl val="0"/>
      </c:catAx>
    </c:plotArea>
    <c:legend>
      <c:legendPos val="r"/>
      <c:layout/>
      <c:overlay val="0"/>
      <c:txPr>
        <a:bodyPr/>
        <a:lstStyle/>
        <a:p>
          <a:pPr rtl="0">
            <a:defRPr/>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72872227690288716"/>
          <c:h val="0.84593105954964687"/>
        </c:manualLayout>
      </c:layout>
      <c:barChart>
        <c:barDir val="col"/>
        <c:grouping val="clustered"/>
        <c:varyColors val="0"/>
        <c:ser>
          <c:idx val="0"/>
          <c:order val="0"/>
          <c:tx>
            <c:strRef>
              <c:f>'B Disability'!$C$1</c:f>
              <c:strCache>
                <c:ptCount val="1"/>
                <c:pt idx="0">
                  <c:v>Capability (Non-UHR) %</c:v>
                </c:pt>
              </c:strCache>
            </c:strRef>
          </c:tx>
          <c:spPr>
            <a:solidFill>
              <a:schemeClr val="tx2">
                <a:lumMod val="40000"/>
                <a:lumOff val="60000"/>
              </a:schemeClr>
            </a:solidFill>
          </c:spPr>
          <c:invertIfNegative val="0"/>
          <c:cat>
            <c:strRef>
              <c:f>'B Disability'!$A$2</c:f>
              <c:strCache>
                <c:ptCount val="1"/>
                <c:pt idx="0">
                  <c:v>Prefer not to say</c:v>
                </c:pt>
              </c:strCache>
            </c:strRef>
          </c:cat>
          <c:val>
            <c:numRef>
              <c:f>'B Disability'!$C$2</c:f>
              <c:numCache>
                <c:formatCode>0%</c:formatCode>
                <c:ptCount val="1"/>
                <c:pt idx="0">
                  <c:v>1</c:v>
                </c:pt>
              </c:numCache>
            </c:numRef>
          </c:val>
        </c:ser>
        <c:ser>
          <c:idx val="1"/>
          <c:order val="1"/>
          <c:tx>
            <c:strRef>
              <c:f>'B Disability'!$E$1</c:f>
              <c:strCache>
                <c:ptCount val="1"/>
                <c:pt idx="0">
                  <c:v>Capability (UHR) %</c:v>
                </c:pt>
              </c:strCache>
            </c:strRef>
          </c:tx>
          <c:spPr>
            <a:solidFill>
              <a:schemeClr val="accent2">
                <a:lumMod val="40000"/>
                <a:lumOff val="60000"/>
              </a:schemeClr>
            </a:solidFill>
          </c:spPr>
          <c:invertIfNegative val="0"/>
          <c:cat>
            <c:strRef>
              <c:f>'B Disability'!$A$2</c:f>
              <c:strCache>
                <c:ptCount val="1"/>
                <c:pt idx="0">
                  <c:v>Prefer not to say</c:v>
                </c:pt>
              </c:strCache>
            </c:strRef>
          </c:cat>
          <c:val>
            <c:numRef>
              <c:f>'B Disability'!$E$2</c:f>
              <c:numCache>
                <c:formatCode>0%</c:formatCode>
                <c:ptCount val="1"/>
                <c:pt idx="0">
                  <c:v>1</c:v>
                </c:pt>
              </c:numCache>
            </c:numRef>
          </c:val>
        </c:ser>
        <c:dLbls>
          <c:showLegendKey val="0"/>
          <c:showVal val="0"/>
          <c:showCatName val="0"/>
          <c:showSerName val="0"/>
          <c:showPercent val="0"/>
          <c:showBubbleSize val="0"/>
        </c:dLbls>
        <c:gapWidth val="150"/>
        <c:axId val="656806400"/>
        <c:axId val="653339456"/>
      </c:barChart>
      <c:scatterChart>
        <c:scatterStyle val="lineMarker"/>
        <c:varyColors val="0"/>
        <c:ser>
          <c:idx val="2"/>
          <c:order val="2"/>
          <c:tx>
            <c:strRef>
              <c:f>'B Disability'!$F$1</c:f>
              <c:strCache>
                <c:ptCount val="1"/>
                <c:pt idx="0">
                  <c:v>Workforce Represenation %</c:v>
                </c:pt>
              </c:strCache>
            </c:strRef>
          </c:tx>
          <c:spPr>
            <a:ln w="28575">
              <a:noFill/>
            </a:ln>
          </c:spPr>
          <c:marker>
            <c:symbol val="dash"/>
            <c:size val="27"/>
            <c:spPr>
              <a:solidFill>
                <a:srgbClr val="41B6E6"/>
              </a:solidFill>
              <a:ln w="22225">
                <a:solidFill>
                  <a:schemeClr val="bg1"/>
                </a:solidFill>
              </a:ln>
            </c:spPr>
          </c:marker>
          <c:xVal>
            <c:strRef>
              <c:f>'B Disability'!$A$2</c:f>
              <c:strCache>
                <c:ptCount val="1"/>
                <c:pt idx="0">
                  <c:v>Prefer not to say</c:v>
                </c:pt>
              </c:strCache>
            </c:strRef>
          </c:xVal>
          <c:yVal>
            <c:numRef>
              <c:f>'B Disability'!$F$2</c:f>
              <c:numCache>
                <c:formatCode>0.0%</c:formatCode>
                <c:ptCount val="1"/>
                <c:pt idx="0">
                  <c:v>5.3307787670460946E-2</c:v>
                </c:pt>
              </c:numCache>
            </c:numRef>
          </c:yVal>
          <c:smooth val="0"/>
        </c:ser>
        <c:dLbls>
          <c:showLegendKey val="0"/>
          <c:showVal val="0"/>
          <c:showCatName val="0"/>
          <c:showSerName val="0"/>
          <c:showPercent val="0"/>
          <c:showBubbleSize val="0"/>
        </c:dLbls>
        <c:axId val="656806400"/>
        <c:axId val="653339456"/>
      </c:scatterChart>
      <c:catAx>
        <c:axId val="656806400"/>
        <c:scaling>
          <c:orientation val="minMax"/>
        </c:scaling>
        <c:delete val="0"/>
        <c:axPos val="b"/>
        <c:majorTickMark val="out"/>
        <c:minorTickMark val="none"/>
        <c:tickLblPos val="nextTo"/>
        <c:spPr>
          <a:ln>
            <a:noFill/>
          </a:ln>
        </c:spPr>
        <c:crossAx val="653339456"/>
        <c:crosses val="autoZero"/>
        <c:auto val="1"/>
        <c:lblAlgn val="ctr"/>
        <c:lblOffset val="100"/>
        <c:noMultiLvlLbl val="0"/>
      </c:catAx>
      <c:valAx>
        <c:axId val="653339456"/>
        <c:scaling>
          <c:orientation val="minMax"/>
        </c:scaling>
        <c:delete val="0"/>
        <c:axPos val="l"/>
        <c:numFmt formatCode="0%" sourceLinked="1"/>
        <c:majorTickMark val="out"/>
        <c:minorTickMark val="none"/>
        <c:tickLblPos val="nextTo"/>
        <c:spPr>
          <a:ln>
            <a:noFill/>
          </a:ln>
        </c:spPr>
        <c:crossAx val="656806400"/>
        <c:crosses val="autoZero"/>
        <c:crossBetween val="between"/>
      </c:valAx>
    </c:plotArea>
    <c:legend>
      <c:legendPos val="r"/>
      <c:layout>
        <c:manualLayout>
          <c:xMode val="edge"/>
          <c:yMode val="edge"/>
          <c:x val="7.1687670636647813E-2"/>
          <c:y val="2.8574981264345808E-2"/>
          <c:w val="0.89906191060288321"/>
          <c:h val="9.81314755629938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76511506425037434"/>
          <c:h val="0.84593105954964687"/>
        </c:manualLayout>
      </c:layout>
      <c:barChart>
        <c:barDir val="col"/>
        <c:grouping val="clustered"/>
        <c:varyColors val="0"/>
        <c:ser>
          <c:idx val="0"/>
          <c:order val="0"/>
          <c:tx>
            <c:strRef>
              <c:f>'B Disability'!$C$22</c:f>
              <c:strCache>
                <c:ptCount val="1"/>
                <c:pt idx="0">
                  <c:v>Harassment Cases %</c:v>
                </c:pt>
              </c:strCache>
            </c:strRef>
          </c:tx>
          <c:spPr>
            <a:solidFill>
              <a:schemeClr val="tx2">
                <a:lumMod val="40000"/>
                <a:lumOff val="60000"/>
              </a:schemeClr>
            </a:solidFill>
          </c:spPr>
          <c:invertIfNegative val="0"/>
          <c:cat>
            <c:strRef>
              <c:f>'B Disability'!$A$23</c:f>
              <c:strCache>
                <c:ptCount val="1"/>
                <c:pt idx="0">
                  <c:v>Prefer not to say</c:v>
                </c:pt>
              </c:strCache>
            </c:strRef>
          </c:cat>
          <c:val>
            <c:numRef>
              <c:f>'B Disability'!$C$23</c:f>
              <c:numCache>
                <c:formatCode>0%</c:formatCode>
                <c:ptCount val="1"/>
                <c:pt idx="0">
                  <c:v>1</c:v>
                </c:pt>
              </c:numCache>
            </c:numRef>
          </c:val>
        </c:ser>
        <c:ser>
          <c:idx val="1"/>
          <c:order val="1"/>
          <c:tx>
            <c:strRef>
              <c:f>'B Disability'!$E$22</c:f>
              <c:strCache>
                <c:ptCount val="1"/>
                <c:pt idx="0">
                  <c:v>Grievance Cases %</c:v>
                </c:pt>
              </c:strCache>
            </c:strRef>
          </c:tx>
          <c:spPr>
            <a:solidFill>
              <a:schemeClr val="accent2">
                <a:lumMod val="40000"/>
                <a:lumOff val="60000"/>
              </a:schemeClr>
            </a:solidFill>
          </c:spPr>
          <c:invertIfNegative val="0"/>
          <c:cat>
            <c:strRef>
              <c:f>'B Disability'!$A$23</c:f>
              <c:strCache>
                <c:ptCount val="1"/>
                <c:pt idx="0">
                  <c:v>Prefer not to say</c:v>
                </c:pt>
              </c:strCache>
            </c:strRef>
          </c:cat>
          <c:val>
            <c:numRef>
              <c:f>'B Disability'!$E$23</c:f>
              <c:numCache>
                <c:formatCode>0%</c:formatCode>
                <c:ptCount val="1"/>
                <c:pt idx="0">
                  <c:v>1</c:v>
                </c:pt>
              </c:numCache>
            </c:numRef>
          </c:val>
        </c:ser>
        <c:ser>
          <c:idx val="2"/>
          <c:order val="2"/>
          <c:tx>
            <c:strRef>
              <c:f>'B Disability'!$G$22</c:f>
              <c:strCache>
                <c:ptCount val="1"/>
                <c:pt idx="0">
                  <c:v>Disciplinary Cases %</c:v>
                </c:pt>
              </c:strCache>
            </c:strRef>
          </c:tx>
          <c:spPr>
            <a:solidFill>
              <a:schemeClr val="accent3">
                <a:lumMod val="40000"/>
                <a:lumOff val="60000"/>
              </a:schemeClr>
            </a:solidFill>
            <a:ln w="28575">
              <a:noFill/>
            </a:ln>
          </c:spPr>
          <c:invertIfNegative val="0"/>
          <c:cat>
            <c:strRef>
              <c:f>'B Disability'!$A$23</c:f>
              <c:strCache>
                <c:ptCount val="1"/>
                <c:pt idx="0">
                  <c:v>Prefer not to say</c:v>
                </c:pt>
              </c:strCache>
            </c:strRef>
          </c:cat>
          <c:val>
            <c:numRef>
              <c:f>'B Disability'!$G$23</c:f>
              <c:numCache>
                <c:formatCode>0%</c:formatCode>
                <c:ptCount val="1"/>
                <c:pt idx="0">
                  <c:v>1</c:v>
                </c:pt>
              </c:numCache>
            </c:numRef>
          </c:val>
        </c:ser>
        <c:dLbls>
          <c:showLegendKey val="0"/>
          <c:showVal val="0"/>
          <c:showCatName val="0"/>
          <c:showSerName val="0"/>
          <c:showPercent val="0"/>
          <c:showBubbleSize val="0"/>
        </c:dLbls>
        <c:gapWidth val="150"/>
        <c:axId val="650411008"/>
        <c:axId val="653341184"/>
      </c:barChart>
      <c:scatterChart>
        <c:scatterStyle val="lineMarker"/>
        <c:varyColors val="0"/>
        <c:ser>
          <c:idx val="3"/>
          <c:order val="3"/>
          <c:tx>
            <c:strRef>
              <c:f>'B Disability'!$H$22</c:f>
              <c:strCache>
                <c:ptCount val="1"/>
                <c:pt idx="0">
                  <c:v>Workforce Represenation %</c:v>
                </c:pt>
              </c:strCache>
            </c:strRef>
          </c:tx>
          <c:spPr>
            <a:ln w="28575">
              <a:noFill/>
            </a:ln>
          </c:spPr>
          <c:marker>
            <c:symbol val="dash"/>
            <c:size val="21"/>
            <c:spPr>
              <a:solidFill>
                <a:srgbClr val="41B6E6"/>
              </a:solidFill>
              <a:ln w="19050">
                <a:solidFill>
                  <a:schemeClr val="bg1"/>
                </a:solidFill>
              </a:ln>
            </c:spPr>
          </c:marker>
          <c:xVal>
            <c:strRef>
              <c:f>'B Disability'!$A$23</c:f>
              <c:strCache>
                <c:ptCount val="1"/>
                <c:pt idx="0">
                  <c:v>Prefer not to say</c:v>
                </c:pt>
              </c:strCache>
            </c:strRef>
          </c:xVal>
          <c:yVal>
            <c:numRef>
              <c:f>'B Disability'!$H$23</c:f>
              <c:numCache>
                <c:formatCode>0.00%</c:formatCode>
                <c:ptCount val="1"/>
                <c:pt idx="0">
                  <c:v>5.2999999999999999E-2</c:v>
                </c:pt>
              </c:numCache>
            </c:numRef>
          </c:yVal>
          <c:smooth val="0"/>
        </c:ser>
        <c:dLbls>
          <c:showLegendKey val="0"/>
          <c:showVal val="0"/>
          <c:showCatName val="0"/>
          <c:showSerName val="0"/>
          <c:showPercent val="0"/>
          <c:showBubbleSize val="0"/>
        </c:dLbls>
        <c:axId val="650411008"/>
        <c:axId val="653341184"/>
      </c:scatterChart>
      <c:catAx>
        <c:axId val="650411008"/>
        <c:scaling>
          <c:orientation val="minMax"/>
        </c:scaling>
        <c:delete val="0"/>
        <c:axPos val="b"/>
        <c:majorTickMark val="out"/>
        <c:minorTickMark val="none"/>
        <c:tickLblPos val="nextTo"/>
        <c:spPr>
          <a:ln>
            <a:noFill/>
          </a:ln>
        </c:spPr>
        <c:crossAx val="653341184"/>
        <c:crosses val="autoZero"/>
        <c:auto val="1"/>
        <c:lblAlgn val="ctr"/>
        <c:lblOffset val="100"/>
        <c:noMultiLvlLbl val="0"/>
      </c:catAx>
      <c:valAx>
        <c:axId val="653341184"/>
        <c:scaling>
          <c:orientation val="minMax"/>
        </c:scaling>
        <c:delete val="0"/>
        <c:axPos val="l"/>
        <c:numFmt formatCode="0%" sourceLinked="0"/>
        <c:majorTickMark val="out"/>
        <c:minorTickMark val="none"/>
        <c:tickLblPos val="nextTo"/>
        <c:spPr>
          <a:ln>
            <a:noFill/>
          </a:ln>
        </c:spPr>
        <c:crossAx val="650411008"/>
        <c:crosses val="autoZero"/>
        <c:crossBetween val="between"/>
      </c:valAx>
    </c:plotArea>
    <c:legend>
      <c:legendPos val="r"/>
      <c:layout>
        <c:manualLayout>
          <c:xMode val="edge"/>
          <c:yMode val="edge"/>
          <c:x val="6.6141160459517734E-2"/>
          <c:y val="2.6875801643303252E-2"/>
          <c:w val="0.92135876806248895"/>
          <c:h val="8.4067804584606193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72872227690288716"/>
          <c:h val="0.84593105954964687"/>
        </c:manualLayout>
      </c:layout>
      <c:barChart>
        <c:barDir val="col"/>
        <c:grouping val="clustered"/>
        <c:varyColors val="0"/>
        <c:ser>
          <c:idx val="0"/>
          <c:order val="0"/>
          <c:tx>
            <c:strRef>
              <c:f>'B Disability'!$C$43</c:f>
              <c:strCache>
                <c:ptCount val="1"/>
                <c:pt idx="0">
                  <c:v>All Dismissals</c:v>
                </c:pt>
              </c:strCache>
            </c:strRef>
          </c:tx>
          <c:spPr>
            <a:solidFill>
              <a:schemeClr val="tx2">
                <a:lumMod val="40000"/>
                <a:lumOff val="60000"/>
              </a:schemeClr>
            </a:solidFill>
          </c:spPr>
          <c:invertIfNegative val="0"/>
          <c:cat>
            <c:strRef>
              <c:f>'B Disability'!$A$44</c:f>
              <c:strCache>
                <c:ptCount val="1"/>
                <c:pt idx="0">
                  <c:v>Prefer not to say</c:v>
                </c:pt>
              </c:strCache>
            </c:strRef>
          </c:cat>
          <c:val>
            <c:numRef>
              <c:f>'B Disability'!$C$44</c:f>
              <c:numCache>
                <c:formatCode>0%</c:formatCode>
                <c:ptCount val="1"/>
                <c:pt idx="0">
                  <c:v>1</c:v>
                </c:pt>
              </c:numCache>
            </c:numRef>
          </c:val>
        </c:ser>
        <c:ser>
          <c:idx val="1"/>
          <c:order val="1"/>
          <c:tx>
            <c:strRef>
              <c:f>'B Disability'!$E$43</c:f>
              <c:strCache>
                <c:ptCount val="1"/>
                <c:pt idx="0">
                  <c:v>Dismissals (Sickness only) %</c:v>
                </c:pt>
              </c:strCache>
            </c:strRef>
          </c:tx>
          <c:spPr>
            <a:solidFill>
              <a:schemeClr val="accent2">
                <a:lumMod val="40000"/>
                <a:lumOff val="60000"/>
              </a:schemeClr>
            </a:solidFill>
          </c:spPr>
          <c:invertIfNegative val="0"/>
          <c:cat>
            <c:strRef>
              <c:f>'B Disability'!$A$44</c:f>
              <c:strCache>
                <c:ptCount val="1"/>
                <c:pt idx="0">
                  <c:v>Prefer not to say</c:v>
                </c:pt>
              </c:strCache>
            </c:strRef>
          </c:cat>
          <c:val>
            <c:numRef>
              <c:f>'B Disability'!$E$44</c:f>
              <c:numCache>
                <c:formatCode>0%</c:formatCode>
                <c:ptCount val="1"/>
                <c:pt idx="0">
                  <c:v>1</c:v>
                </c:pt>
              </c:numCache>
            </c:numRef>
          </c:val>
        </c:ser>
        <c:dLbls>
          <c:showLegendKey val="0"/>
          <c:showVal val="0"/>
          <c:showCatName val="0"/>
          <c:showSerName val="0"/>
          <c:showPercent val="0"/>
          <c:showBubbleSize val="0"/>
        </c:dLbls>
        <c:gapWidth val="150"/>
        <c:axId val="656807936"/>
        <c:axId val="653342912"/>
      </c:barChart>
      <c:scatterChart>
        <c:scatterStyle val="lineMarker"/>
        <c:varyColors val="0"/>
        <c:ser>
          <c:idx val="2"/>
          <c:order val="2"/>
          <c:tx>
            <c:strRef>
              <c:f>'B Disability'!$F$43</c:f>
              <c:strCache>
                <c:ptCount val="1"/>
                <c:pt idx="0">
                  <c:v>Workforce Representation %</c:v>
                </c:pt>
              </c:strCache>
            </c:strRef>
          </c:tx>
          <c:spPr>
            <a:ln w="28575">
              <a:noFill/>
            </a:ln>
          </c:spPr>
          <c:marker>
            <c:symbol val="dash"/>
            <c:size val="27"/>
            <c:spPr>
              <a:solidFill>
                <a:srgbClr val="41B6E6"/>
              </a:solidFill>
              <a:ln w="22225">
                <a:solidFill>
                  <a:schemeClr val="bg1"/>
                </a:solidFill>
              </a:ln>
            </c:spPr>
          </c:marker>
          <c:xVal>
            <c:strRef>
              <c:f>'B Disability'!$A$44</c:f>
              <c:strCache>
                <c:ptCount val="1"/>
                <c:pt idx="0">
                  <c:v>Prefer not to say</c:v>
                </c:pt>
              </c:strCache>
            </c:strRef>
          </c:xVal>
          <c:yVal>
            <c:numRef>
              <c:f>'B Disability'!$F$44</c:f>
              <c:numCache>
                <c:formatCode>0.00%</c:formatCode>
                <c:ptCount val="1"/>
                <c:pt idx="0">
                  <c:v>5.2999999999999999E-2</c:v>
                </c:pt>
              </c:numCache>
            </c:numRef>
          </c:yVal>
          <c:smooth val="0"/>
        </c:ser>
        <c:dLbls>
          <c:showLegendKey val="0"/>
          <c:showVal val="0"/>
          <c:showCatName val="0"/>
          <c:showSerName val="0"/>
          <c:showPercent val="0"/>
          <c:showBubbleSize val="0"/>
        </c:dLbls>
        <c:axId val="656807936"/>
        <c:axId val="653342912"/>
      </c:scatterChart>
      <c:catAx>
        <c:axId val="656807936"/>
        <c:scaling>
          <c:orientation val="minMax"/>
        </c:scaling>
        <c:delete val="0"/>
        <c:axPos val="b"/>
        <c:majorTickMark val="out"/>
        <c:minorTickMark val="none"/>
        <c:tickLblPos val="nextTo"/>
        <c:spPr>
          <a:ln>
            <a:noFill/>
          </a:ln>
        </c:spPr>
        <c:crossAx val="653342912"/>
        <c:crosses val="autoZero"/>
        <c:auto val="1"/>
        <c:lblAlgn val="ctr"/>
        <c:lblOffset val="100"/>
        <c:noMultiLvlLbl val="0"/>
      </c:catAx>
      <c:valAx>
        <c:axId val="653342912"/>
        <c:scaling>
          <c:orientation val="minMax"/>
        </c:scaling>
        <c:delete val="0"/>
        <c:axPos val="l"/>
        <c:numFmt formatCode="0%" sourceLinked="1"/>
        <c:majorTickMark val="out"/>
        <c:minorTickMark val="none"/>
        <c:tickLblPos val="nextTo"/>
        <c:spPr>
          <a:ln>
            <a:noFill/>
          </a:ln>
        </c:spPr>
        <c:crossAx val="656807936"/>
        <c:crosses val="autoZero"/>
        <c:crossBetween val="between"/>
      </c:valAx>
    </c:plotArea>
    <c:legend>
      <c:legendPos val="r"/>
      <c:layout>
        <c:manualLayout>
          <c:xMode val="edge"/>
          <c:yMode val="edge"/>
          <c:x val="6.5552829765626042E-2"/>
          <c:y val="1.2355449806930348E-2"/>
          <c:w val="0.91985336788931538"/>
          <c:h val="0.1268086207533917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57961504811901E-2"/>
          <c:y val="5.1400554097404488E-2"/>
          <c:w val="0.89006736657917773"/>
          <c:h val="0.78102981918926806"/>
        </c:manualLayout>
      </c:layout>
      <c:barChart>
        <c:barDir val="col"/>
        <c:grouping val="clustered"/>
        <c:varyColors val="0"/>
        <c:ser>
          <c:idx val="0"/>
          <c:order val="0"/>
          <c:tx>
            <c:strRef>
              <c:f>Age!$B$39</c:f>
              <c:strCache>
                <c:ptCount val="1"/>
                <c:pt idx="0">
                  <c:v>BSUH Applications</c:v>
                </c:pt>
              </c:strCache>
            </c:strRef>
          </c:tx>
          <c:invertIfNegative val="0"/>
          <c:cat>
            <c:strRef>
              <c:f>Age!$A$40:$A$50</c:f>
              <c:strCache>
                <c:ptCount val="11"/>
                <c:pt idx="0">
                  <c:v>Under 20</c:v>
                </c:pt>
                <c:pt idx="1">
                  <c:v>20 - 24</c:v>
                </c:pt>
                <c:pt idx="2">
                  <c:v>25 - 29</c:v>
                </c:pt>
                <c:pt idx="3">
                  <c:v>30 - 34</c:v>
                </c:pt>
                <c:pt idx="4">
                  <c:v>35 - 39</c:v>
                </c:pt>
                <c:pt idx="5">
                  <c:v>40 - 44</c:v>
                </c:pt>
                <c:pt idx="6">
                  <c:v>45 - 49</c:v>
                </c:pt>
                <c:pt idx="7">
                  <c:v>50 - 54</c:v>
                </c:pt>
                <c:pt idx="8">
                  <c:v>55 - 59</c:v>
                </c:pt>
                <c:pt idx="9">
                  <c:v>60 - 64</c:v>
                </c:pt>
                <c:pt idx="10">
                  <c:v>65+</c:v>
                </c:pt>
              </c:strCache>
            </c:strRef>
          </c:cat>
          <c:val>
            <c:numRef>
              <c:f>Age!$B$40:$B$50</c:f>
              <c:numCache>
                <c:formatCode>0.0%</c:formatCode>
                <c:ptCount val="11"/>
                <c:pt idx="0">
                  <c:v>2.6623026049399378E-2</c:v>
                </c:pt>
                <c:pt idx="1">
                  <c:v>0.17593467404508031</c:v>
                </c:pt>
                <c:pt idx="2">
                  <c:v>0.24969631529221217</c:v>
                </c:pt>
                <c:pt idx="3">
                  <c:v>0.18210959643676611</c:v>
                </c:pt>
                <c:pt idx="4">
                  <c:v>0.10986637872857336</c:v>
                </c:pt>
                <c:pt idx="5">
                  <c:v>7.9227965987312729E-2</c:v>
                </c:pt>
                <c:pt idx="6">
                  <c:v>6.3875016871372661E-2</c:v>
                </c:pt>
                <c:pt idx="7">
                  <c:v>5.4899446618976923E-2</c:v>
                </c:pt>
                <c:pt idx="8">
                  <c:v>3.4350114725334051E-2</c:v>
                </c:pt>
                <c:pt idx="9">
                  <c:v>1.967202051558915E-2</c:v>
                </c:pt>
                <c:pt idx="10">
                  <c:v>2.9018760966392225E-3</c:v>
                </c:pt>
              </c:numCache>
            </c:numRef>
          </c:val>
        </c:ser>
        <c:ser>
          <c:idx val="1"/>
          <c:order val="1"/>
          <c:tx>
            <c:strRef>
              <c:f>Age!$C$39</c:f>
              <c:strCache>
                <c:ptCount val="1"/>
                <c:pt idx="0">
                  <c:v>BSUH Shortlisted</c:v>
                </c:pt>
              </c:strCache>
            </c:strRef>
          </c:tx>
          <c:invertIfNegative val="0"/>
          <c:cat>
            <c:strRef>
              <c:f>Age!$A$40:$A$50</c:f>
              <c:strCache>
                <c:ptCount val="11"/>
                <c:pt idx="0">
                  <c:v>Under 20</c:v>
                </c:pt>
                <c:pt idx="1">
                  <c:v>20 - 24</c:v>
                </c:pt>
                <c:pt idx="2">
                  <c:v>25 - 29</c:v>
                </c:pt>
                <c:pt idx="3">
                  <c:v>30 - 34</c:v>
                </c:pt>
                <c:pt idx="4">
                  <c:v>35 - 39</c:v>
                </c:pt>
                <c:pt idx="5">
                  <c:v>40 - 44</c:v>
                </c:pt>
                <c:pt idx="6">
                  <c:v>45 - 49</c:v>
                </c:pt>
                <c:pt idx="7">
                  <c:v>50 - 54</c:v>
                </c:pt>
                <c:pt idx="8">
                  <c:v>55 - 59</c:v>
                </c:pt>
                <c:pt idx="9">
                  <c:v>60 - 64</c:v>
                </c:pt>
                <c:pt idx="10">
                  <c:v>65+</c:v>
                </c:pt>
              </c:strCache>
            </c:strRef>
          </c:cat>
          <c:val>
            <c:numRef>
              <c:f>Age!$C$40:$C$50</c:f>
              <c:numCache>
                <c:formatCode>0.0%</c:formatCode>
                <c:ptCount val="11"/>
                <c:pt idx="0">
                  <c:v>2.7398804825797721E-2</c:v>
                </c:pt>
                <c:pt idx="1">
                  <c:v>0.18807080843387078</c:v>
                </c:pt>
                <c:pt idx="2">
                  <c:v>0.19562521141053107</c:v>
                </c:pt>
                <c:pt idx="3">
                  <c:v>0.1541323711805164</c:v>
                </c:pt>
                <c:pt idx="4">
                  <c:v>0.11252677866726801</c:v>
                </c:pt>
                <c:pt idx="5">
                  <c:v>9.1442101702559481E-2</c:v>
                </c:pt>
                <c:pt idx="6">
                  <c:v>8.2196414477393162E-2</c:v>
                </c:pt>
                <c:pt idx="7">
                  <c:v>7.2837974968993122E-2</c:v>
                </c:pt>
                <c:pt idx="8">
                  <c:v>4.7919720374337581E-2</c:v>
                </c:pt>
                <c:pt idx="9">
                  <c:v>2.221219979704589E-2</c:v>
                </c:pt>
                <c:pt idx="10">
                  <c:v>4.1718344796482128E-3</c:v>
                </c:pt>
              </c:numCache>
            </c:numRef>
          </c:val>
        </c:ser>
        <c:ser>
          <c:idx val="2"/>
          <c:order val="2"/>
          <c:tx>
            <c:strRef>
              <c:f>Age!$D$39</c:f>
              <c:strCache>
                <c:ptCount val="1"/>
                <c:pt idx="0">
                  <c:v>BSUH Appointed</c:v>
                </c:pt>
              </c:strCache>
            </c:strRef>
          </c:tx>
          <c:invertIfNegative val="0"/>
          <c:cat>
            <c:strRef>
              <c:f>Age!$A$40:$A$50</c:f>
              <c:strCache>
                <c:ptCount val="11"/>
                <c:pt idx="0">
                  <c:v>Under 20</c:v>
                </c:pt>
                <c:pt idx="1">
                  <c:v>20 - 24</c:v>
                </c:pt>
                <c:pt idx="2">
                  <c:v>25 - 29</c:v>
                </c:pt>
                <c:pt idx="3">
                  <c:v>30 - 34</c:v>
                </c:pt>
                <c:pt idx="4">
                  <c:v>35 - 39</c:v>
                </c:pt>
                <c:pt idx="5">
                  <c:v>40 - 44</c:v>
                </c:pt>
                <c:pt idx="6">
                  <c:v>45 - 49</c:v>
                </c:pt>
                <c:pt idx="7">
                  <c:v>50 - 54</c:v>
                </c:pt>
                <c:pt idx="8">
                  <c:v>55 - 59</c:v>
                </c:pt>
                <c:pt idx="9">
                  <c:v>60 - 64</c:v>
                </c:pt>
                <c:pt idx="10">
                  <c:v>65+</c:v>
                </c:pt>
              </c:strCache>
            </c:strRef>
          </c:cat>
          <c:val>
            <c:numRef>
              <c:f>Age!$D$40:$D$50</c:f>
              <c:numCache>
                <c:formatCode>0.0%</c:formatCode>
                <c:ptCount val="11"/>
                <c:pt idx="0">
                  <c:v>1.9570707070707072E-2</c:v>
                </c:pt>
                <c:pt idx="1">
                  <c:v>0.21590909090909091</c:v>
                </c:pt>
                <c:pt idx="2">
                  <c:v>0.22285353535353536</c:v>
                </c:pt>
                <c:pt idx="3">
                  <c:v>0.16477272727272727</c:v>
                </c:pt>
                <c:pt idx="4">
                  <c:v>0.11363636363636363</c:v>
                </c:pt>
                <c:pt idx="5">
                  <c:v>8.2702020202020207E-2</c:v>
                </c:pt>
                <c:pt idx="6">
                  <c:v>5.808080808080808E-2</c:v>
                </c:pt>
                <c:pt idx="7">
                  <c:v>5.808080808080808E-2</c:v>
                </c:pt>
                <c:pt idx="8">
                  <c:v>3.9772727272727272E-2</c:v>
                </c:pt>
                <c:pt idx="9">
                  <c:v>1.5782828282828284E-2</c:v>
                </c:pt>
                <c:pt idx="10">
                  <c:v>8.8383838383838381E-3</c:v>
                </c:pt>
              </c:numCache>
            </c:numRef>
          </c:val>
        </c:ser>
        <c:dLbls>
          <c:showLegendKey val="0"/>
          <c:showVal val="0"/>
          <c:showCatName val="0"/>
          <c:showSerName val="0"/>
          <c:showPercent val="0"/>
          <c:showBubbleSize val="0"/>
        </c:dLbls>
        <c:gapWidth val="150"/>
        <c:axId val="168155136"/>
        <c:axId val="166019648"/>
      </c:barChart>
      <c:scatterChart>
        <c:scatterStyle val="lineMarker"/>
        <c:varyColors val="0"/>
        <c:ser>
          <c:idx val="3"/>
          <c:order val="3"/>
          <c:tx>
            <c:strRef>
              <c:f>Age!$E$39</c:f>
              <c:strCache>
                <c:ptCount val="1"/>
                <c:pt idx="0">
                  <c:v>BSUH Workforce</c:v>
                </c:pt>
              </c:strCache>
            </c:strRef>
          </c:tx>
          <c:spPr>
            <a:ln w="28575">
              <a:noFill/>
            </a:ln>
          </c:spPr>
          <c:marker>
            <c:symbol val="circle"/>
            <c:size val="5"/>
            <c:spPr>
              <a:solidFill>
                <a:schemeClr val="accent4"/>
              </a:solidFill>
              <a:ln w="15875">
                <a:solidFill>
                  <a:schemeClr val="bg1"/>
                </a:solidFill>
              </a:ln>
            </c:spPr>
          </c:marker>
          <c:xVal>
            <c:strRef>
              <c:f>Age!$A$40:$A$50</c:f>
              <c:strCache>
                <c:ptCount val="11"/>
                <c:pt idx="0">
                  <c:v>Under 20</c:v>
                </c:pt>
                <c:pt idx="1">
                  <c:v>20 - 24</c:v>
                </c:pt>
                <c:pt idx="2">
                  <c:v>25 - 29</c:v>
                </c:pt>
                <c:pt idx="3">
                  <c:v>30 - 34</c:v>
                </c:pt>
                <c:pt idx="4">
                  <c:v>35 - 39</c:v>
                </c:pt>
                <c:pt idx="5">
                  <c:v>40 - 44</c:v>
                </c:pt>
                <c:pt idx="6">
                  <c:v>45 - 49</c:v>
                </c:pt>
                <c:pt idx="7">
                  <c:v>50 - 54</c:v>
                </c:pt>
                <c:pt idx="8">
                  <c:v>55 - 59</c:v>
                </c:pt>
                <c:pt idx="9">
                  <c:v>60 - 64</c:v>
                </c:pt>
                <c:pt idx="10">
                  <c:v>65+</c:v>
                </c:pt>
              </c:strCache>
            </c:strRef>
          </c:xVal>
          <c:yVal>
            <c:numRef>
              <c:f>Age!$E$40:$E$50</c:f>
              <c:numCache>
                <c:formatCode>0.0%</c:formatCode>
                <c:ptCount val="11"/>
                <c:pt idx="0">
                  <c:v>4.6212804328223623E-3</c:v>
                </c:pt>
                <c:pt idx="1">
                  <c:v>6.3458070333633904E-2</c:v>
                </c:pt>
                <c:pt idx="2">
                  <c:v>0.13266456266907123</c:v>
                </c:pt>
                <c:pt idx="3">
                  <c:v>0.14235798016230838</c:v>
                </c:pt>
                <c:pt idx="4">
                  <c:v>0.12116771866546439</c:v>
                </c:pt>
                <c:pt idx="5">
                  <c:v>0.12263300270513977</c:v>
                </c:pt>
                <c:pt idx="6">
                  <c:v>0.12815599639314698</c:v>
                </c:pt>
                <c:pt idx="7">
                  <c:v>0.11880072137060414</c:v>
                </c:pt>
                <c:pt idx="8">
                  <c:v>9.4792605951307479E-2</c:v>
                </c:pt>
                <c:pt idx="9">
                  <c:v>5.4666366095581606E-2</c:v>
                </c:pt>
                <c:pt idx="10">
                  <c:v>1.7000000000000001E-2</c:v>
                </c:pt>
              </c:numCache>
            </c:numRef>
          </c:yVal>
          <c:smooth val="0"/>
        </c:ser>
        <c:dLbls>
          <c:showLegendKey val="0"/>
          <c:showVal val="0"/>
          <c:showCatName val="0"/>
          <c:showSerName val="0"/>
          <c:showPercent val="0"/>
          <c:showBubbleSize val="0"/>
        </c:dLbls>
        <c:axId val="168155136"/>
        <c:axId val="166019648"/>
      </c:scatterChart>
      <c:catAx>
        <c:axId val="168155136"/>
        <c:scaling>
          <c:orientation val="minMax"/>
        </c:scaling>
        <c:delete val="0"/>
        <c:axPos val="b"/>
        <c:majorTickMark val="out"/>
        <c:minorTickMark val="none"/>
        <c:tickLblPos val="nextTo"/>
        <c:crossAx val="166019648"/>
        <c:crosses val="autoZero"/>
        <c:auto val="1"/>
        <c:lblAlgn val="ctr"/>
        <c:lblOffset val="100"/>
        <c:noMultiLvlLbl val="0"/>
      </c:catAx>
      <c:valAx>
        <c:axId val="166019648"/>
        <c:scaling>
          <c:orientation val="minMax"/>
        </c:scaling>
        <c:delete val="0"/>
        <c:axPos val="l"/>
        <c:numFmt formatCode="0.0%" sourceLinked="1"/>
        <c:majorTickMark val="out"/>
        <c:minorTickMark val="none"/>
        <c:tickLblPos val="nextTo"/>
        <c:spPr>
          <a:ln>
            <a:noFill/>
          </a:ln>
        </c:spPr>
        <c:crossAx val="168155136"/>
        <c:crosses val="autoZero"/>
        <c:crossBetween val="between"/>
      </c:valAx>
    </c:plotArea>
    <c:legend>
      <c:legendPos val="r"/>
      <c:layout>
        <c:manualLayout>
          <c:xMode val="edge"/>
          <c:yMode val="edge"/>
          <c:x val="0.72245866141732296"/>
          <c:y val="4.0898950131233604E-2"/>
          <c:w val="0.21844302545623778"/>
          <c:h val="0.3159857101195683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'W Disability'!$C$1</c:f>
              <c:strCache>
                <c:ptCount val="1"/>
                <c:pt idx="0">
                  <c:v>Grievance Cases %</c:v>
                </c:pt>
              </c:strCache>
            </c:strRef>
          </c:tx>
          <c:spPr>
            <a:solidFill>
              <a:schemeClr val="tx2">
                <a:lumMod val="40000"/>
                <a:lumOff val="60000"/>
              </a:schemeClr>
            </a:solidFill>
          </c:spPr>
          <c:invertIfNegative val="0"/>
          <c:cat>
            <c:strRef>
              <c:f>'W Disability'!$A$2:$A$4</c:f>
              <c:strCache>
                <c:ptCount val="3"/>
                <c:pt idx="0">
                  <c:v>Disabled</c:v>
                </c:pt>
                <c:pt idx="1">
                  <c:v>Not Disabled</c:v>
                </c:pt>
                <c:pt idx="2">
                  <c:v>Unknown</c:v>
                </c:pt>
              </c:strCache>
            </c:strRef>
          </c:cat>
          <c:val>
            <c:numRef>
              <c:f>'W Disability'!$C$2:$C$4</c:f>
              <c:numCache>
                <c:formatCode>0.0%</c:formatCode>
                <c:ptCount val="3"/>
                <c:pt idx="0">
                  <c:v>0</c:v>
                </c:pt>
                <c:pt idx="1">
                  <c:v>0.6785714285714286</c:v>
                </c:pt>
                <c:pt idx="2">
                  <c:v>0.32142857142857145</c:v>
                </c:pt>
              </c:numCache>
            </c:numRef>
          </c:val>
        </c:ser>
        <c:ser>
          <c:idx val="1"/>
          <c:order val="1"/>
          <c:tx>
            <c:strRef>
              <c:f>'W Disability'!$E$1</c:f>
              <c:strCache>
                <c:ptCount val="1"/>
                <c:pt idx="0">
                  <c:v>Disciplinary Cases %</c:v>
                </c:pt>
              </c:strCache>
            </c:strRef>
          </c:tx>
          <c:spPr>
            <a:solidFill>
              <a:schemeClr val="accent2">
                <a:lumMod val="40000"/>
                <a:lumOff val="60000"/>
              </a:schemeClr>
            </a:solidFill>
          </c:spPr>
          <c:invertIfNegative val="0"/>
          <c:cat>
            <c:strRef>
              <c:f>'W Disability'!$A$2:$A$4</c:f>
              <c:strCache>
                <c:ptCount val="3"/>
                <c:pt idx="0">
                  <c:v>Disabled</c:v>
                </c:pt>
                <c:pt idx="1">
                  <c:v>Not Disabled</c:v>
                </c:pt>
                <c:pt idx="2">
                  <c:v>Unknown</c:v>
                </c:pt>
              </c:strCache>
            </c:strRef>
          </c:cat>
          <c:val>
            <c:numRef>
              <c:f>'W Disability'!$E$2:$E$4</c:f>
              <c:numCache>
                <c:formatCode>0.0%</c:formatCode>
                <c:ptCount val="3"/>
                <c:pt idx="0">
                  <c:v>3.7735849056603772E-2</c:v>
                </c:pt>
                <c:pt idx="1">
                  <c:v>0.58490566037735847</c:v>
                </c:pt>
                <c:pt idx="2">
                  <c:v>0.37735849056603776</c:v>
                </c:pt>
              </c:numCache>
            </c:numRef>
          </c:val>
        </c:ser>
        <c:dLbls>
          <c:showLegendKey val="0"/>
          <c:showVal val="0"/>
          <c:showCatName val="0"/>
          <c:showSerName val="0"/>
          <c:showPercent val="0"/>
          <c:showBubbleSize val="0"/>
        </c:dLbls>
        <c:gapWidth val="150"/>
        <c:axId val="638173184"/>
        <c:axId val="656670720"/>
      </c:barChart>
      <c:scatterChart>
        <c:scatterStyle val="lineMarker"/>
        <c:varyColors val="0"/>
        <c:ser>
          <c:idx val="2"/>
          <c:order val="2"/>
          <c:tx>
            <c:strRef>
              <c:f>'W Disability'!$F$1</c:f>
              <c:strCache>
                <c:ptCount val="1"/>
                <c:pt idx="0">
                  <c:v>Workforce Represenation %</c:v>
                </c:pt>
              </c:strCache>
            </c:strRef>
          </c:tx>
          <c:spPr>
            <a:ln w="28575">
              <a:noFill/>
            </a:ln>
          </c:spPr>
          <c:marker>
            <c:symbol val="dash"/>
            <c:size val="12"/>
            <c:spPr>
              <a:solidFill>
                <a:srgbClr val="41B6E6"/>
              </a:solidFill>
              <a:ln>
                <a:solidFill>
                  <a:schemeClr val="bg1"/>
                </a:solidFill>
              </a:ln>
            </c:spPr>
          </c:marker>
          <c:xVal>
            <c:strRef>
              <c:f>'W Disability'!$A$2:$A$4</c:f>
              <c:strCache>
                <c:ptCount val="3"/>
                <c:pt idx="0">
                  <c:v>Disabled</c:v>
                </c:pt>
                <c:pt idx="1">
                  <c:v>Not Disabled</c:v>
                </c:pt>
                <c:pt idx="2">
                  <c:v>Unknown</c:v>
                </c:pt>
              </c:strCache>
            </c:strRef>
          </c:xVal>
          <c:yVal>
            <c:numRef>
              <c:f>'W Disability'!$F$2:$F$4</c:f>
              <c:numCache>
                <c:formatCode>0.0%</c:formatCode>
                <c:ptCount val="3"/>
                <c:pt idx="0">
                  <c:v>3.0589174092299509E-2</c:v>
                </c:pt>
                <c:pt idx="1">
                  <c:v>0.71831360553265067</c:v>
                </c:pt>
                <c:pt idx="2">
                  <c:v>6.476925123021679E-2</c:v>
                </c:pt>
              </c:numCache>
            </c:numRef>
          </c:yVal>
          <c:smooth val="0"/>
        </c:ser>
        <c:dLbls>
          <c:showLegendKey val="0"/>
          <c:showVal val="0"/>
          <c:showCatName val="0"/>
          <c:showSerName val="0"/>
          <c:showPercent val="0"/>
          <c:showBubbleSize val="0"/>
        </c:dLbls>
        <c:axId val="638173184"/>
        <c:axId val="656670720"/>
      </c:scatterChart>
      <c:catAx>
        <c:axId val="638173184"/>
        <c:scaling>
          <c:orientation val="minMax"/>
        </c:scaling>
        <c:delete val="0"/>
        <c:axPos val="b"/>
        <c:majorTickMark val="out"/>
        <c:minorTickMark val="none"/>
        <c:tickLblPos val="nextTo"/>
        <c:spPr>
          <a:ln>
            <a:noFill/>
          </a:ln>
        </c:spPr>
        <c:crossAx val="656670720"/>
        <c:crosses val="autoZero"/>
        <c:auto val="1"/>
        <c:lblAlgn val="ctr"/>
        <c:lblOffset val="100"/>
        <c:noMultiLvlLbl val="0"/>
      </c:catAx>
      <c:valAx>
        <c:axId val="656670720"/>
        <c:scaling>
          <c:orientation val="minMax"/>
        </c:scaling>
        <c:delete val="0"/>
        <c:axPos val="l"/>
        <c:numFmt formatCode="0.0%" sourceLinked="1"/>
        <c:majorTickMark val="out"/>
        <c:minorTickMark val="none"/>
        <c:tickLblPos val="nextTo"/>
        <c:spPr>
          <a:ln>
            <a:noFill/>
          </a:ln>
        </c:spPr>
        <c:crossAx val="638173184"/>
        <c:crosses val="autoZero"/>
        <c:crossBetween val="between"/>
      </c:valAx>
    </c:plotArea>
    <c:legend>
      <c:legendPos val="r"/>
      <c:layout>
        <c:manualLayout>
          <c:xMode val="edge"/>
          <c:yMode val="edge"/>
          <c:x val="8.7296916010498701E-2"/>
          <c:y val="2.6875801643303252E-2"/>
          <c:w val="0.90020308398950133"/>
          <c:h val="9.9165885314271673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250085587127689E-2"/>
          <c:y val="2.4239121272631618E-2"/>
          <c:w val="0.89722016179137032"/>
          <c:h val="0.85200745255680255"/>
        </c:manualLayout>
      </c:layout>
      <c:barChart>
        <c:barDir val="col"/>
        <c:grouping val="clustered"/>
        <c:varyColors val="0"/>
        <c:ser>
          <c:idx val="0"/>
          <c:order val="0"/>
          <c:tx>
            <c:strRef>
              <c:f>'Dis B'!$C$1</c:f>
              <c:strCache>
                <c:ptCount val="1"/>
                <c:pt idx="0">
                  <c:v>2020/21 BSUH Leavers (%)</c:v>
                </c:pt>
              </c:strCache>
            </c:strRef>
          </c:tx>
          <c:spPr>
            <a:solidFill>
              <a:srgbClr val="41B6E6"/>
            </a:solidFill>
          </c:spPr>
          <c:invertIfNegative val="0"/>
          <c:cat>
            <c:strRef>
              <c:f>'Dis B'!$A$2:$A$5</c:f>
              <c:strCache>
                <c:ptCount val="4"/>
                <c:pt idx="0">
                  <c:v>Not Disabled</c:v>
                </c:pt>
                <c:pt idx="1">
                  <c:v>Disabled</c:v>
                </c:pt>
                <c:pt idx="2">
                  <c:v>Prefer not to say</c:v>
                </c:pt>
                <c:pt idx="3">
                  <c:v>Unknown</c:v>
                </c:pt>
              </c:strCache>
            </c:strRef>
          </c:cat>
          <c:val>
            <c:numRef>
              <c:f>'Dis B'!$C$2:$C$5</c:f>
              <c:numCache>
                <c:formatCode>0.0%</c:formatCode>
                <c:ptCount val="4"/>
                <c:pt idx="0">
                  <c:v>0.79698755730189919</c:v>
                </c:pt>
                <c:pt idx="1">
                  <c:v>6.4178127046496392E-2</c:v>
                </c:pt>
                <c:pt idx="2">
                  <c:v>4.5841519318926003E-3</c:v>
                </c:pt>
                <c:pt idx="3">
                  <c:v>0.13425016371971185</c:v>
                </c:pt>
              </c:numCache>
            </c:numRef>
          </c:val>
        </c:ser>
        <c:ser>
          <c:idx val="1"/>
          <c:order val="1"/>
          <c:tx>
            <c:strRef>
              <c:f>'Dis B'!$E$1</c:f>
              <c:strCache>
                <c:ptCount val="1"/>
                <c:pt idx="0">
                  <c:v>% in Workforce</c:v>
                </c:pt>
              </c:strCache>
            </c:strRef>
          </c:tx>
          <c:spPr>
            <a:solidFill>
              <a:srgbClr val="FFB81C"/>
            </a:solidFill>
          </c:spPr>
          <c:invertIfNegative val="0"/>
          <c:cat>
            <c:strRef>
              <c:f>'Dis B'!$A$2:$A$5</c:f>
              <c:strCache>
                <c:ptCount val="4"/>
                <c:pt idx="0">
                  <c:v>Not Disabled</c:v>
                </c:pt>
                <c:pt idx="1">
                  <c:v>Disabled</c:v>
                </c:pt>
                <c:pt idx="2">
                  <c:v>Prefer not to say</c:v>
                </c:pt>
                <c:pt idx="3">
                  <c:v>Unknown</c:v>
                </c:pt>
              </c:strCache>
            </c:strRef>
          </c:cat>
          <c:val>
            <c:numRef>
              <c:f>'Dis B'!$E$2:$E$5</c:f>
              <c:numCache>
                <c:formatCode>0.0%</c:formatCode>
                <c:ptCount val="4"/>
                <c:pt idx="0">
                  <c:v>0.82621435816522037</c:v>
                </c:pt>
                <c:pt idx="1">
                  <c:v>6.1647695255268795E-2</c:v>
                </c:pt>
                <c:pt idx="2">
                  <c:v>5.3307787670460946E-2</c:v>
                </c:pt>
                <c:pt idx="3">
                  <c:v>5.8830158909049926E-2</c:v>
                </c:pt>
              </c:numCache>
            </c:numRef>
          </c:val>
        </c:ser>
        <c:dLbls>
          <c:showLegendKey val="0"/>
          <c:showVal val="0"/>
          <c:showCatName val="0"/>
          <c:showSerName val="0"/>
          <c:showPercent val="0"/>
          <c:showBubbleSize val="0"/>
        </c:dLbls>
        <c:gapWidth val="150"/>
        <c:axId val="638173696"/>
        <c:axId val="656672448"/>
      </c:barChart>
      <c:catAx>
        <c:axId val="638173696"/>
        <c:scaling>
          <c:orientation val="minMax"/>
        </c:scaling>
        <c:delete val="0"/>
        <c:axPos val="b"/>
        <c:majorTickMark val="out"/>
        <c:minorTickMark val="none"/>
        <c:tickLblPos val="nextTo"/>
        <c:crossAx val="656672448"/>
        <c:crosses val="autoZero"/>
        <c:auto val="1"/>
        <c:lblAlgn val="ctr"/>
        <c:lblOffset val="100"/>
        <c:noMultiLvlLbl val="0"/>
      </c:catAx>
      <c:valAx>
        <c:axId val="656672448"/>
        <c:scaling>
          <c:orientation val="minMax"/>
        </c:scaling>
        <c:delete val="0"/>
        <c:axPos val="l"/>
        <c:numFmt formatCode="0.0%" sourceLinked="1"/>
        <c:majorTickMark val="out"/>
        <c:minorTickMark val="none"/>
        <c:tickLblPos val="nextTo"/>
        <c:spPr>
          <a:ln>
            <a:noFill/>
          </a:ln>
        </c:spPr>
        <c:crossAx val="638173696"/>
        <c:crosses val="autoZero"/>
        <c:crossBetween val="between"/>
      </c:valAx>
    </c:plotArea>
    <c:legend>
      <c:legendPos val="r"/>
      <c:layout>
        <c:manualLayout>
          <c:xMode val="edge"/>
          <c:yMode val="edge"/>
          <c:x val="0.70322568374605343"/>
          <c:y val="0.13431809395918534"/>
          <c:w val="0.28067125667262605"/>
          <c:h val="0.1259743694828844"/>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250085587127689E-2"/>
          <c:y val="2.4239121272631618E-2"/>
          <c:w val="0.89722016179137032"/>
          <c:h val="0.85200745255680255"/>
        </c:manualLayout>
      </c:layout>
      <c:barChart>
        <c:barDir val="col"/>
        <c:grouping val="clustered"/>
        <c:varyColors val="0"/>
        <c:ser>
          <c:idx val="0"/>
          <c:order val="0"/>
          <c:tx>
            <c:strRef>
              <c:f>'Dis W'!$C$1</c:f>
              <c:strCache>
                <c:ptCount val="1"/>
                <c:pt idx="0">
                  <c:v>2020/21 WSHT Leavers (%)</c:v>
                </c:pt>
              </c:strCache>
            </c:strRef>
          </c:tx>
          <c:spPr>
            <a:solidFill>
              <a:srgbClr val="009639"/>
            </a:solidFill>
          </c:spPr>
          <c:invertIfNegative val="0"/>
          <c:cat>
            <c:strRef>
              <c:f>'Dis W'!$A$2:$A$5</c:f>
              <c:strCache>
                <c:ptCount val="4"/>
                <c:pt idx="0">
                  <c:v>Not Disabled</c:v>
                </c:pt>
                <c:pt idx="1">
                  <c:v>Disabled</c:v>
                </c:pt>
                <c:pt idx="2">
                  <c:v>Prefer not to say</c:v>
                </c:pt>
                <c:pt idx="3">
                  <c:v>Unknown</c:v>
                </c:pt>
              </c:strCache>
            </c:strRef>
          </c:cat>
          <c:val>
            <c:numRef>
              <c:f>'Dis W'!$C$2:$C$5</c:f>
              <c:numCache>
                <c:formatCode>0.0%</c:formatCode>
                <c:ptCount val="4"/>
                <c:pt idx="0">
                  <c:v>0.65689149560117299</c:v>
                </c:pt>
                <c:pt idx="1">
                  <c:v>4.8387096774193547E-2</c:v>
                </c:pt>
                <c:pt idx="2">
                  <c:v>0.25366568914956011</c:v>
                </c:pt>
                <c:pt idx="3">
                  <c:v>4.1055718475073312E-2</c:v>
                </c:pt>
              </c:numCache>
            </c:numRef>
          </c:val>
        </c:ser>
        <c:ser>
          <c:idx val="1"/>
          <c:order val="1"/>
          <c:tx>
            <c:strRef>
              <c:f>'Dis W'!$E$1</c:f>
              <c:strCache>
                <c:ptCount val="1"/>
                <c:pt idx="0">
                  <c:v>% in Workforce</c:v>
                </c:pt>
              </c:strCache>
            </c:strRef>
          </c:tx>
          <c:spPr>
            <a:solidFill>
              <a:srgbClr val="FFB81C"/>
            </a:solidFill>
          </c:spPr>
          <c:invertIfNegative val="0"/>
          <c:cat>
            <c:strRef>
              <c:f>'Dis W'!$A$2:$A$5</c:f>
              <c:strCache>
                <c:ptCount val="4"/>
                <c:pt idx="0">
                  <c:v>Not Disabled</c:v>
                </c:pt>
                <c:pt idx="1">
                  <c:v>Disabled</c:v>
                </c:pt>
                <c:pt idx="2">
                  <c:v>Prefer not to say</c:v>
                </c:pt>
                <c:pt idx="3">
                  <c:v>Unknown</c:v>
                </c:pt>
              </c:strCache>
            </c:strRef>
          </c:cat>
          <c:val>
            <c:numRef>
              <c:f>'Dis W'!$E$2:$E$5</c:f>
              <c:numCache>
                <c:formatCode>0.0%</c:formatCode>
                <c:ptCount val="4"/>
                <c:pt idx="0">
                  <c:v>0.71831360553265067</c:v>
                </c:pt>
                <c:pt idx="1">
                  <c:v>3.0589174092299509E-2</c:v>
                </c:pt>
                <c:pt idx="2">
                  <c:v>0.1863279691448331</c:v>
                </c:pt>
                <c:pt idx="3">
                  <c:v>6.476925123021679E-2</c:v>
                </c:pt>
              </c:numCache>
            </c:numRef>
          </c:val>
        </c:ser>
        <c:dLbls>
          <c:showLegendKey val="0"/>
          <c:showVal val="0"/>
          <c:showCatName val="0"/>
          <c:showSerName val="0"/>
          <c:showPercent val="0"/>
          <c:showBubbleSize val="0"/>
        </c:dLbls>
        <c:gapWidth val="150"/>
        <c:axId val="638175232"/>
        <c:axId val="656674176"/>
      </c:barChart>
      <c:catAx>
        <c:axId val="638175232"/>
        <c:scaling>
          <c:orientation val="minMax"/>
        </c:scaling>
        <c:delete val="0"/>
        <c:axPos val="b"/>
        <c:majorTickMark val="out"/>
        <c:minorTickMark val="none"/>
        <c:tickLblPos val="nextTo"/>
        <c:crossAx val="656674176"/>
        <c:crosses val="autoZero"/>
        <c:auto val="1"/>
        <c:lblAlgn val="ctr"/>
        <c:lblOffset val="100"/>
        <c:noMultiLvlLbl val="0"/>
      </c:catAx>
      <c:valAx>
        <c:axId val="656674176"/>
        <c:scaling>
          <c:orientation val="minMax"/>
        </c:scaling>
        <c:delete val="0"/>
        <c:axPos val="l"/>
        <c:numFmt formatCode="0.0%" sourceLinked="1"/>
        <c:majorTickMark val="out"/>
        <c:minorTickMark val="none"/>
        <c:tickLblPos val="nextTo"/>
        <c:spPr>
          <a:ln>
            <a:noFill/>
          </a:ln>
        </c:spPr>
        <c:crossAx val="638175232"/>
        <c:crosses val="autoZero"/>
        <c:crossBetween val="between"/>
      </c:valAx>
    </c:plotArea>
    <c:legend>
      <c:legendPos val="r"/>
      <c:layout>
        <c:manualLayout>
          <c:xMode val="edge"/>
          <c:yMode val="edge"/>
          <c:x val="0.70322568374605343"/>
          <c:y val="0.13431809395918534"/>
          <c:w val="0.28067125667262605"/>
          <c:h val="0.25438112175349586"/>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502061419051487E-2"/>
          <c:y val="3.6124794745484398E-2"/>
          <c:w val="0.80482380701314638"/>
          <c:h val="0.84823707381404911"/>
        </c:manualLayout>
      </c:layout>
      <c:barChart>
        <c:barDir val="col"/>
        <c:grouping val="clustered"/>
        <c:varyColors val="0"/>
        <c:ser>
          <c:idx val="4"/>
          <c:order val="0"/>
          <c:tx>
            <c:strRef>
              <c:f>Ethnicity!$A$17</c:f>
              <c:strCache>
                <c:ptCount val="1"/>
                <c:pt idx="0">
                  <c:v>2020/21 (BSUH)</c:v>
                </c:pt>
              </c:strCache>
            </c:strRef>
          </c:tx>
          <c:spPr>
            <a:solidFill>
              <a:srgbClr val="41B6E6"/>
            </a:solidFill>
            <a:ln w="28575">
              <a:noFill/>
            </a:ln>
          </c:spPr>
          <c:invertIfNegative val="0"/>
          <c:cat>
            <c:strRef>
              <c:f>Ethnicity!$B$15:$H$15</c:f>
              <c:strCache>
                <c:ptCount val="7"/>
                <c:pt idx="0">
                  <c:v>Asian</c:v>
                </c:pt>
                <c:pt idx="1">
                  <c:v>Black</c:v>
                </c:pt>
                <c:pt idx="2">
                  <c:v>Mixed</c:v>
                </c:pt>
                <c:pt idx="3">
                  <c:v>Other</c:v>
                </c:pt>
                <c:pt idx="4">
                  <c:v>White</c:v>
                </c:pt>
                <c:pt idx="5">
                  <c:v>White-Other</c:v>
                </c:pt>
                <c:pt idx="6">
                  <c:v>Unknown</c:v>
                </c:pt>
              </c:strCache>
            </c:strRef>
          </c:cat>
          <c:val>
            <c:numRef>
              <c:f>Ethnicity!$B$17:$H$17</c:f>
              <c:numCache>
                <c:formatCode>0.0%</c:formatCode>
                <c:ptCount val="7"/>
                <c:pt idx="0">
                  <c:v>9.6472444494533974E-2</c:v>
                </c:pt>
                <c:pt idx="1">
                  <c:v>2.930237800067621E-2</c:v>
                </c:pt>
                <c:pt idx="2">
                  <c:v>2.9978586723768737E-2</c:v>
                </c:pt>
                <c:pt idx="3">
                  <c:v>3.8656598670122846E-2</c:v>
                </c:pt>
                <c:pt idx="4">
                  <c:v>0.6508508959765581</c:v>
                </c:pt>
                <c:pt idx="5">
                  <c:v>0.12566212104136143</c:v>
                </c:pt>
                <c:pt idx="6">
                  <c:v>2.9076975092978699E-2</c:v>
                </c:pt>
              </c:numCache>
            </c:numRef>
          </c:val>
        </c:ser>
        <c:ser>
          <c:idx val="3"/>
          <c:order val="1"/>
          <c:tx>
            <c:strRef>
              <c:f>Ethnicity!$A$19</c:f>
              <c:strCache>
                <c:ptCount val="1"/>
                <c:pt idx="0">
                  <c:v>2020/21 (WSHT)</c:v>
                </c:pt>
              </c:strCache>
            </c:strRef>
          </c:tx>
          <c:spPr>
            <a:solidFill>
              <a:srgbClr val="009639"/>
            </a:solidFill>
            <a:ln w="28575">
              <a:noFill/>
            </a:ln>
          </c:spPr>
          <c:invertIfNegative val="0"/>
          <c:cat>
            <c:strRef>
              <c:f>Ethnicity!$B$15:$H$15</c:f>
              <c:strCache>
                <c:ptCount val="7"/>
                <c:pt idx="0">
                  <c:v>Asian</c:v>
                </c:pt>
                <c:pt idx="1">
                  <c:v>Black</c:v>
                </c:pt>
                <c:pt idx="2">
                  <c:v>Mixed</c:v>
                </c:pt>
                <c:pt idx="3">
                  <c:v>Other</c:v>
                </c:pt>
                <c:pt idx="4">
                  <c:v>White</c:v>
                </c:pt>
                <c:pt idx="5">
                  <c:v>White-Other</c:v>
                </c:pt>
                <c:pt idx="6">
                  <c:v>Unknown</c:v>
                </c:pt>
              </c:strCache>
            </c:strRef>
          </c:cat>
          <c:val>
            <c:numRef>
              <c:f>Ethnicity!$B$19:$H$19</c:f>
              <c:numCache>
                <c:formatCode>0.0%</c:formatCode>
                <c:ptCount val="7"/>
                <c:pt idx="0">
                  <c:v>0.11106677307794627</c:v>
                </c:pt>
                <c:pt idx="1">
                  <c:v>1.7690875232774673E-2</c:v>
                </c:pt>
                <c:pt idx="2">
                  <c:v>1.5030593242883746E-2</c:v>
                </c:pt>
                <c:pt idx="3">
                  <c:v>3.6844905559989358E-2</c:v>
                </c:pt>
                <c:pt idx="4">
                  <c:v>0.68409151370045229</c:v>
                </c:pt>
                <c:pt idx="5">
                  <c:v>8.2468741686618788E-2</c:v>
                </c:pt>
                <c:pt idx="6">
                  <c:v>5.2806597499334931E-2</c:v>
                </c:pt>
              </c:numCache>
            </c:numRef>
          </c:val>
        </c:ser>
        <c:dLbls>
          <c:showLegendKey val="0"/>
          <c:showVal val="0"/>
          <c:showCatName val="0"/>
          <c:showSerName val="0"/>
          <c:showPercent val="0"/>
          <c:showBubbleSize val="0"/>
        </c:dLbls>
        <c:gapWidth val="150"/>
        <c:axId val="638176768"/>
        <c:axId val="656675904"/>
      </c:barChart>
      <c:lineChart>
        <c:grouping val="standard"/>
        <c:varyColors val="0"/>
        <c:ser>
          <c:idx val="0"/>
          <c:order val="2"/>
          <c:tx>
            <c:strRef>
              <c:f>Ethnicity!$A$20</c:f>
              <c:strCache>
                <c:ptCount val="1"/>
                <c:pt idx="0">
                  <c:v>Census 2011 (SE England)</c:v>
                </c:pt>
              </c:strCache>
            </c:strRef>
          </c:tx>
          <c:spPr>
            <a:ln>
              <a:noFill/>
            </a:ln>
          </c:spPr>
          <c:marker>
            <c:symbol val="dash"/>
            <c:size val="19"/>
            <c:spPr>
              <a:solidFill>
                <a:srgbClr val="FFB81C"/>
              </a:solidFill>
              <a:ln>
                <a:solidFill>
                  <a:schemeClr val="bg1"/>
                </a:solidFill>
              </a:ln>
            </c:spPr>
          </c:marker>
          <c:cat>
            <c:strRef>
              <c:f>Ethnicity!$B$15:$H$15</c:f>
              <c:strCache>
                <c:ptCount val="7"/>
                <c:pt idx="0">
                  <c:v>Asian</c:v>
                </c:pt>
                <c:pt idx="1">
                  <c:v>Black</c:v>
                </c:pt>
                <c:pt idx="2">
                  <c:v>Mixed</c:v>
                </c:pt>
                <c:pt idx="3">
                  <c:v>Other</c:v>
                </c:pt>
                <c:pt idx="4">
                  <c:v>White</c:v>
                </c:pt>
                <c:pt idx="5">
                  <c:v>White-Other</c:v>
                </c:pt>
                <c:pt idx="6">
                  <c:v>Unknown</c:v>
                </c:pt>
              </c:strCache>
            </c:strRef>
          </c:cat>
          <c:val>
            <c:numRef>
              <c:f>Ethnicity!$B$20:$H$20</c:f>
              <c:numCache>
                <c:formatCode>0.0%</c:formatCode>
                <c:ptCount val="7"/>
                <c:pt idx="0">
                  <c:v>5.2400000000000002E-2</c:v>
                </c:pt>
                <c:pt idx="1">
                  <c:v>1.5800000000000002E-2</c:v>
                </c:pt>
                <c:pt idx="2">
                  <c:v>1.9400000000000001E-2</c:v>
                </c:pt>
                <c:pt idx="3">
                  <c:v>5.8999999999999999E-3</c:v>
                </c:pt>
                <c:pt idx="4">
                  <c:v>0.85229999999999995</c:v>
                </c:pt>
                <c:pt idx="5">
                  <c:v>5.4300000000000001E-2</c:v>
                </c:pt>
              </c:numCache>
            </c:numRef>
          </c:val>
          <c:smooth val="0"/>
        </c:ser>
        <c:dLbls>
          <c:showLegendKey val="0"/>
          <c:showVal val="0"/>
          <c:showCatName val="0"/>
          <c:showSerName val="0"/>
          <c:showPercent val="0"/>
          <c:showBubbleSize val="0"/>
        </c:dLbls>
        <c:marker val="1"/>
        <c:smooth val="0"/>
        <c:axId val="638176768"/>
        <c:axId val="656675904"/>
      </c:lineChart>
      <c:catAx>
        <c:axId val="638176768"/>
        <c:scaling>
          <c:orientation val="minMax"/>
        </c:scaling>
        <c:delete val="0"/>
        <c:axPos val="b"/>
        <c:majorTickMark val="out"/>
        <c:minorTickMark val="none"/>
        <c:tickLblPos val="nextTo"/>
        <c:crossAx val="656675904"/>
        <c:crosses val="autoZero"/>
        <c:auto val="1"/>
        <c:lblAlgn val="ctr"/>
        <c:lblOffset val="100"/>
        <c:noMultiLvlLbl val="0"/>
      </c:catAx>
      <c:valAx>
        <c:axId val="656675904"/>
        <c:scaling>
          <c:orientation val="minMax"/>
        </c:scaling>
        <c:delete val="0"/>
        <c:axPos val="l"/>
        <c:numFmt formatCode="0.0%" sourceLinked="1"/>
        <c:majorTickMark val="out"/>
        <c:minorTickMark val="none"/>
        <c:tickLblPos val="nextTo"/>
        <c:crossAx val="638176768"/>
        <c:crosses val="autoZero"/>
        <c:crossBetween val="between"/>
      </c:valAx>
    </c:plotArea>
    <c:legend>
      <c:legendPos val="r"/>
      <c:layout>
        <c:manualLayout>
          <c:xMode val="edge"/>
          <c:yMode val="edge"/>
          <c:x val="0.76723841874321153"/>
          <c:y val="0.28786574092031597"/>
          <c:w val="0.23276158125678856"/>
          <c:h val="0.1681106241030216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57961504811901E-2"/>
          <c:y val="5.1400554097404488E-2"/>
          <c:w val="0.89006736657917773"/>
          <c:h val="0.78102981918926806"/>
        </c:manualLayout>
      </c:layout>
      <c:barChart>
        <c:barDir val="col"/>
        <c:grouping val="clustered"/>
        <c:varyColors val="0"/>
        <c:ser>
          <c:idx val="0"/>
          <c:order val="0"/>
          <c:tx>
            <c:strRef>
              <c:f>'Ethnic Code'!$B$28</c:f>
              <c:strCache>
                <c:ptCount val="1"/>
                <c:pt idx="0">
                  <c:v>BSUH Applications</c:v>
                </c:pt>
              </c:strCache>
            </c:strRef>
          </c:tx>
          <c:invertIfNegative val="0"/>
          <c:cat>
            <c:strRef>
              <c:f>'Ethnic Code'!$A$29:$A$36</c:f>
              <c:strCache>
                <c:ptCount val="8"/>
                <c:pt idx="0">
                  <c:v>Asian</c:v>
                </c:pt>
                <c:pt idx="1">
                  <c:v>Black</c:v>
                </c:pt>
                <c:pt idx="2">
                  <c:v>Mixed</c:v>
                </c:pt>
                <c:pt idx="3">
                  <c:v>Other</c:v>
                </c:pt>
                <c:pt idx="4">
                  <c:v>White</c:v>
                </c:pt>
                <c:pt idx="5">
                  <c:v>White - Other</c:v>
                </c:pt>
                <c:pt idx="6">
                  <c:v>Prefer not to say</c:v>
                </c:pt>
                <c:pt idx="7">
                  <c:v>Unknown</c:v>
                </c:pt>
              </c:strCache>
            </c:strRef>
          </c:cat>
          <c:val>
            <c:numRef>
              <c:f>'Ethnic Code'!$B$29:$B$36</c:f>
              <c:numCache>
                <c:formatCode>0.0%</c:formatCode>
                <c:ptCount val="8"/>
                <c:pt idx="0">
                  <c:v>0.15106627075178836</c:v>
                </c:pt>
                <c:pt idx="1">
                  <c:v>0.18106357133216358</c:v>
                </c:pt>
                <c:pt idx="2">
                  <c:v>4.7374814414900795E-2</c:v>
                </c:pt>
                <c:pt idx="3">
                  <c:v>4.808341206640572E-2</c:v>
                </c:pt>
                <c:pt idx="4">
                  <c:v>0.41162775003374275</c:v>
                </c:pt>
                <c:pt idx="5">
                  <c:v>0.11836955054663248</c:v>
                </c:pt>
                <c:pt idx="6">
                  <c:v>2.0448103657713591E-2</c:v>
                </c:pt>
                <c:pt idx="7">
                  <c:v>2.1966527196652718E-2</c:v>
                </c:pt>
              </c:numCache>
            </c:numRef>
          </c:val>
        </c:ser>
        <c:ser>
          <c:idx val="1"/>
          <c:order val="1"/>
          <c:tx>
            <c:strRef>
              <c:f>'Ethnic Code'!$C$28</c:f>
              <c:strCache>
                <c:ptCount val="1"/>
                <c:pt idx="0">
                  <c:v>BSUH Shortlisted</c:v>
                </c:pt>
              </c:strCache>
            </c:strRef>
          </c:tx>
          <c:invertIfNegative val="0"/>
          <c:cat>
            <c:strRef>
              <c:f>'Ethnic Code'!$A$29:$A$36</c:f>
              <c:strCache>
                <c:ptCount val="8"/>
                <c:pt idx="0">
                  <c:v>Asian</c:v>
                </c:pt>
                <c:pt idx="1">
                  <c:v>Black</c:v>
                </c:pt>
                <c:pt idx="2">
                  <c:v>Mixed</c:v>
                </c:pt>
                <c:pt idx="3">
                  <c:v>Other</c:v>
                </c:pt>
                <c:pt idx="4">
                  <c:v>White</c:v>
                </c:pt>
                <c:pt idx="5">
                  <c:v>White - Other</c:v>
                </c:pt>
                <c:pt idx="6">
                  <c:v>Prefer not to say</c:v>
                </c:pt>
                <c:pt idx="7">
                  <c:v>Unknown</c:v>
                </c:pt>
              </c:strCache>
            </c:strRef>
          </c:cat>
          <c:val>
            <c:numRef>
              <c:f>'Ethnic Code'!$C$29:$C$36</c:f>
              <c:numCache>
                <c:formatCode>0.0%</c:formatCode>
                <c:ptCount val="8"/>
                <c:pt idx="0">
                  <c:v>8.411320329236667E-2</c:v>
                </c:pt>
                <c:pt idx="1">
                  <c:v>0.1013643026271282</c:v>
                </c:pt>
                <c:pt idx="2">
                  <c:v>3.5291464652159203E-2</c:v>
                </c:pt>
                <c:pt idx="3">
                  <c:v>3.1683391588679673E-2</c:v>
                </c:pt>
                <c:pt idx="4">
                  <c:v>0.53331829969556888</c:v>
                </c:pt>
                <c:pt idx="5">
                  <c:v>0.12673356635471869</c:v>
                </c:pt>
                <c:pt idx="6">
                  <c:v>1.4883301386853084E-2</c:v>
                </c:pt>
                <c:pt idx="7">
                  <c:v>7.261247040252565E-2</c:v>
                </c:pt>
              </c:numCache>
            </c:numRef>
          </c:val>
        </c:ser>
        <c:ser>
          <c:idx val="2"/>
          <c:order val="2"/>
          <c:tx>
            <c:strRef>
              <c:f>'Ethnic Code'!$D$28</c:f>
              <c:strCache>
                <c:ptCount val="1"/>
                <c:pt idx="0">
                  <c:v>BSUH Appointed</c:v>
                </c:pt>
              </c:strCache>
            </c:strRef>
          </c:tx>
          <c:invertIfNegative val="0"/>
          <c:cat>
            <c:strRef>
              <c:f>'Ethnic Code'!$A$29:$A$36</c:f>
              <c:strCache>
                <c:ptCount val="8"/>
                <c:pt idx="0">
                  <c:v>Asian</c:v>
                </c:pt>
                <c:pt idx="1">
                  <c:v>Black</c:v>
                </c:pt>
                <c:pt idx="2">
                  <c:v>Mixed</c:v>
                </c:pt>
                <c:pt idx="3">
                  <c:v>Other</c:v>
                </c:pt>
                <c:pt idx="4">
                  <c:v>White</c:v>
                </c:pt>
                <c:pt idx="5">
                  <c:v>White - Other</c:v>
                </c:pt>
                <c:pt idx="6">
                  <c:v>Prefer not to say</c:v>
                </c:pt>
                <c:pt idx="7">
                  <c:v>Unknown</c:v>
                </c:pt>
              </c:strCache>
            </c:strRef>
          </c:cat>
          <c:val>
            <c:numRef>
              <c:f>'Ethnic Code'!$D$29:$D$36</c:f>
              <c:numCache>
                <c:formatCode>0.0%</c:formatCode>
                <c:ptCount val="8"/>
                <c:pt idx="0">
                  <c:v>4.4191919191919192E-2</c:v>
                </c:pt>
                <c:pt idx="1">
                  <c:v>5.6818181818181816E-2</c:v>
                </c:pt>
                <c:pt idx="2">
                  <c:v>2.5883838383838384E-2</c:v>
                </c:pt>
                <c:pt idx="3">
                  <c:v>1.9570707070707072E-2</c:v>
                </c:pt>
                <c:pt idx="4">
                  <c:v>0.50505050505050508</c:v>
                </c:pt>
                <c:pt idx="5">
                  <c:v>0.11426767676767677</c:v>
                </c:pt>
                <c:pt idx="6">
                  <c:v>6.9444444444444441E-3</c:v>
                </c:pt>
                <c:pt idx="7">
                  <c:v>0.22727272727272727</c:v>
                </c:pt>
              </c:numCache>
            </c:numRef>
          </c:val>
        </c:ser>
        <c:dLbls>
          <c:showLegendKey val="0"/>
          <c:showVal val="0"/>
          <c:showCatName val="0"/>
          <c:showSerName val="0"/>
          <c:showPercent val="0"/>
          <c:showBubbleSize val="0"/>
        </c:dLbls>
        <c:gapWidth val="150"/>
        <c:axId val="680779776"/>
        <c:axId val="656677632"/>
      </c:barChart>
      <c:scatterChart>
        <c:scatterStyle val="lineMarker"/>
        <c:varyColors val="0"/>
        <c:ser>
          <c:idx val="3"/>
          <c:order val="3"/>
          <c:tx>
            <c:strRef>
              <c:f>'Ethnic Code'!$E$28</c:f>
              <c:strCache>
                <c:ptCount val="1"/>
                <c:pt idx="0">
                  <c:v>BSUH Workforce</c:v>
                </c:pt>
              </c:strCache>
            </c:strRef>
          </c:tx>
          <c:spPr>
            <a:ln w="28575">
              <a:noFill/>
            </a:ln>
          </c:spPr>
          <c:marker>
            <c:symbol val="circle"/>
            <c:size val="5"/>
            <c:spPr>
              <a:solidFill>
                <a:schemeClr val="accent4"/>
              </a:solidFill>
              <a:ln w="15875">
                <a:solidFill>
                  <a:schemeClr val="bg1"/>
                </a:solidFill>
              </a:ln>
            </c:spPr>
          </c:marker>
          <c:xVal>
            <c:strRef>
              <c:f>'Ethnic Code'!$A$29:$A$36</c:f>
              <c:strCache>
                <c:ptCount val="8"/>
                <c:pt idx="0">
                  <c:v>Asian</c:v>
                </c:pt>
                <c:pt idx="1">
                  <c:v>Black</c:v>
                </c:pt>
                <c:pt idx="2">
                  <c:v>Mixed</c:v>
                </c:pt>
                <c:pt idx="3">
                  <c:v>Other</c:v>
                </c:pt>
                <c:pt idx="4">
                  <c:v>White</c:v>
                </c:pt>
                <c:pt idx="5">
                  <c:v>White - Other</c:v>
                </c:pt>
                <c:pt idx="6">
                  <c:v>Prefer not to say</c:v>
                </c:pt>
                <c:pt idx="7">
                  <c:v>Unknown</c:v>
                </c:pt>
              </c:strCache>
            </c:strRef>
          </c:xVal>
          <c:yVal>
            <c:numRef>
              <c:f>'Ethnic Code'!$E$29:$E$36</c:f>
              <c:numCache>
                <c:formatCode>0.0%</c:formatCode>
                <c:ptCount val="8"/>
                <c:pt idx="0">
                  <c:v>9.6472444494533974E-2</c:v>
                </c:pt>
                <c:pt idx="1">
                  <c:v>2.930237800067621E-2</c:v>
                </c:pt>
                <c:pt idx="2">
                  <c:v>2.9978586723768737E-2</c:v>
                </c:pt>
                <c:pt idx="3">
                  <c:v>3.8656598670122846E-2</c:v>
                </c:pt>
                <c:pt idx="4">
                  <c:v>0.6508508959765581</c:v>
                </c:pt>
                <c:pt idx="5">
                  <c:v>0.12566212104136143</c:v>
                </c:pt>
                <c:pt idx="6">
                  <c:v>0</c:v>
                </c:pt>
                <c:pt idx="7">
                  <c:v>2.9076975092978699E-2</c:v>
                </c:pt>
              </c:numCache>
            </c:numRef>
          </c:yVal>
          <c:smooth val="0"/>
        </c:ser>
        <c:dLbls>
          <c:showLegendKey val="0"/>
          <c:showVal val="0"/>
          <c:showCatName val="0"/>
          <c:showSerName val="0"/>
          <c:showPercent val="0"/>
          <c:showBubbleSize val="0"/>
        </c:dLbls>
        <c:axId val="680779776"/>
        <c:axId val="656677632"/>
      </c:scatterChart>
      <c:catAx>
        <c:axId val="680779776"/>
        <c:scaling>
          <c:orientation val="minMax"/>
        </c:scaling>
        <c:delete val="0"/>
        <c:axPos val="b"/>
        <c:majorTickMark val="out"/>
        <c:minorTickMark val="none"/>
        <c:tickLblPos val="nextTo"/>
        <c:crossAx val="656677632"/>
        <c:crosses val="autoZero"/>
        <c:auto val="1"/>
        <c:lblAlgn val="ctr"/>
        <c:lblOffset val="100"/>
        <c:noMultiLvlLbl val="0"/>
      </c:catAx>
      <c:valAx>
        <c:axId val="656677632"/>
        <c:scaling>
          <c:orientation val="minMax"/>
        </c:scaling>
        <c:delete val="0"/>
        <c:axPos val="l"/>
        <c:numFmt formatCode="0.0%" sourceLinked="1"/>
        <c:majorTickMark val="out"/>
        <c:minorTickMark val="none"/>
        <c:tickLblPos val="nextTo"/>
        <c:spPr>
          <a:ln>
            <a:noFill/>
          </a:ln>
        </c:spPr>
        <c:crossAx val="680779776"/>
        <c:crosses val="autoZero"/>
        <c:crossBetween val="between"/>
      </c:valAx>
    </c:plotArea>
    <c:legend>
      <c:legendPos val="r"/>
      <c:layout>
        <c:manualLayout>
          <c:xMode val="edge"/>
          <c:yMode val="edge"/>
          <c:x val="0.72245866141732296"/>
          <c:y val="4.0898950131233604E-2"/>
          <c:w val="0.21844302545623778"/>
          <c:h val="0.3159857101195683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57961504811901E-2"/>
          <c:y val="5.1400554097404488E-2"/>
          <c:w val="0.89006736657917773"/>
          <c:h val="0.78102981918926806"/>
        </c:manualLayout>
      </c:layout>
      <c:barChart>
        <c:barDir val="col"/>
        <c:grouping val="clustered"/>
        <c:varyColors val="0"/>
        <c:ser>
          <c:idx val="0"/>
          <c:order val="0"/>
          <c:tx>
            <c:strRef>
              <c:f>'Ethnic Code'!$B$44</c:f>
              <c:strCache>
                <c:ptCount val="1"/>
                <c:pt idx="0">
                  <c:v>WSHT Applications</c:v>
                </c:pt>
              </c:strCache>
            </c:strRef>
          </c:tx>
          <c:invertIfNegative val="0"/>
          <c:cat>
            <c:strRef>
              <c:f>'Ethnic Code'!$A$45:$A$52</c:f>
              <c:strCache>
                <c:ptCount val="8"/>
                <c:pt idx="0">
                  <c:v>Asian</c:v>
                </c:pt>
                <c:pt idx="1">
                  <c:v>Black</c:v>
                </c:pt>
                <c:pt idx="2">
                  <c:v>Mixed</c:v>
                </c:pt>
                <c:pt idx="3">
                  <c:v>Other</c:v>
                </c:pt>
                <c:pt idx="4">
                  <c:v>White</c:v>
                </c:pt>
                <c:pt idx="5">
                  <c:v>White - Other</c:v>
                </c:pt>
                <c:pt idx="6">
                  <c:v>Prefer not to say</c:v>
                </c:pt>
                <c:pt idx="7">
                  <c:v>Unknown</c:v>
                </c:pt>
              </c:strCache>
            </c:strRef>
          </c:cat>
          <c:val>
            <c:numRef>
              <c:f>'Ethnic Code'!$B$45:$B$52</c:f>
              <c:numCache>
                <c:formatCode>0.0%</c:formatCode>
                <c:ptCount val="8"/>
                <c:pt idx="0">
                  <c:v>0.1903654163031889</c:v>
                </c:pt>
                <c:pt idx="1">
                  <c:v>0.17917030144421828</c:v>
                </c:pt>
                <c:pt idx="2">
                  <c:v>3.6250848114762042E-2</c:v>
                </c:pt>
                <c:pt idx="3">
                  <c:v>5.0305321314335565E-2</c:v>
                </c:pt>
                <c:pt idx="4">
                  <c:v>0.45129398080837452</c:v>
                </c:pt>
                <c:pt idx="5">
                  <c:v>7.3519433943975962E-2</c:v>
                </c:pt>
                <c:pt idx="6">
                  <c:v>1.5072210914025394E-2</c:v>
                </c:pt>
                <c:pt idx="7">
                  <c:v>4.0224871571193175E-3</c:v>
                </c:pt>
              </c:numCache>
            </c:numRef>
          </c:val>
        </c:ser>
        <c:ser>
          <c:idx val="1"/>
          <c:order val="1"/>
          <c:tx>
            <c:strRef>
              <c:f>'Ethnic Code'!$C$44</c:f>
              <c:strCache>
                <c:ptCount val="1"/>
                <c:pt idx="0">
                  <c:v>WSHT Shortlisted</c:v>
                </c:pt>
              </c:strCache>
            </c:strRef>
          </c:tx>
          <c:invertIfNegative val="0"/>
          <c:cat>
            <c:strRef>
              <c:f>'Ethnic Code'!$A$45:$A$52</c:f>
              <c:strCache>
                <c:ptCount val="8"/>
                <c:pt idx="0">
                  <c:v>Asian</c:v>
                </c:pt>
                <c:pt idx="1">
                  <c:v>Black</c:v>
                </c:pt>
                <c:pt idx="2">
                  <c:v>Mixed</c:v>
                </c:pt>
                <c:pt idx="3">
                  <c:v>Other</c:v>
                </c:pt>
                <c:pt idx="4">
                  <c:v>White</c:v>
                </c:pt>
                <c:pt idx="5">
                  <c:v>White - Other</c:v>
                </c:pt>
                <c:pt idx="6">
                  <c:v>Prefer not to say</c:v>
                </c:pt>
                <c:pt idx="7">
                  <c:v>Unknown</c:v>
                </c:pt>
              </c:strCache>
            </c:strRef>
          </c:cat>
          <c:val>
            <c:numRef>
              <c:f>'Ethnic Code'!$C$45:$C$52</c:f>
              <c:numCache>
                <c:formatCode>0.0%</c:formatCode>
                <c:ptCount val="8"/>
                <c:pt idx="0">
                  <c:v>0.12180052956751986</c:v>
                </c:pt>
                <c:pt idx="1">
                  <c:v>3.795233892321271E-2</c:v>
                </c:pt>
                <c:pt idx="2">
                  <c:v>1.8005295675198589E-2</c:v>
                </c:pt>
                <c:pt idx="3">
                  <c:v>2.2065313327449251E-2</c:v>
                </c:pt>
                <c:pt idx="4">
                  <c:v>0.6956751985878199</c:v>
                </c:pt>
                <c:pt idx="5">
                  <c:v>7.6081200353045011E-2</c:v>
                </c:pt>
                <c:pt idx="6">
                  <c:v>1.3768755516328331E-2</c:v>
                </c:pt>
                <c:pt idx="7">
                  <c:v>1.4651368049426301E-2</c:v>
                </c:pt>
              </c:numCache>
            </c:numRef>
          </c:val>
        </c:ser>
        <c:ser>
          <c:idx val="2"/>
          <c:order val="2"/>
          <c:tx>
            <c:strRef>
              <c:f>'Ethnic Code'!$D$44</c:f>
              <c:strCache>
                <c:ptCount val="1"/>
                <c:pt idx="0">
                  <c:v>WSHT Appointed</c:v>
                </c:pt>
              </c:strCache>
            </c:strRef>
          </c:tx>
          <c:invertIfNegative val="0"/>
          <c:cat>
            <c:strRef>
              <c:f>'Ethnic Code'!$A$45:$A$52</c:f>
              <c:strCache>
                <c:ptCount val="8"/>
                <c:pt idx="0">
                  <c:v>Asian</c:v>
                </c:pt>
                <c:pt idx="1">
                  <c:v>Black</c:v>
                </c:pt>
                <c:pt idx="2">
                  <c:v>Mixed</c:v>
                </c:pt>
                <c:pt idx="3">
                  <c:v>Other</c:v>
                </c:pt>
                <c:pt idx="4">
                  <c:v>White</c:v>
                </c:pt>
                <c:pt idx="5">
                  <c:v>White - Other</c:v>
                </c:pt>
                <c:pt idx="6">
                  <c:v>Prefer not to say</c:v>
                </c:pt>
                <c:pt idx="7">
                  <c:v>Unknown</c:v>
                </c:pt>
              </c:strCache>
            </c:strRef>
          </c:cat>
          <c:val>
            <c:numRef>
              <c:f>'Ethnic Code'!$D$45:$D$52</c:f>
              <c:numCache>
                <c:formatCode>0.0%</c:formatCode>
                <c:ptCount val="8"/>
                <c:pt idx="0">
                  <c:v>8.2289803220035776E-2</c:v>
                </c:pt>
                <c:pt idx="1">
                  <c:v>3.041144901610018E-2</c:v>
                </c:pt>
                <c:pt idx="2">
                  <c:v>1.2522361359570662E-2</c:v>
                </c:pt>
                <c:pt idx="3">
                  <c:v>1.0733452593917709E-2</c:v>
                </c:pt>
                <c:pt idx="4">
                  <c:v>0.74239713774597493</c:v>
                </c:pt>
                <c:pt idx="5">
                  <c:v>7.3345259391771014E-2</c:v>
                </c:pt>
                <c:pt idx="6">
                  <c:v>8.9445438282647581E-3</c:v>
                </c:pt>
                <c:pt idx="7">
                  <c:v>3.9355992844364938E-2</c:v>
                </c:pt>
              </c:numCache>
            </c:numRef>
          </c:val>
        </c:ser>
        <c:dLbls>
          <c:showLegendKey val="0"/>
          <c:showVal val="0"/>
          <c:showCatName val="0"/>
          <c:showSerName val="0"/>
          <c:showPercent val="0"/>
          <c:showBubbleSize val="0"/>
        </c:dLbls>
        <c:gapWidth val="150"/>
        <c:axId val="680781824"/>
        <c:axId val="683508864"/>
      </c:barChart>
      <c:scatterChart>
        <c:scatterStyle val="lineMarker"/>
        <c:varyColors val="0"/>
        <c:ser>
          <c:idx val="3"/>
          <c:order val="3"/>
          <c:tx>
            <c:strRef>
              <c:f>'Ethnic Code'!$E$44</c:f>
              <c:strCache>
                <c:ptCount val="1"/>
                <c:pt idx="0">
                  <c:v>WSHT Workforce</c:v>
                </c:pt>
              </c:strCache>
            </c:strRef>
          </c:tx>
          <c:spPr>
            <a:ln w="28575">
              <a:noFill/>
            </a:ln>
          </c:spPr>
          <c:marker>
            <c:symbol val="circle"/>
            <c:size val="5"/>
            <c:spPr>
              <a:solidFill>
                <a:schemeClr val="accent4"/>
              </a:solidFill>
              <a:ln w="15875">
                <a:solidFill>
                  <a:schemeClr val="bg1"/>
                </a:solidFill>
              </a:ln>
            </c:spPr>
          </c:marker>
          <c:xVal>
            <c:strRef>
              <c:f>'Ethnic Code'!$A$45:$A$52</c:f>
              <c:strCache>
                <c:ptCount val="8"/>
                <c:pt idx="0">
                  <c:v>Asian</c:v>
                </c:pt>
                <c:pt idx="1">
                  <c:v>Black</c:v>
                </c:pt>
                <c:pt idx="2">
                  <c:v>Mixed</c:v>
                </c:pt>
                <c:pt idx="3">
                  <c:v>Other</c:v>
                </c:pt>
                <c:pt idx="4">
                  <c:v>White</c:v>
                </c:pt>
                <c:pt idx="5">
                  <c:v>White - Other</c:v>
                </c:pt>
                <c:pt idx="6">
                  <c:v>Prefer not to say</c:v>
                </c:pt>
                <c:pt idx="7">
                  <c:v>Unknown</c:v>
                </c:pt>
              </c:strCache>
            </c:strRef>
          </c:xVal>
          <c:yVal>
            <c:numRef>
              <c:f>'Ethnic Code'!$E$45:$E$52</c:f>
              <c:numCache>
                <c:formatCode>0.0%</c:formatCode>
                <c:ptCount val="8"/>
                <c:pt idx="0">
                  <c:v>0.11106677307794627</c:v>
                </c:pt>
                <c:pt idx="1">
                  <c:v>1.7690875232774673E-2</c:v>
                </c:pt>
                <c:pt idx="2">
                  <c:v>1.5030593242883746E-2</c:v>
                </c:pt>
                <c:pt idx="3">
                  <c:v>3.6844905559989358E-2</c:v>
                </c:pt>
                <c:pt idx="4">
                  <c:v>0.68409151370045229</c:v>
                </c:pt>
                <c:pt idx="5">
                  <c:v>8.2468741686618788E-2</c:v>
                </c:pt>
                <c:pt idx="6">
                  <c:v>0</c:v>
                </c:pt>
                <c:pt idx="7">
                  <c:v>5.2806597499334931E-2</c:v>
                </c:pt>
              </c:numCache>
            </c:numRef>
          </c:yVal>
          <c:smooth val="0"/>
        </c:ser>
        <c:dLbls>
          <c:showLegendKey val="0"/>
          <c:showVal val="0"/>
          <c:showCatName val="0"/>
          <c:showSerName val="0"/>
          <c:showPercent val="0"/>
          <c:showBubbleSize val="0"/>
        </c:dLbls>
        <c:axId val="680781824"/>
        <c:axId val="683508864"/>
      </c:scatterChart>
      <c:catAx>
        <c:axId val="680781824"/>
        <c:scaling>
          <c:orientation val="minMax"/>
        </c:scaling>
        <c:delete val="0"/>
        <c:axPos val="b"/>
        <c:majorTickMark val="out"/>
        <c:minorTickMark val="none"/>
        <c:tickLblPos val="nextTo"/>
        <c:crossAx val="683508864"/>
        <c:crosses val="autoZero"/>
        <c:auto val="1"/>
        <c:lblAlgn val="ctr"/>
        <c:lblOffset val="100"/>
        <c:noMultiLvlLbl val="0"/>
      </c:catAx>
      <c:valAx>
        <c:axId val="683508864"/>
        <c:scaling>
          <c:orientation val="minMax"/>
        </c:scaling>
        <c:delete val="0"/>
        <c:axPos val="l"/>
        <c:numFmt formatCode="0.0%" sourceLinked="1"/>
        <c:majorTickMark val="out"/>
        <c:minorTickMark val="none"/>
        <c:tickLblPos val="nextTo"/>
        <c:spPr>
          <a:ln>
            <a:noFill/>
          </a:ln>
        </c:spPr>
        <c:crossAx val="680781824"/>
        <c:crosses val="autoZero"/>
        <c:crossBetween val="between"/>
      </c:valAx>
    </c:plotArea>
    <c:legend>
      <c:legendPos val="r"/>
      <c:layout>
        <c:manualLayout>
          <c:xMode val="edge"/>
          <c:yMode val="edge"/>
          <c:x val="0.72245866141732296"/>
          <c:y val="4.0898950131233604E-2"/>
          <c:w val="0.21844302545623778"/>
          <c:h val="0.3159857101195683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'B Ethnic'!$A$28</c:f>
              <c:strCache>
                <c:ptCount val="1"/>
                <c:pt idx="0">
                  <c:v>Asian</c:v>
                </c:pt>
              </c:strCache>
            </c:strRef>
          </c:tx>
          <c:invertIfNegative val="0"/>
          <c:cat>
            <c:strRef>
              <c:f>'B Ethnic'!$B$27</c:f>
              <c:strCache>
                <c:ptCount val="1"/>
                <c:pt idx="0">
                  <c:v>No. of staff attending training</c:v>
                </c:pt>
              </c:strCache>
            </c:strRef>
          </c:cat>
          <c:val>
            <c:numRef>
              <c:f>'B Ethnic'!$B$28</c:f>
              <c:numCache>
                <c:formatCode>General</c:formatCode>
                <c:ptCount val="1"/>
                <c:pt idx="0">
                  <c:v>39</c:v>
                </c:pt>
              </c:numCache>
            </c:numRef>
          </c:val>
        </c:ser>
        <c:ser>
          <c:idx val="1"/>
          <c:order val="1"/>
          <c:tx>
            <c:strRef>
              <c:f>'B Ethnic'!$A$29</c:f>
              <c:strCache>
                <c:ptCount val="1"/>
                <c:pt idx="0">
                  <c:v>Black</c:v>
                </c:pt>
              </c:strCache>
            </c:strRef>
          </c:tx>
          <c:invertIfNegative val="0"/>
          <c:cat>
            <c:strRef>
              <c:f>'B Ethnic'!$B$27</c:f>
              <c:strCache>
                <c:ptCount val="1"/>
                <c:pt idx="0">
                  <c:v>No. of staff attending training</c:v>
                </c:pt>
              </c:strCache>
            </c:strRef>
          </c:cat>
          <c:val>
            <c:numRef>
              <c:f>'B Ethnic'!$B$29</c:f>
              <c:numCache>
                <c:formatCode>General</c:formatCode>
                <c:ptCount val="1"/>
                <c:pt idx="0">
                  <c:v>4</c:v>
                </c:pt>
              </c:numCache>
            </c:numRef>
          </c:val>
        </c:ser>
        <c:ser>
          <c:idx val="2"/>
          <c:order val="2"/>
          <c:tx>
            <c:strRef>
              <c:f>'B Ethnic'!$A$30</c:f>
              <c:strCache>
                <c:ptCount val="1"/>
                <c:pt idx="0">
                  <c:v>Mixed</c:v>
                </c:pt>
              </c:strCache>
            </c:strRef>
          </c:tx>
          <c:invertIfNegative val="0"/>
          <c:cat>
            <c:strRef>
              <c:f>'B Ethnic'!$B$27</c:f>
              <c:strCache>
                <c:ptCount val="1"/>
                <c:pt idx="0">
                  <c:v>No. of staff attending training</c:v>
                </c:pt>
              </c:strCache>
            </c:strRef>
          </c:cat>
          <c:val>
            <c:numRef>
              <c:f>'B Ethnic'!$B$30</c:f>
              <c:numCache>
                <c:formatCode>General</c:formatCode>
                <c:ptCount val="1"/>
                <c:pt idx="0">
                  <c:v>9</c:v>
                </c:pt>
              </c:numCache>
            </c:numRef>
          </c:val>
        </c:ser>
        <c:ser>
          <c:idx val="3"/>
          <c:order val="3"/>
          <c:tx>
            <c:strRef>
              <c:f>'B Ethnic'!$A$31</c:f>
              <c:strCache>
                <c:ptCount val="1"/>
                <c:pt idx="0">
                  <c:v>Other</c:v>
                </c:pt>
              </c:strCache>
            </c:strRef>
          </c:tx>
          <c:invertIfNegative val="0"/>
          <c:cat>
            <c:strRef>
              <c:f>'B Ethnic'!$B$27</c:f>
              <c:strCache>
                <c:ptCount val="1"/>
                <c:pt idx="0">
                  <c:v>No. of staff attending training</c:v>
                </c:pt>
              </c:strCache>
            </c:strRef>
          </c:cat>
          <c:val>
            <c:numRef>
              <c:f>'B Ethnic'!$B$31</c:f>
              <c:numCache>
                <c:formatCode>General</c:formatCode>
                <c:ptCount val="1"/>
                <c:pt idx="0">
                  <c:v>18</c:v>
                </c:pt>
              </c:numCache>
            </c:numRef>
          </c:val>
        </c:ser>
        <c:ser>
          <c:idx val="4"/>
          <c:order val="4"/>
          <c:tx>
            <c:strRef>
              <c:f>'B Ethnic'!$A$32</c:f>
              <c:strCache>
                <c:ptCount val="1"/>
                <c:pt idx="0">
                  <c:v>White</c:v>
                </c:pt>
              </c:strCache>
            </c:strRef>
          </c:tx>
          <c:invertIfNegative val="0"/>
          <c:cat>
            <c:strRef>
              <c:f>'B Ethnic'!$B$27</c:f>
              <c:strCache>
                <c:ptCount val="1"/>
                <c:pt idx="0">
                  <c:v>No. of staff attending training</c:v>
                </c:pt>
              </c:strCache>
            </c:strRef>
          </c:cat>
          <c:val>
            <c:numRef>
              <c:f>'B Ethnic'!$B$32</c:f>
              <c:numCache>
                <c:formatCode>General</c:formatCode>
                <c:ptCount val="1"/>
                <c:pt idx="0">
                  <c:v>232</c:v>
                </c:pt>
              </c:numCache>
            </c:numRef>
          </c:val>
        </c:ser>
        <c:ser>
          <c:idx val="5"/>
          <c:order val="5"/>
          <c:tx>
            <c:strRef>
              <c:f>'B Ethnic'!$A$33</c:f>
              <c:strCache>
                <c:ptCount val="1"/>
                <c:pt idx="0">
                  <c:v>White - Other</c:v>
                </c:pt>
              </c:strCache>
            </c:strRef>
          </c:tx>
          <c:invertIfNegative val="0"/>
          <c:cat>
            <c:strRef>
              <c:f>'B Ethnic'!$B$27</c:f>
              <c:strCache>
                <c:ptCount val="1"/>
                <c:pt idx="0">
                  <c:v>No. of staff attending training</c:v>
                </c:pt>
              </c:strCache>
            </c:strRef>
          </c:cat>
          <c:val>
            <c:numRef>
              <c:f>'B Ethnic'!$B$33</c:f>
              <c:numCache>
                <c:formatCode>General</c:formatCode>
                <c:ptCount val="1"/>
                <c:pt idx="0">
                  <c:v>29</c:v>
                </c:pt>
              </c:numCache>
            </c:numRef>
          </c:val>
        </c:ser>
        <c:ser>
          <c:idx val="6"/>
          <c:order val="6"/>
          <c:tx>
            <c:strRef>
              <c:f>'B Ethnic'!$A$34</c:f>
              <c:strCache>
                <c:ptCount val="1"/>
                <c:pt idx="0">
                  <c:v>Prefer not to say</c:v>
                </c:pt>
              </c:strCache>
            </c:strRef>
          </c:tx>
          <c:invertIfNegative val="0"/>
          <c:cat>
            <c:strRef>
              <c:f>'B Ethnic'!$B$27</c:f>
              <c:strCache>
                <c:ptCount val="1"/>
                <c:pt idx="0">
                  <c:v>No. of staff attending training</c:v>
                </c:pt>
              </c:strCache>
            </c:strRef>
          </c:cat>
          <c:val>
            <c:numRef>
              <c:f>'B Ethnic'!$B$34</c:f>
              <c:numCache>
                <c:formatCode>General</c:formatCode>
                <c:ptCount val="1"/>
                <c:pt idx="0">
                  <c:v>3</c:v>
                </c:pt>
              </c:numCache>
            </c:numRef>
          </c:val>
        </c:ser>
        <c:ser>
          <c:idx val="7"/>
          <c:order val="7"/>
          <c:tx>
            <c:strRef>
              <c:f>'B Ethnic'!$A$35</c:f>
              <c:strCache>
                <c:ptCount val="1"/>
                <c:pt idx="0">
                  <c:v>Unknown</c:v>
                </c:pt>
              </c:strCache>
            </c:strRef>
          </c:tx>
          <c:invertIfNegative val="0"/>
          <c:cat>
            <c:strRef>
              <c:f>'B Ethnic'!$B$27</c:f>
              <c:strCache>
                <c:ptCount val="1"/>
                <c:pt idx="0">
                  <c:v>No. of staff attending training</c:v>
                </c:pt>
              </c:strCache>
            </c:strRef>
          </c:cat>
          <c:val>
            <c:numRef>
              <c:f>'B Ethnic'!$B$35</c:f>
              <c:numCache>
                <c:formatCode>General</c:formatCode>
                <c:ptCount val="1"/>
              </c:numCache>
            </c:numRef>
          </c:val>
        </c:ser>
        <c:dLbls>
          <c:showLegendKey val="0"/>
          <c:showVal val="0"/>
          <c:showCatName val="0"/>
          <c:showSerName val="0"/>
          <c:showPercent val="0"/>
          <c:showBubbleSize val="0"/>
        </c:dLbls>
        <c:gapWidth val="100"/>
        <c:overlap val="100"/>
        <c:axId val="650974208"/>
        <c:axId val="683510592"/>
      </c:barChart>
      <c:valAx>
        <c:axId val="683510592"/>
        <c:scaling>
          <c:orientation val="minMax"/>
        </c:scaling>
        <c:delete val="0"/>
        <c:axPos val="b"/>
        <c:numFmt formatCode="0%" sourceLinked="1"/>
        <c:majorTickMark val="out"/>
        <c:minorTickMark val="none"/>
        <c:tickLblPos val="nextTo"/>
        <c:spPr>
          <a:ln>
            <a:noFill/>
          </a:ln>
        </c:spPr>
        <c:crossAx val="650974208"/>
        <c:crosses val="autoZero"/>
        <c:crossBetween val="between"/>
      </c:valAx>
      <c:catAx>
        <c:axId val="650974208"/>
        <c:scaling>
          <c:orientation val="minMax"/>
        </c:scaling>
        <c:delete val="1"/>
        <c:axPos val="l"/>
        <c:majorTickMark val="out"/>
        <c:minorTickMark val="none"/>
        <c:tickLblPos val="nextTo"/>
        <c:crossAx val="683510592"/>
        <c:crosses val="autoZero"/>
        <c:auto val="1"/>
        <c:lblAlgn val="ctr"/>
        <c:lblOffset val="100"/>
        <c:noMultiLvlLbl val="0"/>
      </c:catAx>
    </c:plotArea>
    <c:legend>
      <c:legendPos val="r"/>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 Ethnic'!$A$12</c:f>
              <c:strCache>
                <c:ptCount val="1"/>
                <c:pt idx="0">
                  <c:v>Asian</c:v>
                </c:pt>
              </c:strCache>
            </c:strRef>
          </c:tx>
          <c:invertIfNegative val="0"/>
          <c:cat>
            <c:strRef>
              <c:f>'W Ethnic'!$B$11</c:f>
              <c:strCache>
                <c:ptCount val="1"/>
                <c:pt idx="0">
                  <c:v>No. of staff attending training</c:v>
                </c:pt>
              </c:strCache>
            </c:strRef>
          </c:cat>
          <c:val>
            <c:numRef>
              <c:f>'W Ethnic'!$B$12</c:f>
              <c:numCache>
                <c:formatCode>General</c:formatCode>
                <c:ptCount val="1"/>
                <c:pt idx="0">
                  <c:v>375</c:v>
                </c:pt>
              </c:numCache>
            </c:numRef>
          </c:val>
        </c:ser>
        <c:ser>
          <c:idx val="1"/>
          <c:order val="1"/>
          <c:tx>
            <c:strRef>
              <c:f>'W Ethnic'!$A$13</c:f>
              <c:strCache>
                <c:ptCount val="1"/>
                <c:pt idx="0">
                  <c:v>Black</c:v>
                </c:pt>
              </c:strCache>
            </c:strRef>
          </c:tx>
          <c:invertIfNegative val="0"/>
          <c:cat>
            <c:strRef>
              <c:f>'W Ethnic'!$B$11</c:f>
              <c:strCache>
                <c:ptCount val="1"/>
                <c:pt idx="0">
                  <c:v>No. of staff attending training</c:v>
                </c:pt>
              </c:strCache>
            </c:strRef>
          </c:cat>
          <c:val>
            <c:numRef>
              <c:f>'W Ethnic'!$B$13</c:f>
              <c:numCache>
                <c:formatCode>General</c:formatCode>
                <c:ptCount val="1"/>
                <c:pt idx="0">
                  <c:v>56</c:v>
                </c:pt>
              </c:numCache>
            </c:numRef>
          </c:val>
        </c:ser>
        <c:ser>
          <c:idx val="2"/>
          <c:order val="2"/>
          <c:tx>
            <c:strRef>
              <c:f>'W Ethnic'!$A$14</c:f>
              <c:strCache>
                <c:ptCount val="1"/>
                <c:pt idx="0">
                  <c:v>Mixed</c:v>
                </c:pt>
              </c:strCache>
            </c:strRef>
          </c:tx>
          <c:invertIfNegative val="0"/>
          <c:cat>
            <c:strRef>
              <c:f>'W Ethnic'!$B$11</c:f>
              <c:strCache>
                <c:ptCount val="1"/>
                <c:pt idx="0">
                  <c:v>No. of staff attending training</c:v>
                </c:pt>
              </c:strCache>
            </c:strRef>
          </c:cat>
          <c:val>
            <c:numRef>
              <c:f>'W Ethnic'!$B$14</c:f>
              <c:numCache>
                <c:formatCode>General</c:formatCode>
                <c:ptCount val="1"/>
                <c:pt idx="0">
                  <c:v>40</c:v>
                </c:pt>
              </c:numCache>
            </c:numRef>
          </c:val>
        </c:ser>
        <c:ser>
          <c:idx val="3"/>
          <c:order val="3"/>
          <c:tx>
            <c:strRef>
              <c:f>'W Ethnic'!$A$15</c:f>
              <c:strCache>
                <c:ptCount val="1"/>
                <c:pt idx="0">
                  <c:v>Other</c:v>
                </c:pt>
              </c:strCache>
            </c:strRef>
          </c:tx>
          <c:invertIfNegative val="0"/>
          <c:cat>
            <c:strRef>
              <c:f>'W Ethnic'!$B$11</c:f>
              <c:strCache>
                <c:ptCount val="1"/>
                <c:pt idx="0">
                  <c:v>No. of staff attending training</c:v>
                </c:pt>
              </c:strCache>
            </c:strRef>
          </c:cat>
          <c:val>
            <c:numRef>
              <c:f>'W Ethnic'!$B$15</c:f>
              <c:numCache>
                <c:formatCode>General</c:formatCode>
                <c:ptCount val="1"/>
                <c:pt idx="0">
                  <c:v>82</c:v>
                </c:pt>
              </c:numCache>
            </c:numRef>
          </c:val>
        </c:ser>
        <c:ser>
          <c:idx val="4"/>
          <c:order val="4"/>
          <c:tx>
            <c:strRef>
              <c:f>'W Ethnic'!$A$16</c:f>
              <c:strCache>
                <c:ptCount val="1"/>
                <c:pt idx="0">
                  <c:v>White</c:v>
                </c:pt>
              </c:strCache>
            </c:strRef>
          </c:tx>
          <c:invertIfNegative val="0"/>
          <c:cat>
            <c:strRef>
              <c:f>'W Ethnic'!$B$11</c:f>
              <c:strCache>
                <c:ptCount val="1"/>
                <c:pt idx="0">
                  <c:v>No. of staff attending training</c:v>
                </c:pt>
              </c:strCache>
            </c:strRef>
          </c:cat>
          <c:val>
            <c:numRef>
              <c:f>'W Ethnic'!$B$16</c:f>
              <c:numCache>
                <c:formatCode>General</c:formatCode>
                <c:ptCount val="1"/>
                <c:pt idx="0">
                  <c:v>1847</c:v>
                </c:pt>
              </c:numCache>
            </c:numRef>
          </c:val>
        </c:ser>
        <c:ser>
          <c:idx val="5"/>
          <c:order val="5"/>
          <c:tx>
            <c:strRef>
              <c:f>'W Ethnic'!$A$17</c:f>
              <c:strCache>
                <c:ptCount val="1"/>
                <c:pt idx="0">
                  <c:v>White - Other</c:v>
                </c:pt>
              </c:strCache>
            </c:strRef>
          </c:tx>
          <c:invertIfNegative val="0"/>
          <c:cat>
            <c:strRef>
              <c:f>'W Ethnic'!$B$11</c:f>
              <c:strCache>
                <c:ptCount val="1"/>
                <c:pt idx="0">
                  <c:v>No. of staff attending training</c:v>
                </c:pt>
              </c:strCache>
            </c:strRef>
          </c:cat>
          <c:val>
            <c:numRef>
              <c:f>'W Ethnic'!$B$17</c:f>
              <c:numCache>
                <c:formatCode>General</c:formatCode>
                <c:ptCount val="1"/>
                <c:pt idx="0">
                  <c:v>189</c:v>
                </c:pt>
              </c:numCache>
            </c:numRef>
          </c:val>
        </c:ser>
        <c:ser>
          <c:idx val="6"/>
          <c:order val="6"/>
          <c:tx>
            <c:strRef>
              <c:f>'W Ethnic'!$A$18</c:f>
              <c:strCache>
                <c:ptCount val="1"/>
                <c:pt idx="0">
                  <c:v>Unknown</c:v>
                </c:pt>
              </c:strCache>
            </c:strRef>
          </c:tx>
          <c:invertIfNegative val="0"/>
          <c:cat>
            <c:strRef>
              <c:f>'W Ethnic'!$B$11</c:f>
              <c:strCache>
                <c:ptCount val="1"/>
                <c:pt idx="0">
                  <c:v>No. of staff attending training</c:v>
                </c:pt>
              </c:strCache>
            </c:strRef>
          </c:cat>
          <c:val>
            <c:numRef>
              <c:f>'W Ethnic'!$B$18</c:f>
              <c:numCache>
                <c:formatCode>General</c:formatCode>
                <c:ptCount val="1"/>
                <c:pt idx="0">
                  <c:v>152</c:v>
                </c:pt>
              </c:numCache>
            </c:numRef>
          </c:val>
        </c:ser>
        <c:dLbls>
          <c:showLegendKey val="0"/>
          <c:showVal val="0"/>
          <c:showCatName val="0"/>
          <c:showSerName val="0"/>
          <c:showPercent val="0"/>
          <c:showBubbleSize val="0"/>
        </c:dLbls>
        <c:gapWidth val="100"/>
        <c:overlap val="100"/>
        <c:axId val="680783360"/>
        <c:axId val="683512320"/>
      </c:barChart>
      <c:valAx>
        <c:axId val="683512320"/>
        <c:scaling>
          <c:orientation val="minMax"/>
        </c:scaling>
        <c:delete val="0"/>
        <c:axPos val="b"/>
        <c:numFmt formatCode="0%" sourceLinked="1"/>
        <c:majorTickMark val="out"/>
        <c:minorTickMark val="none"/>
        <c:tickLblPos val="nextTo"/>
        <c:spPr>
          <a:ln>
            <a:noFill/>
          </a:ln>
        </c:spPr>
        <c:crossAx val="680783360"/>
        <c:crosses val="autoZero"/>
        <c:crossBetween val="between"/>
      </c:valAx>
      <c:catAx>
        <c:axId val="680783360"/>
        <c:scaling>
          <c:orientation val="minMax"/>
        </c:scaling>
        <c:delete val="1"/>
        <c:axPos val="l"/>
        <c:majorTickMark val="out"/>
        <c:minorTickMark val="none"/>
        <c:tickLblPos val="nextTo"/>
        <c:crossAx val="683512320"/>
        <c:crosses val="autoZero"/>
        <c:auto val="1"/>
        <c:lblAlgn val="ctr"/>
        <c:lblOffset val="100"/>
        <c:noMultiLvlLbl val="0"/>
      </c:catAx>
    </c:plotArea>
    <c:legend>
      <c:legendPos val="r"/>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'B Ethnicity'!$C$9</c:f>
              <c:strCache>
                <c:ptCount val="1"/>
                <c:pt idx="0">
                  <c:v>Capability (Non-UHR) %</c:v>
                </c:pt>
              </c:strCache>
            </c:strRef>
          </c:tx>
          <c:spPr>
            <a:solidFill>
              <a:schemeClr val="tx2">
                <a:lumMod val="40000"/>
                <a:lumOff val="60000"/>
              </a:schemeClr>
            </a:solidFill>
          </c:spPr>
          <c:invertIfNegative val="0"/>
          <c:cat>
            <c:strRef>
              <c:f>'B Ethnicity'!$A$10:$A$12</c:f>
              <c:strCache>
                <c:ptCount val="3"/>
                <c:pt idx="0">
                  <c:v>White</c:v>
                </c:pt>
                <c:pt idx="1">
                  <c:v>White - Other</c:v>
                </c:pt>
                <c:pt idx="2">
                  <c:v>Asian</c:v>
                </c:pt>
              </c:strCache>
            </c:strRef>
          </c:cat>
          <c:val>
            <c:numRef>
              <c:f>'B Ethnicity'!$C$10:$C$12</c:f>
              <c:numCache>
                <c:formatCode>0.0%</c:formatCode>
                <c:ptCount val="3"/>
                <c:pt idx="0">
                  <c:v>0.8125</c:v>
                </c:pt>
                <c:pt idx="1">
                  <c:v>0.15625</c:v>
                </c:pt>
                <c:pt idx="2">
                  <c:v>3.125E-2</c:v>
                </c:pt>
              </c:numCache>
            </c:numRef>
          </c:val>
        </c:ser>
        <c:ser>
          <c:idx val="1"/>
          <c:order val="1"/>
          <c:tx>
            <c:strRef>
              <c:f>'B Ethnicity'!$E$9</c:f>
              <c:strCache>
                <c:ptCount val="1"/>
                <c:pt idx="0">
                  <c:v>Capability (UHR) %</c:v>
                </c:pt>
              </c:strCache>
            </c:strRef>
          </c:tx>
          <c:spPr>
            <a:solidFill>
              <a:schemeClr val="accent2">
                <a:lumMod val="40000"/>
                <a:lumOff val="60000"/>
              </a:schemeClr>
            </a:solidFill>
          </c:spPr>
          <c:invertIfNegative val="0"/>
          <c:cat>
            <c:strRef>
              <c:f>'B Ethnicity'!$A$10:$A$12</c:f>
              <c:strCache>
                <c:ptCount val="3"/>
                <c:pt idx="0">
                  <c:v>White</c:v>
                </c:pt>
                <c:pt idx="1">
                  <c:v>White - Other</c:v>
                </c:pt>
                <c:pt idx="2">
                  <c:v>Asian</c:v>
                </c:pt>
              </c:strCache>
            </c:strRef>
          </c:cat>
          <c:val>
            <c:numRef>
              <c:f>'B Ethnicity'!$E$10:$E$12</c:f>
              <c:numCache>
                <c:formatCode>0.0%</c:formatCode>
                <c:ptCount val="3"/>
                <c:pt idx="0">
                  <c:v>0.75</c:v>
                </c:pt>
                <c:pt idx="1">
                  <c:v>0.25</c:v>
                </c:pt>
              </c:numCache>
            </c:numRef>
          </c:val>
        </c:ser>
        <c:dLbls>
          <c:showLegendKey val="0"/>
          <c:showVal val="0"/>
          <c:showCatName val="0"/>
          <c:showSerName val="0"/>
          <c:showPercent val="0"/>
          <c:showBubbleSize val="0"/>
        </c:dLbls>
        <c:gapWidth val="150"/>
        <c:axId val="650974720"/>
        <c:axId val="683514624"/>
      </c:barChart>
      <c:scatterChart>
        <c:scatterStyle val="lineMarker"/>
        <c:varyColors val="0"/>
        <c:ser>
          <c:idx val="2"/>
          <c:order val="2"/>
          <c:tx>
            <c:strRef>
              <c:f>'B Ethnicity'!$F$9</c:f>
              <c:strCache>
                <c:ptCount val="1"/>
                <c:pt idx="0">
                  <c:v>Workforce Represenation %</c:v>
                </c:pt>
              </c:strCache>
            </c:strRef>
          </c:tx>
          <c:spPr>
            <a:ln w="28575">
              <a:noFill/>
            </a:ln>
          </c:spPr>
          <c:marker>
            <c:symbol val="dash"/>
            <c:size val="27"/>
            <c:spPr>
              <a:solidFill>
                <a:srgbClr val="41B6E6"/>
              </a:solidFill>
              <a:ln w="22225">
                <a:solidFill>
                  <a:schemeClr val="bg1"/>
                </a:solidFill>
              </a:ln>
            </c:spPr>
          </c:marker>
          <c:xVal>
            <c:strRef>
              <c:f>'B Ethnicity'!$A$10:$A$12</c:f>
              <c:strCache>
                <c:ptCount val="3"/>
                <c:pt idx="0">
                  <c:v>White</c:v>
                </c:pt>
                <c:pt idx="1">
                  <c:v>White - Other</c:v>
                </c:pt>
                <c:pt idx="2">
                  <c:v>Asian</c:v>
                </c:pt>
              </c:strCache>
            </c:strRef>
          </c:xVal>
          <c:yVal>
            <c:numRef>
              <c:f>'B Ethnicity'!$F$10:$F$12</c:f>
              <c:numCache>
                <c:formatCode>0.0%</c:formatCode>
                <c:ptCount val="3"/>
                <c:pt idx="0">
                  <c:v>0.6508508959765581</c:v>
                </c:pt>
                <c:pt idx="1">
                  <c:v>0.12566212104136143</c:v>
                </c:pt>
                <c:pt idx="2">
                  <c:v>9.6472444494533974E-2</c:v>
                </c:pt>
              </c:numCache>
            </c:numRef>
          </c:yVal>
          <c:smooth val="0"/>
        </c:ser>
        <c:dLbls>
          <c:showLegendKey val="0"/>
          <c:showVal val="0"/>
          <c:showCatName val="0"/>
          <c:showSerName val="0"/>
          <c:showPercent val="0"/>
          <c:showBubbleSize val="0"/>
        </c:dLbls>
        <c:axId val="650974720"/>
        <c:axId val="683514624"/>
      </c:scatterChart>
      <c:catAx>
        <c:axId val="650974720"/>
        <c:scaling>
          <c:orientation val="minMax"/>
        </c:scaling>
        <c:delete val="0"/>
        <c:axPos val="b"/>
        <c:majorTickMark val="out"/>
        <c:minorTickMark val="none"/>
        <c:tickLblPos val="nextTo"/>
        <c:spPr>
          <a:ln>
            <a:noFill/>
          </a:ln>
        </c:spPr>
        <c:crossAx val="683514624"/>
        <c:crosses val="autoZero"/>
        <c:auto val="1"/>
        <c:lblAlgn val="ctr"/>
        <c:lblOffset val="100"/>
        <c:noMultiLvlLbl val="0"/>
      </c:catAx>
      <c:valAx>
        <c:axId val="683514624"/>
        <c:scaling>
          <c:orientation val="minMax"/>
        </c:scaling>
        <c:delete val="0"/>
        <c:axPos val="l"/>
        <c:numFmt formatCode="0.0%" sourceLinked="1"/>
        <c:majorTickMark val="out"/>
        <c:minorTickMark val="none"/>
        <c:tickLblPos val="nextTo"/>
        <c:spPr>
          <a:ln>
            <a:noFill/>
          </a:ln>
        </c:spPr>
        <c:crossAx val="650974720"/>
        <c:crosses val="autoZero"/>
        <c:crossBetween val="between"/>
      </c:valAx>
    </c:plotArea>
    <c:legend>
      <c:legendPos val="r"/>
      <c:layout>
        <c:manualLayout>
          <c:xMode val="edge"/>
          <c:yMode val="edge"/>
          <c:x val="6.6463582677165317E-2"/>
          <c:y val="2.6875801643303252E-2"/>
          <c:w val="0.9210364173228347"/>
          <c:h val="6.5021625817899512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76511506425037434"/>
          <c:h val="0.84593105954964687"/>
        </c:manualLayout>
      </c:layout>
      <c:barChart>
        <c:barDir val="col"/>
        <c:grouping val="clustered"/>
        <c:varyColors val="0"/>
        <c:ser>
          <c:idx val="0"/>
          <c:order val="0"/>
          <c:tx>
            <c:strRef>
              <c:f>'B Ethnicity'!$C$26</c:f>
              <c:strCache>
                <c:ptCount val="1"/>
                <c:pt idx="0">
                  <c:v>Harassment Cases %</c:v>
                </c:pt>
              </c:strCache>
            </c:strRef>
          </c:tx>
          <c:spPr>
            <a:solidFill>
              <a:schemeClr val="tx2">
                <a:lumMod val="40000"/>
                <a:lumOff val="60000"/>
              </a:schemeClr>
            </a:solidFill>
          </c:spPr>
          <c:invertIfNegative val="0"/>
          <c:cat>
            <c:strRef>
              <c:f>'B Ethnicity'!$A$27:$A$29</c:f>
              <c:strCache>
                <c:ptCount val="3"/>
                <c:pt idx="0">
                  <c:v>Black</c:v>
                </c:pt>
                <c:pt idx="1">
                  <c:v>White</c:v>
                </c:pt>
                <c:pt idx="2">
                  <c:v>White - Other</c:v>
                </c:pt>
              </c:strCache>
            </c:strRef>
          </c:cat>
          <c:val>
            <c:numRef>
              <c:f>'B Ethnicity'!$C$27:$C$29</c:f>
              <c:numCache>
                <c:formatCode>0.0%</c:formatCode>
                <c:ptCount val="3"/>
                <c:pt idx="1">
                  <c:v>1</c:v>
                </c:pt>
                <c:pt idx="2">
                  <c:v>0</c:v>
                </c:pt>
              </c:numCache>
            </c:numRef>
          </c:val>
        </c:ser>
        <c:ser>
          <c:idx val="1"/>
          <c:order val="1"/>
          <c:tx>
            <c:strRef>
              <c:f>'B Ethnicity'!$E$26</c:f>
              <c:strCache>
                <c:ptCount val="1"/>
                <c:pt idx="0">
                  <c:v>Grievance Cases %</c:v>
                </c:pt>
              </c:strCache>
            </c:strRef>
          </c:tx>
          <c:spPr>
            <a:solidFill>
              <a:schemeClr val="accent2">
                <a:lumMod val="40000"/>
                <a:lumOff val="60000"/>
              </a:schemeClr>
            </a:solidFill>
          </c:spPr>
          <c:invertIfNegative val="0"/>
          <c:cat>
            <c:strRef>
              <c:f>'B Ethnicity'!$A$27:$A$29</c:f>
              <c:strCache>
                <c:ptCount val="3"/>
                <c:pt idx="0">
                  <c:v>Black</c:v>
                </c:pt>
                <c:pt idx="1">
                  <c:v>White</c:v>
                </c:pt>
                <c:pt idx="2">
                  <c:v>White - Other</c:v>
                </c:pt>
              </c:strCache>
            </c:strRef>
          </c:cat>
          <c:val>
            <c:numRef>
              <c:f>'B Ethnicity'!$E$27:$E$29</c:f>
              <c:numCache>
                <c:formatCode>0.0%</c:formatCode>
                <c:ptCount val="3"/>
                <c:pt idx="1">
                  <c:v>1</c:v>
                </c:pt>
                <c:pt idx="2">
                  <c:v>0</c:v>
                </c:pt>
              </c:numCache>
            </c:numRef>
          </c:val>
        </c:ser>
        <c:ser>
          <c:idx val="2"/>
          <c:order val="2"/>
          <c:tx>
            <c:strRef>
              <c:f>'B Ethnicity'!$G$26</c:f>
              <c:strCache>
                <c:ptCount val="1"/>
                <c:pt idx="0">
                  <c:v>Disciplinary Cases %</c:v>
                </c:pt>
              </c:strCache>
            </c:strRef>
          </c:tx>
          <c:spPr>
            <a:solidFill>
              <a:schemeClr val="accent3">
                <a:lumMod val="40000"/>
                <a:lumOff val="60000"/>
              </a:schemeClr>
            </a:solidFill>
            <a:ln w="28575">
              <a:noFill/>
            </a:ln>
          </c:spPr>
          <c:invertIfNegative val="0"/>
          <c:cat>
            <c:strRef>
              <c:f>'B Ethnicity'!$A$27:$A$29</c:f>
              <c:strCache>
                <c:ptCount val="3"/>
                <c:pt idx="0">
                  <c:v>Black</c:v>
                </c:pt>
                <c:pt idx="1">
                  <c:v>White</c:v>
                </c:pt>
                <c:pt idx="2">
                  <c:v>White - Other</c:v>
                </c:pt>
              </c:strCache>
            </c:strRef>
          </c:cat>
          <c:val>
            <c:numRef>
              <c:f>'B Ethnicity'!$G$27:$G$29</c:f>
              <c:numCache>
                <c:formatCode>0.0%</c:formatCode>
                <c:ptCount val="3"/>
                <c:pt idx="0">
                  <c:v>4.3478260869565216E-2</c:v>
                </c:pt>
                <c:pt idx="1">
                  <c:v>0.56521739130434778</c:v>
                </c:pt>
                <c:pt idx="2">
                  <c:v>0.39130434782608697</c:v>
                </c:pt>
              </c:numCache>
            </c:numRef>
          </c:val>
        </c:ser>
        <c:dLbls>
          <c:showLegendKey val="0"/>
          <c:showVal val="0"/>
          <c:showCatName val="0"/>
          <c:showSerName val="0"/>
          <c:showPercent val="0"/>
          <c:showBubbleSize val="0"/>
        </c:dLbls>
        <c:gapWidth val="150"/>
        <c:axId val="650975232"/>
        <c:axId val="683514048"/>
      </c:barChart>
      <c:scatterChart>
        <c:scatterStyle val="lineMarker"/>
        <c:varyColors val="0"/>
        <c:ser>
          <c:idx val="3"/>
          <c:order val="3"/>
          <c:tx>
            <c:strRef>
              <c:f>'B Ethnicity'!$H$26</c:f>
              <c:strCache>
                <c:ptCount val="1"/>
                <c:pt idx="0">
                  <c:v>Workforce Represenation %</c:v>
                </c:pt>
              </c:strCache>
            </c:strRef>
          </c:tx>
          <c:spPr>
            <a:ln w="28575">
              <a:noFill/>
            </a:ln>
          </c:spPr>
          <c:marker>
            <c:symbol val="dash"/>
            <c:size val="23"/>
            <c:spPr>
              <a:solidFill>
                <a:srgbClr val="41B6E6"/>
              </a:solidFill>
              <a:ln w="22225">
                <a:solidFill>
                  <a:schemeClr val="bg1"/>
                </a:solidFill>
              </a:ln>
            </c:spPr>
          </c:marker>
          <c:xVal>
            <c:strRef>
              <c:f>'B Ethnicity'!$A$27:$A$29</c:f>
              <c:strCache>
                <c:ptCount val="3"/>
                <c:pt idx="0">
                  <c:v>Black</c:v>
                </c:pt>
                <c:pt idx="1">
                  <c:v>White</c:v>
                </c:pt>
                <c:pt idx="2">
                  <c:v>White - Other</c:v>
                </c:pt>
              </c:strCache>
            </c:strRef>
          </c:xVal>
          <c:yVal>
            <c:numRef>
              <c:f>'B Ethnicity'!$H$27:$H$29</c:f>
              <c:numCache>
                <c:formatCode>0.0%</c:formatCode>
                <c:ptCount val="3"/>
                <c:pt idx="0">
                  <c:v>2.930237800067621E-2</c:v>
                </c:pt>
                <c:pt idx="1">
                  <c:v>0.6508508959765581</c:v>
                </c:pt>
                <c:pt idx="2">
                  <c:v>0.12566212104136143</c:v>
                </c:pt>
              </c:numCache>
            </c:numRef>
          </c:yVal>
          <c:smooth val="0"/>
        </c:ser>
        <c:dLbls>
          <c:showLegendKey val="0"/>
          <c:showVal val="0"/>
          <c:showCatName val="0"/>
          <c:showSerName val="0"/>
          <c:showPercent val="0"/>
          <c:showBubbleSize val="0"/>
        </c:dLbls>
        <c:axId val="650975232"/>
        <c:axId val="683514048"/>
      </c:scatterChart>
      <c:catAx>
        <c:axId val="650975232"/>
        <c:scaling>
          <c:orientation val="minMax"/>
        </c:scaling>
        <c:delete val="0"/>
        <c:axPos val="b"/>
        <c:majorTickMark val="out"/>
        <c:minorTickMark val="none"/>
        <c:tickLblPos val="nextTo"/>
        <c:spPr>
          <a:ln>
            <a:noFill/>
          </a:ln>
        </c:spPr>
        <c:crossAx val="683514048"/>
        <c:crosses val="autoZero"/>
        <c:auto val="1"/>
        <c:lblAlgn val="ctr"/>
        <c:lblOffset val="100"/>
        <c:noMultiLvlLbl val="0"/>
      </c:catAx>
      <c:valAx>
        <c:axId val="683514048"/>
        <c:scaling>
          <c:orientation val="minMax"/>
        </c:scaling>
        <c:delete val="0"/>
        <c:axPos val="l"/>
        <c:numFmt formatCode="0%" sourceLinked="0"/>
        <c:majorTickMark val="out"/>
        <c:minorTickMark val="none"/>
        <c:tickLblPos val="nextTo"/>
        <c:spPr>
          <a:ln>
            <a:noFill/>
          </a:ln>
        </c:spPr>
        <c:crossAx val="650975232"/>
        <c:crosses val="autoZero"/>
        <c:crossBetween val="between"/>
      </c:valAx>
    </c:plotArea>
    <c:legend>
      <c:legendPos val="r"/>
      <c:layout>
        <c:manualLayout>
          <c:xMode val="edge"/>
          <c:yMode val="edge"/>
          <c:x val="6.3528540616403228E-2"/>
          <c:y val="1.2676392403574411E-3"/>
          <c:w val="0.92397133381837382"/>
          <c:h val="0.1096759992068853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57961504811901E-2"/>
          <c:y val="5.1400554097404488E-2"/>
          <c:w val="0.89006736657917773"/>
          <c:h val="0.78102981918926806"/>
        </c:manualLayout>
      </c:layout>
      <c:barChart>
        <c:barDir val="col"/>
        <c:grouping val="clustered"/>
        <c:varyColors val="0"/>
        <c:ser>
          <c:idx val="0"/>
          <c:order val="0"/>
          <c:tx>
            <c:strRef>
              <c:f>Age!$B$55</c:f>
              <c:strCache>
                <c:ptCount val="1"/>
                <c:pt idx="0">
                  <c:v>WSHT Applications</c:v>
                </c:pt>
              </c:strCache>
            </c:strRef>
          </c:tx>
          <c:invertIfNegative val="0"/>
          <c:cat>
            <c:strRef>
              <c:f>Age!$A$56:$A$66</c:f>
              <c:strCache>
                <c:ptCount val="11"/>
                <c:pt idx="0">
                  <c:v>Under 20</c:v>
                </c:pt>
                <c:pt idx="1">
                  <c:v>20 - 24</c:v>
                </c:pt>
                <c:pt idx="2">
                  <c:v>25 - 29</c:v>
                </c:pt>
                <c:pt idx="3">
                  <c:v>30 - 34</c:v>
                </c:pt>
                <c:pt idx="4">
                  <c:v>35 - 39</c:v>
                </c:pt>
                <c:pt idx="5">
                  <c:v>40 - 44</c:v>
                </c:pt>
                <c:pt idx="6">
                  <c:v>45 - 49</c:v>
                </c:pt>
                <c:pt idx="7">
                  <c:v>50 - 54</c:v>
                </c:pt>
                <c:pt idx="8">
                  <c:v>55 - 59</c:v>
                </c:pt>
                <c:pt idx="9">
                  <c:v>60 - 64</c:v>
                </c:pt>
                <c:pt idx="10">
                  <c:v>65+</c:v>
                </c:pt>
              </c:strCache>
            </c:strRef>
          </c:cat>
          <c:val>
            <c:numRef>
              <c:f>Age!$B$56:$B$66</c:f>
              <c:numCache>
                <c:formatCode>0.0%</c:formatCode>
                <c:ptCount val="11"/>
                <c:pt idx="0">
                  <c:v>2.3068721527575844E-2</c:v>
                </c:pt>
                <c:pt idx="1">
                  <c:v>0.12111078801977319</c:v>
                </c:pt>
                <c:pt idx="2">
                  <c:v>0.25797227876320633</c:v>
                </c:pt>
                <c:pt idx="3">
                  <c:v>0.19051080740525347</c:v>
                </c:pt>
                <c:pt idx="4">
                  <c:v>0.11321120480759911</c:v>
                </c:pt>
                <c:pt idx="5">
                  <c:v>7.6281864883202488E-2</c:v>
                </c:pt>
                <c:pt idx="6">
                  <c:v>6.789764466414655E-2</c:v>
                </c:pt>
                <c:pt idx="7">
                  <c:v>6.3099738296016283E-2</c:v>
                </c:pt>
                <c:pt idx="8">
                  <c:v>5.2680042648056605E-2</c:v>
                </c:pt>
                <c:pt idx="9">
                  <c:v>2.7624309392265192E-2</c:v>
                </c:pt>
                <c:pt idx="10">
                  <c:v>6.1064262867112536E-3</c:v>
                </c:pt>
              </c:numCache>
            </c:numRef>
          </c:val>
        </c:ser>
        <c:ser>
          <c:idx val="1"/>
          <c:order val="1"/>
          <c:tx>
            <c:strRef>
              <c:f>Age!$C$55</c:f>
              <c:strCache>
                <c:ptCount val="1"/>
                <c:pt idx="0">
                  <c:v>WSHT Shortlisted</c:v>
                </c:pt>
              </c:strCache>
            </c:strRef>
          </c:tx>
          <c:invertIfNegative val="0"/>
          <c:cat>
            <c:strRef>
              <c:f>Age!$A$56:$A$66</c:f>
              <c:strCache>
                <c:ptCount val="11"/>
                <c:pt idx="0">
                  <c:v>Under 20</c:v>
                </c:pt>
                <c:pt idx="1">
                  <c:v>20 - 24</c:v>
                </c:pt>
                <c:pt idx="2">
                  <c:v>25 - 29</c:v>
                </c:pt>
                <c:pt idx="3">
                  <c:v>30 - 34</c:v>
                </c:pt>
                <c:pt idx="4">
                  <c:v>35 - 39</c:v>
                </c:pt>
                <c:pt idx="5">
                  <c:v>40 - 44</c:v>
                </c:pt>
                <c:pt idx="6">
                  <c:v>45 - 49</c:v>
                </c:pt>
                <c:pt idx="7">
                  <c:v>50 - 54</c:v>
                </c:pt>
                <c:pt idx="8">
                  <c:v>55 - 59</c:v>
                </c:pt>
                <c:pt idx="9">
                  <c:v>60 - 64</c:v>
                </c:pt>
                <c:pt idx="10">
                  <c:v>65+</c:v>
                </c:pt>
              </c:strCache>
            </c:strRef>
          </c:cat>
          <c:val>
            <c:numRef>
              <c:f>Age!$C$56:$C$66</c:f>
              <c:numCache>
                <c:formatCode>0.0%</c:formatCode>
                <c:ptCount val="11"/>
                <c:pt idx="0">
                  <c:v>3.1421006178287733E-2</c:v>
                </c:pt>
                <c:pt idx="1">
                  <c:v>0.12674315975286848</c:v>
                </c:pt>
                <c:pt idx="2">
                  <c:v>0.17246248896734334</c:v>
                </c:pt>
                <c:pt idx="3">
                  <c:v>0.14898499558693734</c:v>
                </c:pt>
                <c:pt idx="4">
                  <c:v>0.11544571932921448</c:v>
                </c:pt>
                <c:pt idx="5">
                  <c:v>9.1262135922330095E-2</c:v>
                </c:pt>
                <c:pt idx="6">
                  <c:v>0.10644307149161518</c:v>
                </c:pt>
                <c:pt idx="7">
                  <c:v>8.9496910856134163E-2</c:v>
                </c:pt>
                <c:pt idx="8">
                  <c:v>7.3080317740511921E-2</c:v>
                </c:pt>
                <c:pt idx="9">
                  <c:v>3.5834068843777579E-2</c:v>
                </c:pt>
                <c:pt idx="10">
                  <c:v>8.4730803177405119E-3</c:v>
                </c:pt>
              </c:numCache>
            </c:numRef>
          </c:val>
        </c:ser>
        <c:ser>
          <c:idx val="2"/>
          <c:order val="2"/>
          <c:tx>
            <c:strRef>
              <c:f>Age!$D$55</c:f>
              <c:strCache>
                <c:ptCount val="1"/>
                <c:pt idx="0">
                  <c:v>WSHT Appointed</c:v>
                </c:pt>
              </c:strCache>
            </c:strRef>
          </c:tx>
          <c:invertIfNegative val="0"/>
          <c:cat>
            <c:strRef>
              <c:f>Age!$A$56:$A$66</c:f>
              <c:strCache>
                <c:ptCount val="11"/>
                <c:pt idx="0">
                  <c:v>Under 20</c:v>
                </c:pt>
                <c:pt idx="1">
                  <c:v>20 - 24</c:v>
                </c:pt>
                <c:pt idx="2">
                  <c:v>25 - 29</c:v>
                </c:pt>
                <c:pt idx="3">
                  <c:v>30 - 34</c:v>
                </c:pt>
                <c:pt idx="4">
                  <c:v>35 - 39</c:v>
                </c:pt>
                <c:pt idx="5">
                  <c:v>40 - 44</c:v>
                </c:pt>
                <c:pt idx="6">
                  <c:v>45 - 49</c:v>
                </c:pt>
                <c:pt idx="7">
                  <c:v>50 - 54</c:v>
                </c:pt>
                <c:pt idx="8">
                  <c:v>55 - 59</c:v>
                </c:pt>
                <c:pt idx="9">
                  <c:v>60 - 64</c:v>
                </c:pt>
                <c:pt idx="10">
                  <c:v>65+</c:v>
                </c:pt>
              </c:strCache>
            </c:strRef>
          </c:cat>
          <c:val>
            <c:numRef>
              <c:f>Age!$D$56:$D$66</c:f>
              <c:numCache>
                <c:formatCode>0.0%</c:formatCode>
                <c:ptCount val="11"/>
                <c:pt idx="0">
                  <c:v>3.041144901610018E-2</c:v>
                </c:pt>
                <c:pt idx="1">
                  <c:v>0.14132379248658319</c:v>
                </c:pt>
                <c:pt idx="2">
                  <c:v>0.2075134168157424</c:v>
                </c:pt>
                <c:pt idx="3">
                  <c:v>0.15742397137745975</c:v>
                </c:pt>
                <c:pt idx="4">
                  <c:v>0.11449016100178891</c:v>
                </c:pt>
                <c:pt idx="5">
                  <c:v>8.2289803220035776E-2</c:v>
                </c:pt>
                <c:pt idx="6">
                  <c:v>0.1073345259391771</c:v>
                </c:pt>
                <c:pt idx="7">
                  <c:v>7.3345259391771014E-2</c:v>
                </c:pt>
                <c:pt idx="8">
                  <c:v>4.1144901610017888E-2</c:v>
                </c:pt>
                <c:pt idx="9">
                  <c:v>3.7567084078711989E-2</c:v>
                </c:pt>
                <c:pt idx="10">
                  <c:v>7.1556350626118068E-3</c:v>
                </c:pt>
              </c:numCache>
            </c:numRef>
          </c:val>
        </c:ser>
        <c:dLbls>
          <c:showLegendKey val="0"/>
          <c:showVal val="0"/>
          <c:showCatName val="0"/>
          <c:showSerName val="0"/>
          <c:showPercent val="0"/>
          <c:showBubbleSize val="0"/>
        </c:dLbls>
        <c:gapWidth val="150"/>
        <c:axId val="165730816"/>
        <c:axId val="166022528"/>
      </c:barChart>
      <c:scatterChart>
        <c:scatterStyle val="lineMarker"/>
        <c:varyColors val="0"/>
        <c:ser>
          <c:idx val="3"/>
          <c:order val="3"/>
          <c:tx>
            <c:strRef>
              <c:f>Age!$E$55</c:f>
              <c:strCache>
                <c:ptCount val="1"/>
                <c:pt idx="0">
                  <c:v>WSHT Workforce</c:v>
                </c:pt>
              </c:strCache>
            </c:strRef>
          </c:tx>
          <c:spPr>
            <a:ln w="28575">
              <a:noFill/>
            </a:ln>
          </c:spPr>
          <c:marker>
            <c:symbol val="circle"/>
            <c:size val="5"/>
            <c:spPr>
              <a:solidFill>
                <a:schemeClr val="accent4"/>
              </a:solidFill>
              <a:ln w="15875">
                <a:solidFill>
                  <a:schemeClr val="bg1"/>
                </a:solidFill>
              </a:ln>
            </c:spPr>
          </c:marker>
          <c:xVal>
            <c:strRef>
              <c:f>Age!$A$56:$A$66</c:f>
              <c:strCache>
                <c:ptCount val="11"/>
                <c:pt idx="0">
                  <c:v>Under 20</c:v>
                </c:pt>
                <c:pt idx="1">
                  <c:v>20 - 24</c:v>
                </c:pt>
                <c:pt idx="2">
                  <c:v>25 - 29</c:v>
                </c:pt>
                <c:pt idx="3">
                  <c:v>30 - 34</c:v>
                </c:pt>
                <c:pt idx="4">
                  <c:v>35 - 39</c:v>
                </c:pt>
                <c:pt idx="5">
                  <c:v>40 - 44</c:v>
                </c:pt>
                <c:pt idx="6">
                  <c:v>45 - 49</c:v>
                </c:pt>
                <c:pt idx="7">
                  <c:v>50 - 54</c:v>
                </c:pt>
                <c:pt idx="8">
                  <c:v>55 - 59</c:v>
                </c:pt>
                <c:pt idx="9">
                  <c:v>60 - 64</c:v>
                </c:pt>
                <c:pt idx="10">
                  <c:v>65+</c:v>
                </c:pt>
              </c:strCache>
            </c:strRef>
          </c:xVal>
          <c:yVal>
            <c:numRef>
              <c:f>Age!$E$56:$E$66</c:f>
              <c:numCache>
                <c:formatCode>0.0%</c:formatCode>
                <c:ptCount val="11"/>
                <c:pt idx="0">
                  <c:v>7.9797845458172631E-3</c:v>
                </c:pt>
                <c:pt idx="1">
                  <c:v>5.8651416411756883E-2</c:v>
                </c:pt>
                <c:pt idx="2">
                  <c:v>0.12408564968745844</c:v>
                </c:pt>
                <c:pt idx="3">
                  <c:v>0.13632131932437824</c:v>
                </c:pt>
                <c:pt idx="4">
                  <c:v>0.11384492618699295</c:v>
                </c:pt>
                <c:pt idx="5">
                  <c:v>0.11929777895996808</c:v>
                </c:pt>
                <c:pt idx="6">
                  <c:v>0.13166644500598484</c:v>
                </c:pt>
                <c:pt idx="7">
                  <c:v>0.12115972868732544</c:v>
                </c:pt>
                <c:pt idx="8">
                  <c:v>0.10480117036840006</c:v>
                </c:pt>
                <c:pt idx="9">
                  <c:v>6.1311344593695971E-2</c:v>
                </c:pt>
                <c:pt idx="10">
                  <c:v>2.1000000000000001E-2</c:v>
                </c:pt>
              </c:numCache>
            </c:numRef>
          </c:yVal>
          <c:smooth val="0"/>
        </c:ser>
        <c:dLbls>
          <c:showLegendKey val="0"/>
          <c:showVal val="0"/>
          <c:showCatName val="0"/>
          <c:showSerName val="0"/>
          <c:showPercent val="0"/>
          <c:showBubbleSize val="0"/>
        </c:dLbls>
        <c:axId val="165730816"/>
        <c:axId val="166022528"/>
      </c:scatterChart>
      <c:catAx>
        <c:axId val="165730816"/>
        <c:scaling>
          <c:orientation val="minMax"/>
        </c:scaling>
        <c:delete val="0"/>
        <c:axPos val="b"/>
        <c:majorTickMark val="out"/>
        <c:minorTickMark val="none"/>
        <c:tickLblPos val="nextTo"/>
        <c:crossAx val="166022528"/>
        <c:crosses val="autoZero"/>
        <c:auto val="1"/>
        <c:lblAlgn val="ctr"/>
        <c:lblOffset val="100"/>
        <c:noMultiLvlLbl val="0"/>
      </c:catAx>
      <c:valAx>
        <c:axId val="166022528"/>
        <c:scaling>
          <c:orientation val="minMax"/>
        </c:scaling>
        <c:delete val="0"/>
        <c:axPos val="l"/>
        <c:numFmt formatCode="0.0%" sourceLinked="1"/>
        <c:majorTickMark val="out"/>
        <c:minorTickMark val="none"/>
        <c:tickLblPos val="nextTo"/>
        <c:spPr>
          <a:ln>
            <a:noFill/>
          </a:ln>
        </c:spPr>
        <c:crossAx val="165730816"/>
        <c:crosses val="autoZero"/>
        <c:crossBetween val="between"/>
      </c:valAx>
    </c:plotArea>
    <c:legend>
      <c:legendPos val="r"/>
      <c:layout>
        <c:manualLayout>
          <c:xMode val="edge"/>
          <c:yMode val="edge"/>
          <c:x val="0.72245866141732296"/>
          <c:y val="4.0898950131233604E-2"/>
          <c:w val="0.21844302545623778"/>
          <c:h val="0.3159857101195683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'B Ethnicity'!$C$49</c:f>
              <c:strCache>
                <c:ptCount val="1"/>
                <c:pt idx="0">
                  <c:v>All Dismissals</c:v>
                </c:pt>
              </c:strCache>
            </c:strRef>
          </c:tx>
          <c:spPr>
            <a:solidFill>
              <a:schemeClr val="tx2">
                <a:lumMod val="40000"/>
                <a:lumOff val="60000"/>
              </a:schemeClr>
            </a:solidFill>
          </c:spPr>
          <c:invertIfNegative val="0"/>
          <c:cat>
            <c:strRef>
              <c:f>'B Ethnicity'!$A$50:$A$51</c:f>
              <c:strCache>
                <c:ptCount val="2"/>
                <c:pt idx="0">
                  <c:v>White</c:v>
                </c:pt>
                <c:pt idx="1">
                  <c:v>White - Other</c:v>
                </c:pt>
              </c:strCache>
            </c:strRef>
          </c:cat>
          <c:val>
            <c:numRef>
              <c:f>'B Ethnicity'!$C$50:$C$51</c:f>
              <c:numCache>
                <c:formatCode>0.0%</c:formatCode>
                <c:ptCount val="2"/>
                <c:pt idx="0">
                  <c:v>0.82352941176470584</c:v>
                </c:pt>
                <c:pt idx="1">
                  <c:v>0.17647058823529413</c:v>
                </c:pt>
              </c:numCache>
            </c:numRef>
          </c:val>
        </c:ser>
        <c:ser>
          <c:idx val="1"/>
          <c:order val="1"/>
          <c:tx>
            <c:strRef>
              <c:f>'B Ethnicity'!$E$49</c:f>
              <c:strCache>
                <c:ptCount val="1"/>
                <c:pt idx="0">
                  <c:v>Dismissals (Sickness only) %</c:v>
                </c:pt>
              </c:strCache>
            </c:strRef>
          </c:tx>
          <c:spPr>
            <a:solidFill>
              <a:schemeClr val="accent2">
                <a:lumMod val="40000"/>
                <a:lumOff val="60000"/>
              </a:schemeClr>
            </a:solidFill>
          </c:spPr>
          <c:invertIfNegative val="0"/>
          <c:cat>
            <c:strRef>
              <c:f>'B Ethnicity'!$A$50:$A$51</c:f>
              <c:strCache>
                <c:ptCount val="2"/>
                <c:pt idx="0">
                  <c:v>White</c:v>
                </c:pt>
                <c:pt idx="1">
                  <c:v>White - Other</c:v>
                </c:pt>
              </c:strCache>
            </c:strRef>
          </c:cat>
          <c:val>
            <c:numRef>
              <c:f>'B Ethnicity'!$E$50:$E$51</c:f>
              <c:numCache>
                <c:formatCode>0.0%</c:formatCode>
                <c:ptCount val="2"/>
                <c:pt idx="0">
                  <c:v>0.84615384615384615</c:v>
                </c:pt>
                <c:pt idx="1">
                  <c:v>0.15384615384615385</c:v>
                </c:pt>
              </c:numCache>
            </c:numRef>
          </c:val>
        </c:ser>
        <c:dLbls>
          <c:showLegendKey val="0"/>
          <c:showVal val="0"/>
          <c:showCatName val="0"/>
          <c:showSerName val="0"/>
          <c:showPercent val="0"/>
          <c:showBubbleSize val="0"/>
        </c:dLbls>
        <c:gapWidth val="150"/>
        <c:axId val="650976768"/>
        <c:axId val="679528128"/>
      </c:barChart>
      <c:scatterChart>
        <c:scatterStyle val="lineMarker"/>
        <c:varyColors val="0"/>
        <c:ser>
          <c:idx val="2"/>
          <c:order val="2"/>
          <c:tx>
            <c:strRef>
              <c:f>'B Ethnicity'!$F$49</c:f>
              <c:strCache>
                <c:ptCount val="1"/>
                <c:pt idx="0">
                  <c:v>Workforce Representation %</c:v>
                </c:pt>
              </c:strCache>
            </c:strRef>
          </c:tx>
          <c:spPr>
            <a:ln w="28575">
              <a:noFill/>
            </a:ln>
          </c:spPr>
          <c:marker>
            <c:symbol val="dash"/>
            <c:size val="27"/>
            <c:spPr>
              <a:solidFill>
                <a:srgbClr val="41B6E6"/>
              </a:solidFill>
              <a:ln w="22225">
                <a:solidFill>
                  <a:schemeClr val="bg1"/>
                </a:solidFill>
              </a:ln>
            </c:spPr>
          </c:marker>
          <c:xVal>
            <c:strRef>
              <c:f>'B Ethnicity'!$A$50:$A$51</c:f>
              <c:strCache>
                <c:ptCount val="2"/>
                <c:pt idx="0">
                  <c:v>White</c:v>
                </c:pt>
                <c:pt idx="1">
                  <c:v>White - Other</c:v>
                </c:pt>
              </c:strCache>
            </c:strRef>
          </c:xVal>
          <c:yVal>
            <c:numRef>
              <c:f>'B Ethnicity'!$F$50:$F$51</c:f>
              <c:numCache>
                <c:formatCode>0.0%</c:formatCode>
                <c:ptCount val="2"/>
                <c:pt idx="0">
                  <c:v>0.6508508959765581</c:v>
                </c:pt>
                <c:pt idx="1">
                  <c:v>0.12566212104136143</c:v>
                </c:pt>
              </c:numCache>
            </c:numRef>
          </c:yVal>
          <c:smooth val="0"/>
        </c:ser>
        <c:dLbls>
          <c:showLegendKey val="0"/>
          <c:showVal val="0"/>
          <c:showCatName val="0"/>
          <c:showSerName val="0"/>
          <c:showPercent val="0"/>
          <c:showBubbleSize val="0"/>
        </c:dLbls>
        <c:axId val="650976768"/>
        <c:axId val="679528128"/>
      </c:scatterChart>
      <c:catAx>
        <c:axId val="650976768"/>
        <c:scaling>
          <c:orientation val="minMax"/>
        </c:scaling>
        <c:delete val="0"/>
        <c:axPos val="b"/>
        <c:majorTickMark val="out"/>
        <c:minorTickMark val="none"/>
        <c:tickLblPos val="nextTo"/>
        <c:spPr>
          <a:ln>
            <a:noFill/>
          </a:ln>
        </c:spPr>
        <c:crossAx val="679528128"/>
        <c:crosses val="autoZero"/>
        <c:auto val="1"/>
        <c:lblAlgn val="ctr"/>
        <c:lblOffset val="100"/>
        <c:noMultiLvlLbl val="0"/>
      </c:catAx>
      <c:valAx>
        <c:axId val="679528128"/>
        <c:scaling>
          <c:orientation val="minMax"/>
        </c:scaling>
        <c:delete val="0"/>
        <c:axPos val="l"/>
        <c:numFmt formatCode="0.0%" sourceLinked="1"/>
        <c:majorTickMark val="out"/>
        <c:minorTickMark val="none"/>
        <c:tickLblPos val="nextTo"/>
        <c:spPr>
          <a:ln>
            <a:noFill/>
          </a:ln>
        </c:spPr>
        <c:crossAx val="650976768"/>
        <c:crosses val="autoZero"/>
        <c:crossBetween val="between"/>
      </c:valAx>
    </c:plotArea>
    <c:legend>
      <c:legendPos val="r"/>
      <c:layout>
        <c:manualLayout>
          <c:xMode val="edge"/>
          <c:yMode val="edge"/>
          <c:x val="6.4735173087591219E-2"/>
          <c:y val="1.4071736551497006E-2"/>
          <c:w val="0.92276493040893548"/>
          <c:h val="7.3551977577706776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'W Ethnicity'!$C$1</c:f>
              <c:strCache>
                <c:ptCount val="1"/>
                <c:pt idx="0">
                  <c:v>Grievance Cases %</c:v>
                </c:pt>
              </c:strCache>
            </c:strRef>
          </c:tx>
          <c:spPr>
            <a:solidFill>
              <a:schemeClr val="tx2">
                <a:lumMod val="40000"/>
                <a:lumOff val="60000"/>
              </a:schemeClr>
            </a:solidFill>
          </c:spPr>
          <c:invertIfNegative val="0"/>
          <c:cat>
            <c:strRef>
              <c:f>'W Ethnicity'!$A$2:$A$7</c:f>
              <c:strCache>
                <c:ptCount val="6"/>
                <c:pt idx="0">
                  <c:v>Asian</c:v>
                </c:pt>
                <c:pt idx="1">
                  <c:v>Black</c:v>
                </c:pt>
                <c:pt idx="2">
                  <c:v>Other</c:v>
                </c:pt>
                <c:pt idx="3">
                  <c:v>White</c:v>
                </c:pt>
                <c:pt idx="4">
                  <c:v>White - Other</c:v>
                </c:pt>
                <c:pt idx="5">
                  <c:v>Unknown</c:v>
                </c:pt>
              </c:strCache>
            </c:strRef>
          </c:cat>
          <c:val>
            <c:numRef>
              <c:f>'W Ethnicity'!$C$2:$C$7</c:f>
              <c:numCache>
                <c:formatCode>0.0%</c:formatCode>
                <c:ptCount val="6"/>
                <c:pt idx="0">
                  <c:v>0.10714285714285714</c:v>
                </c:pt>
                <c:pt idx="1">
                  <c:v>7.1428571428571425E-2</c:v>
                </c:pt>
                <c:pt idx="3">
                  <c:v>0.6785714285714286</c:v>
                </c:pt>
                <c:pt idx="4">
                  <c:v>3.5714285714285712E-2</c:v>
                </c:pt>
                <c:pt idx="5">
                  <c:v>0.10714285714285714</c:v>
                </c:pt>
              </c:numCache>
            </c:numRef>
          </c:val>
        </c:ser>
        <c:ser>
          <c:idx val="1"/>
          <c:order val="1"/>
          <c:tx>
            <c:strRef>
              <c:f>'W Ethnicity'!$E$1</c:f>
              <c:strCache>
                <c:ptCount val="1"/>
                <c:pt idx="0">
                  <c:v>Disciplinary Cases %</c:v>
                </c:pt>
              </c:strCache>
            </c:strRef>
          </c:tx>
          <c:spPr>
            <a:solidFill>
              <a:schemeClr val="accent2">
                <a:lumMod val="40000"/>
                <a:lumOff val="60000"/>
              </a:schemeClr>
            </a:solidFill>
          </c:spPr>
          <c:invertIfNegative val="0"/>
          <c:cat>
            <c:strRef>
              <c:f>'W Ethnicity'!$A$2:$A$7</c:f>
              <c:strCache>
                <c:ptCount val="6"/>
                <c:pt idx="0">
                  <c:v>Asian</c:v>
                </c:pt>
                <c:pt idx="1">
                  <c:v>Black</c:v>
                </c:pt>
                <c:pt idx="2">
                  <c:v>Other</c:v>
                </c:pt>
                <c:pt idx="3">
                  <c:v>White</c:v>
                </c:pt>
                <c:pt idx="4">
                  <c:v>White - Other</c:v>
                </c:pt>
                <c:pt idx="5">
                  <c:v>Unknown</c:v>
                </c:pt>
              </c:strCache>
            </c:strRef>
          </c:cat>
          <c:val>
            <c:numRef>
              <c:f>'W Ethnicity'!$E$2:$E$7</c:f>
              <c:numCache>
                <c:formatCode>0.0%</c:formatCode>
                <c:ptCount val="6"/>
                <c:pt idx="0">
                  <c:v>0.16981132075471697</c:v>
                </c:pt>
                <c:pt idx="1">
                  <c:v>5.6603773584905662E-2</c:v>
                </c:pt>
                <c:pt idx="2">
                  <c:v>1.8867924528301886E-2</c:v>
                </c:pt>
                <c:pt idx="3">
                  <c:v>0.60377358490566035</c:v>
                </c:pt>
                <c:pt idx="4">
                  <c:v>7.5471698113207544E-2</c:v>
                </c:pt>
                <c:pt idx="5">
                  <c:v>7.5471698113207544E-2</c:v>
                </c:pt>
              </c:numCache>
            </c:numRef>
          </c:val>
        </c:ser>
        <c:dLbls>
          <c:showLegendKey val="0"/>
          <c:showVal val="0"/>
          <c:showCatName val="0"/>
          <c:showSerName val="0"/>
          <c:showPercent val="0"/>
          <c:showBubbleSize val="0"/>
        </c:dLbls>
        <c:gapWidth val="150"/>
        <c:axId val="683126784"/>
        <c:axId val="679529856"/>
      </c:barChart>
      <c:scatterChart>
        <c:scatterStyle val="lineMarker"/>
        <c:varyColors val="0"/>
        <c:ser>
          <c:idx val="2"/>
          <c:order val="2"/>
          <c:tx>
            <c:strRef>
              <c:f>'W Ethnicity'!$F$1</c:f>
              <c:strCache>
                <c:ptCount val="1"/>
                <c:pt idx="0">
                  <c:v>Workforce Represenation %</c:v>
                </c:pt>
              </c:strCache>
            </c:strRef>
          </c:tx>
          <c:spPr>
            <a:ln w="28575">
              <a:noFill/>
            </a:ln>
          </c:spPr>
          <c:marker>
            <c:symbol val="dash"/>
            <c:size val="12"/>
            <c:spPr>
              <a:solidFill>
                <a:srgbClr val="41B6E6"/>
              </a:solidFill>
              <a:ln>
                <a:solidFill>
                  <a:schemeClr val="bg1"/>
                </a:solidFill>
              </a:ln>
            </c:spPr>
          </c:marker>
          <c:xVal>
            <c:strRef>
              <c:f>'W Ethnicity'!$A$2:$A$7</c:f>
              <c:strCache>
                <c:ptCount val="6"/>
                <c:pt idx="0">
                  <c:v>Asian</c:v>
                </c:pt>
                <c:pt idx="1">
                  <c:v>Black</c:v>
                </c:pt>
                <c:pt idx="2">
                  <c:v>Other</c:v>
                </c:pt>
                <c:pt idx="3">
                  <c:v>White</c:v>
                </c:pt>
                <c:pt idx="4">
                  <c:v>White - Other</c:v>
                </c:pt>
                <c:pt idx="5">
                  <c:v>Unknown</c:v>
                </c:pt>
              </c:strCache>
            </c:strRef>
          </c:xVal>
          <c:yVal>
            <c:numRef>
              <c:f>'W Ethnicity'!$F$2:$F$7</c:f>
              <c:numCache>
                <c:formatCode>0.0%</c:formatCode>
                <c:ptCount val="6"/>
                <c:pt idx="0">
                  <c:v>0.11106677307794627</c:v>
                </c:pt>
                <c:pt idx="1">
                  <c:v>1.7690875232774673E-2</c:v>
                </c:pt>
                <c:pt idx="2">
                  <c:v>3.6844905559989358E-2</c:v>
                </c:pt>
                <c:pt idx="3">
                  <c:v>0.68409151370045229</c:v>
                </c:pt>
                <c:pt idx="4">
                  <c:v>8.2468741686618788E-2</c:v>
                </c:pt>
                <c:pt idx="5">
                  <c:v>5.2806597499334931E-2</c:v>
                </c:pt>
              </c:numCache>
            </c:numRef>
          </c:yVal>
          <c:smooth val="0"/>
        </c:ser>
        <c:dLbls>
          <c:showLegendKey val="0"/>
          <c:showVal val="0"/>
          <c:showCatName val="0"/>
          <c:showSerName val="0"/>
          <c:showPercent val="0"/>
          <c:showBubbleSize val="0"/>
        </c:dLbls>
        <c:axId val="683126784"/>
        <c:axId val="679529856"/>
      </c:scatterChart>
      <c:catAx>
        <c:axId val="683126784"/>
        <c:scaling>
          <c:orientation val="minMax"/>
        </c:scaling>
        <c:delete val="0"/>
        <c:axPos val="b"/>
        <c:majorTickMark val="out"/>
        <c:minorTickMark val="none"/>
        <c:tickLblPos val="nextTo"/>
        <c:spPr>
          <a:ln>
            <a:noFill/>
          </a:ln>
        </c:spPr>
        <c:crossAx val="679529856"/>
        <c:crosses val="autoZero"/>
        <c:auto val="1"/>
        <c:lblAlgn val="ctr"/>
        <c:lblOffset val="100"/>
        <c:noMultiLvlLbl val="0"/>
      </c:catAx>
      <c:valAx>
        <c:axId val="679529856"/>
        <c:scaling>
          <c:orientation val="minMax"/>
        </c:scaling>
        <c:delete val="0"/>
        <c:axPos val="l"/>
        <c:numFmt formatCode="0.0%" sourceLinked="1"/>
        <c:majorTickMark val="out"/>
        <c:minorTickMark val="none"/>
        <c:tickLblPos val="nextTo"/>
        <c:spPr>
          <a:ln>
            <a:noFill/>
          </a:ln>
        </c:spPr>
        <c:crossAx val="683126784"/>
        <c:crosses val="autoZero"/>
        <c:crossBetween val="between"/>
      </c:valAx>
    </c:plotArea>
    <c:legend>
      <c:legendPos val="r"/>
      <c:layout>
        <c:manualLayout>
          <c:xMode val="edge"/>
          <c:yMode val="edge"/>
          <c:x val="0.10813024934383199"/>
          <c:y val="2.6875801643303252E-2"/>
          <c:w val="0.87936975065616796"/>
          <c:h val="0.1205060474995042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250085587127689E-2"/>
          <c:y val="2.4239121272631618E-2"/>
          <c:w val="0.89722016179137032"/>
          <c:h val="0.85200745255680255"/>
        </c:manualLayout>
      </c:layout>
      <c:barChart>
        <c:barDir val="col"/>
        <c:grouping val="clustered"/>
        <c:varyColors val="0"/>
        <c:ser>
          <c:idx val="0"/>
          <c:order val="0"/>
          <c:tx>
            <c:strRef>
              <c:f>'Ethnic B'!$C$1</c:f>
              <c:strCache>
                <c:ptCount val="1"/>
                <c:pt idx="0">
                  <c:v>2020/21 BSUH Leavers (%)</c:v>
                </c:pt>
              </c:strCache>
            </c:strRef>
          </c:tx>
          <c:spPr>
            <a:solidFill>
              <a:srgbClr val="41B6E6"/>
            </a:solidFill>
          </c:spPr>
          <c:invertIfNegative val="0"/>
          <c:cat>
            <c:strRef>
              <c:f>'Ethnic B'!$A$2:$A$8</c:f>
              <c:strCache>
                <c:ptCount val="7"/>
                <c:pt idx="0">
                  <c:v>Asian</c:v>
                </c:pt>
                <c:pt idx="1">
                  <c:v>Black</c:v>
                </c:pt>
                <c:pt idx="2">
                  <c:v>Mixed</c:v>
                </c:pt>
                <c:pt idx="3">
                  <c:v>Other</c:v>
                </c:pt>
                <c:pt idx="4">
                  <c:v>White</c:v>
                </c:pt>
                <c:pt idx="5">
                  <c:v>White - Other</c:v>
                </c:pt>
                <c:pt idx="6">
                  <c:v>Unknown</c:v>
                </c:pt>
              </c:strCache>
            </c:strRef>
          </c:cat>
          <c:val>
            <c:numRef>
              <c:f>'Ethnic B'!$C$2:$C$8</c:f>
              <c:numCache>
                <c:formatCode>0.0%</c:formatCode>
                <c:ptCount val="7"/>
                <c:pt idx="0">
                  <c:v>9.3647675180091677E-2</c:v>
                </c:pt>
                <c:pt idx="1">
                  <c:v>3.4708578912901113E-2</c:v>
                </c:pt>
                <c:pt idx="2">
                  <c:v>2.4230517354289455E-2</c:v>
                </c:pt>
                <c:pt idx="3">
                  <c:v>2.5540275049115914E-2</c:v>
                </c:pt>
                <c:pt idx="4">
                  <c:v>0.62999345121152583</c:v>
                </c:pt>
                <c:pt idx="5">
                  <c:v>0.11787819253438114</c:v>
                </c:pt>
                <c:pt idx="6">
                  <c:v>7.4001309757694825E-2</c:v>
                </c:pt>
              </c:numCache>
            </c:numRef>
          </c:val>
        </c:ser>
        <c:ser>
          <c:idx val="1"/>
          <c:order val="1"/>
          <c:tx>
            <c:strRef>
              <c:f>'Ethnic B'!$E$1</c:f>
              <c:strCache>
                <c:ptCount val="1"/>
                <c:pt idx="0">
                  <c:v>% in Workforce</c:v>
                </c:pt>
              </c:strCache>
            </c:strRef>
          </c:tx>
          <c:spPr>
            <a:solidFill>
              <a:srgbClr val="FFB81C"/>
            </a:solidFill>
          </c:spPr>
          <c:invertIfNegative val="0"/>
          <c:cat>
            <c:strRef>
              <c:f>'Ethnic B'!$A$2:$A$8</c:f>
              <c:strCache>
                <c:ptCount val="7"/>
                <c:pt idx="0">
                  <c:v>Asian</c:v>
                </c:pt>
                <c:pt idx="1">
                  <c:v>Black</c:v>
                </c:pt>
                <c:pt idx="2">
                  <c:v>Mixed</c:v>
                </c:pt>
                <c:pt idx="3">
                  <c:v>Other</c:v>
                </c:pt>
                <c:pt idx="4">
                  <c:v>White</c:v>
                </c:pt>
                <c:pt idx="5">
                  <c:v>White - Other</c:v>
                </c:pt>
                <c:pt idx="6">
                  <c:v>Unknown</c:v>
                </c:pt>
              </c:strCache>
            </c:strRef>
          </c:cat>
          <c:val>
            <c:numRef>
              <c:f>'Ethnic B'!$E$2:$E$8</c:f>
              <c:numCache>
                <c:formatCode>0.0%</c:formatCode>
                <c:ptCount val="7"/>
                <c:pt idx="0">
                  <c:v>9.6472444494533974E-2</c:v>
                </c:pt>
                <c:pt idx="1">
                  <c:v>2.930237800067621E-2</c:v>
                </c:pt>
                <c:pt idx="2">
                  <c:v>2.9978586723768737E-2</c:v>
                </c:pt>
                <c:pt idx="3">
                  <c:v>3.8656598670122846E-2</c:v>
                </c:pt>
                <c:pt idx="4">
                  <c:v>0.6508508959765581</c:v>
                </c:pt>
                <c:pt idx="5">
                  <c:v>0.12566212104136143</c:v>
                </c:pt>
                <c:pt idx="6">
                  <c:v>2.9076975092978699E-2</c:v>
                </c:pt>
              </c:numCache>
            </c:numRef>
          </c:val>
        </c:ser>
        <c:dLbls>
          <c:showLegendKey val="0"/>
          <c:showVal val="0"/>
          <c:showCatName val="0"/>
          <c:showSerName val="0"/>
          <c:showPercent val="0"/>
          <c:showBubbleSize val="0"/>
        </c:dLbls>
        <c:gapWidth val="150"/>
        <c:axId val="683128320"/>
        <c:axId val="679531584"/>
      </c:barChart>
      <c:catAx>
        <c:axId val="683128320"/>
        <c:scaling>
          <c:orientation val="minMax"/>
        </c:scaling>
        <c:delete val="0"/>
        <c:axPos val="b"/>
        <c:majorTickMark val="out"/>
        <c:minorTickMark val="none"/>
        <c:tickLblPos val="nextTo"/>
        <c:crossAx val="679531584"/>
        <c:crosses val="autoZero"/>
        <c:auto val="1"/>
        <c:lblAlgn val="ctr"/>
        <c:lblOffset val="100"/>
        <c:noMultiLvlLbl val="0"/>
      </c:catAx>
      <c:valAx>
        <c:axId val="679531584"/>
        <c:scaling>
          <c:orientation val="minMax"/>
        </c:scaling>
        <c:delete val="0"/>
        <c:axPos val="l"/>
        <c:numFmt formatCode="0.0%" sourceLinked="1"/>
        <c:majorTickMark val="out"/>
        <c:minorTickMark val="none"/>
        <c:tickLblPos val="nextTo"/>
        <c:spPr>
          <a:ln>
            <a:noFill/>
          </a:ln>
        </c:spPr>
        <c:crossAx val="683128320"/>
        <c:crosses val="autoZero"/>
        <c:crossBetween val="between"/>
      </c:valAx>
    </c:plotArea>
    <c:legend>
      <c:legendPos val="r"/>
      <c:layout>
        <c:manualLayout>
          <c:xMode val="edge"/>
          <c:yMode val="edge"/>
          <c:x val="0.70322568374605343"/>
          <c:y val="0.13431809395918534"/>
          <c:w val="0.28067125667262605"/>
          <c:h val="0.2514819368509169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250085587127689E-2"/>
          <c:y val="2.4239121272631618E-2"/>
          <c:w val="0.89722016179137032"/>
          <c:h val="0.85200745255680255"/>
        </c:manualLayout>
      </c:layout>
      <c:barChart>
        <c:barDir val="col"/>
        <c:grouping val="clustered"/>
        <c:varyColors val="0"/>
        <c:ser>
          <c:idx val="0"/>
          <c:order val="0"/>
          <c:tx>
            <c:strRef>
              <c:f>'Ethnic W'!$C$1</c:f>
              <c:strCache>
                <c:ptCount val="1"/>
                <c:pt idx="0">
                  <c:v>2020/21 WSHT Leavers (%)</c:v>
                </c:pt>
              </c:strCache>
            </c:strRef>
          </c:tx>
          <c:spPr>
            <a:solidFill>
              <a:srgbClr val="009639"/>
            </a:solidFill>
          </c:spPr>
          <c:invertIfNegative val="0"/>
          <c:cat>
            <c:strRef>
              <c:f>'Ethnic W'!$A$2:$A$8</c:f>
              <c:strCache>
                <c:ptCount val="7"/>
                <c:pt idx="0">
                  <c:v>Asian</c:v>
                </c:pt>
                <c:pt idx="1">
                  <c:v>Black</c:v>
                </c:pt>
                <c:pt idx="2">
                  <c:v>Mixed</c:v>
                </c:pt>
                <c:pt idx="3">
                  <c:v>Other</c:v>
                </c:pt>
                <c:pt idx="4">
                  <c:v>White</c:v>
                </c:pt>
                <c:pt idx="5">
                  <c:v>White - Other</c:v>
                </c:pt>
                <c:pt idx="6">
                  <c:v>Unknown</c:v>
                </c:pt>
              </c:strCache>
            </c:strRef>
          </c:cat>
          <c:val>
            <c:numRef>
              <c:f>'Ethnic W'!$C$2:$C$8</c:f>
              <c:numCache>
                <c:formatCode>0.0%</c:formatCode>
                <c:ptCount val="7"/>
                <c:pt idx="0">
                  <c:v>9.2375366568914957E-2</c:v>
                </c:pt>
                <c:pt idx="1">
                  <c:v>3.519061583577713E-2</c:v>
                </c:pt>
                <c:pt idx="2">
                  <c:v>1.466275659824047E-2</c:v>
                </c:pt>
                <c:pt idx="3">
                  <c:v>5.8651026392961877E-3</c:v>
                </c:pt>
                <c:pt idx="4">
                  <c:v>0.71114369501466279</c:v>
                </c:pt>
                <c:pt idx="5">
                  <c:v>6.7448680351906154E-2</c:v>
                </c:pt>
                <c:pt idx="6">
                  <c:v>7.331378299120235E-2</c:v>
                </c:pt>
              </c:numCache>
            </c:numRef>
          </c:val>
        </c:ser>
        <c:ser>
          <c:idx val="1"/>
          <c:order val="1"/>
          <c:tx>
            <c:strRef>
              <c:f>'Ethnic W'!$E$1</c:f>
              <c:strCache>
                <c:ptCount val="1"/>
                <c:pt idx="0">
                  <c:v>% in Workforce</c:v>
                </c:pt>
              </c:strCache>
            </c:strRef>
          </c:tx>
          <c:spPr>
            <a:solidFill>
              <a:srgbClr val="FFB81C"/>
            </a:solidFill>
          </c:spPr>
          <c:invertIfNegative val="0"/>
          <c:cat>
            <c:strRef>
              <c:f>'Ethnic W'!$A$2:$A$8</c:f>
              <c:strCache>
                <c:ptCount val="7"/>
                <c:pt idx="0">
                  <c:v>Asian</c:v>
                </c:pt>
                <c:pt idx="1">
                  <c:v>Black</c:v>
                </c:pt>
                <c:pt idx="2">
                  <c:v>Mixed</c:v>
                </c:pt>
                <c:pt idx="3">
                  <c:v>Other</c:v>
                </c:pt>
                <c:pt idx="4">
                  <c:v>White</c:v>
                </c:pt>
                <c:pt idx="5">
                  <c:v>White - Other</c:v>
                </c:pt>
                <c:pt idx="6">
                  <c:v>Unknown</c:v>
                </c:pt>
              </c:strCache>
            </c:strRef>
          </c:cat>
          <c:val>
            <c:numRef>
              <c:f>'Ethnic W'!$E$2:$E$8</c:f>
              <c:numCache>
                <c:formatCode>0.0%</c:formatCode>
                <c:ptCount val="7"/>
                <c:pt idx="0">
                  <c:v>0.11106677307794627</c:v>
                </c:pt>
                <c:pt idx="1">
                  <c:v>1.7690875232774673E-2</c:v>
                </c:pt>
                <c:pt idx="2">
                  <c:v>1.5030593242883746E-2</c:v>
                </c:pt>
                <c:pt idx="3">
                  <c:v>3.6844905559989358E-2</c:v>
                </c:pt>
                <c:pt idx="4">
                  <c:v>0.68409151370045229</c:v>
                </c:pt>
                <c:pt idx="5">
                  <c:v>8.2468741686618788E-2</c:v>
                </c:pt>
                <c:pt idx="6">
                  <c:v>5.2806597499334931E-2</c:v>
                </c:pt>
              </c:numCache>
            </c:numRef>
          </c:val>
        </c:ser>
        <c:dLbls>
          <c:showLegendKey val="0"/>
          <c:showVal val="0"/>
          <c:showCatName val="0"/>
          <c:showSerName val="0"/>
          <c:showPercent val="0"/>
          <c:showBubbleSize val="0"/>
        </c:dLbls>
        <c:gapWidth val="150"/>
        <c:axId val="680780800"/>
        <c:axId val="679533312"/>
      </c:barChart>
      <c:catAx>
        <c:axId val="680780800"/>
        <c:scaling>
          <c:orientation val="minMax"/>
        </c:scaling>
        <c:delete val="0"/>
        <c:axPos val="b"/>
        <c:majorTickMark val="out"/>
        <c:minorTickMark val="none"/>
        <c:tickLblPos val="nextTo"/>
        <c:crossAx val="679533312"/>
        <c:crosses val="autoZero"/>
        <c:auto val="1"/>
        <c:lblAlgn val="ctr"/>
        <c:lblOffset val="100"/>
        <c:noMultiLvlLbl val="0"/>
      </c:catAx>
      <c:valAx>
        <c:axId val="679533312"/>
        <c:scaling>
          <c:orientation val="minMax"/>
        </c:scaling>
        <c:delete val="0"/>
        <c:axPos val="l"/>
        <c:numFmt formatCode="0.0%" sourceLinked="1"/>
        <c:majorTickMark val="out"/>
        <c:minorTickMark val="none"/>
        <c:tickLblPos val="nextTo"/>
        <c:spPr>
          <a:ln>
            <a:noFill/>
          </a:ln>
        </c:spPr>
        <c:crossAx val="680780800"/>
        <c:crosses val="autoZero"/>
        <c:crossBetween val="between"/>
      </c:valAx>
    </c:plotArea>
    <c:legend>
      <c:legendPos val="r"/>
      <c:layout>
        <c:manualLayout>
          <c:xMode val="edge"/>
          <c:yMode val="edge"/>
          <c:x val="0.70322568374605343"/>
          <c:y val="0.13431809395918534"/>
          <c:w val="0.28067125667262605"/>
          <c:h val="0.2514819368509169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502061419051487E-2"/>
          <c:y val="3.6124794745484398E-2"/>
          <c:w val="0.68041839171859819"/>
          <c:h val="0.84823707381404911"/>
        </c:manualLayout>
      </c:layout>
      <c:barChart>
        <c:barDir val="col"/>
        <c:grouping val="clustered"/>
        <c:varyColors val="0"/>
        <c:ser>
          <c:idx val="0"/>
          <c:order val="0"/>
          <c:tx>
            <c:strRef>
              <c:f>Gender!$A$19</c:f>
              <c:strCache>
                <c:ptCount val="1"/>
                <c:pt idx="0">
                  <c:v>2020/21 (BSUH)</c:v>
                </c:pt>
              </c:strCache>
            </c:strRef>
          </c:tx>
          <c:spPr>
            <a:solidFill>
              <a:srgbClr val="41B6E6"/>
            </a:solidFill>
            <a:ln w="28575">
              <a:noFill/>
            </a:ln>
          </c:spPr>
          <c:invertIfNegative val="0"/>
          <c:cat>
            <c:strRef>
              <c:f>Gender!$B$17:$C$17</c:f>
              <c:strCache>
                <c:ptCount val="2"/>
                <c:pt idx="0">
                  <c:v>Female</c:v>
                </c:pt>
                <c:pt idx="1">
                  <c:v>Male</c:v>
                </c:pt>
              </c:strCache>
            </c:strRef>
          </c:cat>
          <c:val>
            <c:numRef>
              <c:f>Gender!$B$19:$C$19</c:f>
              <c:numCache>
                <c:formatCode>0.0%</c:formatCode>
                <c:ptCount val="2"/>
                <c:pt idx="0">
                  <c:v>0.71137157669333939</c:v>
                </c:pt>
                <c:pt idx="1">
                  <c:v>0.28862842330666066</c:v>
                </c:pt>
              </c:numCache>
            </c:numRef>
          </c:val>
        </c:ser>
        <c:ser>
          <c:idx val="1"/>
          <c:order val="1"/>
          <c:tx>
            <c:strRef>
              <c:f>Gender!$A$21</c:f>
              <c:strCache>
                <c:ptCount val="1"/>
                <c:pt idx="0">
                  <c:v>2020/21 (WSHT)</c:v>
                </c:pt>
              </c:strCache>
            </c:strRef>
          </c:tx>
          <c:spPr>
            <a:solidFill>
              <a:srgbClr val="009639"/>
            </a:solidFill>
            <a:ln w="28575">
              <a:noFill/>
            </a:ln>
          </c:spPr>
          <c:invertIfNegative val="0"/>
          <c:cat>
            <c:strRef>
              <c:f>Gender!$B$17:$C$17</c:f>
              <c:strCache>
                <c:ptCount val="2"/>
                <c:pt idx="0">
                  <c:v>Female</c:v>
                </c:pt>
                <c:pt idx="1">
                  <c:v>Male</c:v>
                </c:pt>
              </c:strCache>
            </c:strRef>
          </c:cat>
          <c:val>
            <c:numRef>
              <c:f>Gender!$B$21:$C$21</c:f>
              <c:numCache>
                <c:formatCode>0.0%</c:formatCode>
                <c:ptCount val="2"/>
                <c:pt idx="0">
                  <c:v>0.76871924458039631</c:v>
                </c:pt>
                <c:pt idx="1">
                  <c:v>0.23128075541960366</c:v>
                </c:pt>
              </c:numCache>
            </c:numRef>
          </c:val>
        </c:ser>
        <c:dLbls>
          <c:showLegendKey val="0"/>
          <c:showVal val="0"/>
          <c:showCatName val="0"/>
          <c:showSerName val="0"/>
          <c:showPercent val="0"/>
          <c:showBubbleSize val="0"/>
        </c:dLbls>
        <c:gapWidth val="150"/>
        <c:axId val="683128832"/>
        <c:axId val="694346304"/>
      </c:barChart>
      <c:scatterChart>
        <c:scatterStyle val="lineMarker"/>
        <c:varyColors val="0"/>
        <c:ser>
          <c:idx val="4"/>
          <c:order val="2"/>
          <c:tx>
            <c:strRef>
              <c:f>Gender!$A$22</c:f>
              <c:strCache>
                <c:ptCount val="1"/>
                <c:pt idx="0">
                  <c:v>Census 2011 (SE England)</c:v>
                </c:pt>
              </c:strCache>
            </c:strRef>
          </c:tx>
          <c:spPr>
            <a:ln w="28575">
              <a:noFill/>
            </a:ln>
          </c:spPr>
          <c:marker>
            <c:symbol val="dash"/>
            <c:size val="22"/>
            <c:spPr>
              <a:solidFill>
                <a:srgbClr val="FFB81C"/>
              </a:solidFill>
              <a:ln w="0">
                <a:solidFill>
                  <a:schemeClr val="bg1"/>
                </a:solidFill>
              </a:ln>
            </c:spPr>
          </c:marker>
          <c:xVal>
            <c:strRef>
              <c:f>Gender!$B$17:$C$17</c:f>
              <c:strCache>
                <c:ptCount val="2"/>
                <c:pt idx="0">
                  <c:v>Female</c:v>
                </c:pt>
                <c:pt idx="1">
                  <c:v>Male</c:v>
                </c:pt>
              </c:strCache>
            </c:strRef>
          </c:xVal>
          <c:yVal>
            <c:numRef>
              <c:f>Gender!$B$22:$C$22</c:f>
              <c:numCache>
                <c:formatCode>0.0%</c:formatCode>
                <c:ptCount val="2"/>
                <c:pt idx="0">
                  <c:v>0.50900000000000001</c:v>
                </c:pt>
                <c:pt idx="1">
                  <c:v>0.49099999999999999</c:v>
                </c:pt>
              </c:numCache>
            </c:numRef>
          </c:yVal>
          <c:smooth val="0"/>
        </c:ser>
        <c:dLbls>
          <c:showLegendKey val="0"/>
          <c:showVal val="0"/>
          <c:showCatName val="0"/>
          <c:showSerName val="0"/>
          <c:showPercent val="0"/>
          <c:showBubbleSize val="0"/>
        </c:dLbls>
        <c:axId val="683128832"/>
        <c:axId val="694346304"/>
      </c:scatterChart>
      <c:catAx>
        <c:axId val="683128832"/>
        <c:scaling>
          <c:orientation val="minMax"/>
        </c:scaling>
        <c:delete val="0"/>
        <c:axPos val="b"/>
        <c:majorTickMark val="out"/>
        <c:minorTickMark val="none"/>
        <c:tickLblPos val="nextTo"/>
        <c:crossAx val="694346304"/>
        <c:crosses val="autoZero"/>
        <c:auto val="1"/>
        <c:lblAlgn val="ctr"/>
        <c:lblOffset val="100"/>
        <c:noMultiLvlLbl val="0"/>
      </c:catAx>
      <c:valAx>
        <c:axId val="694346304"/>
        <c:scaling>
          <c:orientation val="minMax"/>
        </c:scaling>
        <c:delete val="0"/>
        <c:axPos val="l"/>
        <c:numFmt formatCode="0.0%" sourceLinked="1"/>
        <c:majorTickMark val="out"/>
        <c:minorTickMark val="none"/>
        <c:tickLblPos val="nextTo"/>
        <c:crossAx val="683128832"/>
        <c:crosses val="autoZero"/>
        <c:crossBetween val="between"/>
      </c:valAx>
    </c:plotArea>
    <c:legend>
      <c:legendPos val="r"/>
      <c:layout>
        <c:manualLayout>
          <c:xMode val="edge"/>
          <c:yMode val="edge"/>
          <c:x val="0.76723841874321153"/>
          <c:y val="0.28786574092031597"/>
          <c:w val="0.23276158125678856"/>
          <c:h val="0.1681106241030216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57961504811901E-2"/>
          <c:y val="5.1400554097404488E-2"/>
          <c:w val="0.89006736657917773"/>
          <c:h val="0.78102981918926806"/>
        </c:manualLayout>
      </c:layout>
      <c:barChart>
        <c:barDir val="col"/>
        <c:grouping val="clustered"/>
        <c:varyColors val="0"/>
        <c:ser>
          <c:idx val="0"/>
          <c:order val="0"/>
          <c:tx>
            <c:strRef>
              <c:f>Gender!$B$20</c:f>
              <c:strCache>
                <c:ptCount val="1"/>
                <c:pt idx="0">
                  <c:v>BSUH Applications</c:v>
                </c:pt>
              </c:strCache>
            </c:strRef>
          </c:tx>
          <c:invertIfNegative val="0"/>
          <c:cat>
            <c:strRef>
              <c:f>Gender!$A$21:$A$24</c:f>
              <c:strCache>
                <c:ptCount val="4"/>
                <c:pt idx="0">
                  <c:v>Male</c:v>
                </c:pt>
                <c:pt idx="1">
                  <c:v>Female</c:v>
                </c:pt>
                <c:pt idx="2">
                  <c:v>Prefer not to say</c:v>
                </c:pt>
                <c:pt idx="3">
                  <c:v>Unknown</c:v>
                </c:pt>
              </c:strCache>
            </c:strRef>
          </c:cat>
          <c:val>
            <c:numRef>
              <c:f>Gender!$B$21:$B$24</c:f>
              <c:numCache>
                <c:formatCode>0.0%</c:formatCode>
                <c:ptCount val="4"/>
                <c:pt idx="0">
                  <c:v>0.37852611688486976</c:v>
                </c:pt>
                <c:pt idx="1">
                  <c:v>0.61421919287353222</c:v>
                </c:pt>
                <c:pt idx="2">
                  <c:v>7.2546902415980561E-3</c:v>
                </c:pt>
                <c:pt idx="3">
                  <c:v>0</c:v>
                </c:pt>
              </c:numCache>
            </c:numRef>
          </c:val>
        </c:ser>
        <c:ser>
          <c:idx val="1"/>
          <c:order val="1"/>
          <c:tx>
            <c:strRef>
              <c:f>Gender!$C$20</c:f>
              <c:strCache>
                <c:ptCount val="1"/>
                <c:pt idx="0">
                  <c:v>BSUH Shortlisted</c:v>
                </c:pt>
              </c:strCache>
            </c:strRef>
          </c:tx>
          <c:invertIfNegative val="0"/>
          <c:cat>
            <c:strRef>
              <c:f>Gender!$A$21:$A$24</c:f>
              <c:strCache>
                <c:ptCount val="4"/>
                <c:pt idx="0">
                  <c:v>Male</c:v>
                </c:pt>
                <c:pt idx="1">
                  <c:v>Female</c:v>
                </c:pt>
                <c:pt idx="2">
                  <c:v>Prefer not to say</c:v>
                </c:pt>
                <c:pt idx="3">
                  <c:v>Unknown</c:v>
                </c:pt>
              </c:strCache>
            </c:strRef>
          </c:cat>
          <c:val>
            <c:numRef>
              <c:f>Gender!$C$21:$C$24</c:f>
              <c:numCache>
                <c:formatCode>0.0%</c:formatCode>
                <c:ptCount val="4"/>
                <c:pt idx="0">
                  <c:v>0.28672905626338935</c:v>
                </c:pt>
                <c:pt idx="1">
                  <c:v>0.70830984327432633</c:v>
                </c:pt>
                <c:pt idx="2">
                  <c:v>4.9611004622843614E-3</c:v>
                </c:pt>
                <c:pt idx="3">
                  <c:v>0</c:v>
                </c:pt>
              </c:numCache>
            </c:numRef>
          </c:val>
        </c:ser>
        <c:ser>
          <c:idx val="2"/>
          <c:order val="2"/>
          <c:tx>
            <c:strRef>
              <c:f>Gender!$D$20</c:f>
              <c:strCache>
                <c:ptCount val="1"/>
                <c:pt idx="0">
                  <c:v>BSUH Appointed</c:v>
                </c:pt>
              </c:strCache>
            </c:strRef>
          </c:tx>
          <c:invertIfNegative val="0"/>
          <c:cat>
            <c:strRef>
              <c:f>Gender!$A$21:$A$24</c:f>
              <c:strCache>
                <c:ptCount val="4"/>
                <c:pt idx="0">
                  <c:v>Male</c:v>
                </c:pt>
                <c:pt idx="1">
                  <c:v>Female</c:v>
                </c:pt>
                <c:pt idx="2">
                  <c:v>Prefer not to say</c:v>
                </c:pt>
                <c:pt idx="3">
                  <c:v>Unknown</c:v>
                </c:pt>
              </c:strCache>
            </c:strRef>
          </c:cat>
          <c:val>
            <c:numRef>
              <c:f>Gender!$D$21:$D$24</c:f>
              <c:numCache>
                <c:formatCode>0.0%</c:formatCode>
                <c:ptCount val="4"/>
                <c:pt idx="0">
                  <c:v>0.27335858585858586</c:v>
                </c:pt>
                <c:pt idx="1">
                  <c:v>0.72032828282828287</c:v>
                </c:pt>
                <c:pt idx="2">
                  <c:v>6.313131313131313E-3</c:v>
                </c:pt>
                <c:pt idx="3">
                  <c:v>0</c:v>
                </c:pt>
              </c:numCache>
            </c:numRef>
          </c:val>
        </c:ser>
        <c:dLbls>
          <c:showLegendKey val="0"/>
          <c:showVal val="0"/>
          <c:showCatName val="0"/>
          <c:showSerName val="0"/>
          <c:showPercent val="0"/>
          <c:showBubbleSize val="0"/>
        </c:dLbls>
        <c:gapWidth val="150"/>
        <c:axId val="683129344"/>
        <c:axId val="694348032"/>
      </c:barChart>
      <c:scatterChart>
        <c:scatterStyle val="lineMarker"/>
        <c:varyColors val="0"/>
        <c:ser>
          <c:idx val="3"/>
          <c:order val="3"/>
          <c:tx>
            <c:strRef>
              <c:f>Gender!$E$20</c:f>
              <c:strCache>
                <c:ptCount val="1"/>
                <c:pt idx="0">
                  <c:v>BSUH Workforce</c:v>
                </c:pt>
              </c:strCache>
            </c:strRef>
          </c:tx>
          <c:spPr>
            <a:ln w="28575">
              <a:noFill/>
            </a:ln>
          </c:spPr>
          <c:marker>
            <c:symbol val="circle"/>
            <c:size val="5"/>
            <c:spPr>
              <a:solidFill>
                <a:schemeClr val="accent4"/>
              </a:solidFill>
              <a:ln w="15875">
                <a:solidFill>
                  <a:schemeClr val="bg1"/>
                </a:solidFill>
              </a:ln>
            </c:spPr>
          </c:marker>
          <c:xVal>
            <c:strRef>
              <c:f>Gender!$A$21:$A$24</c:f>
              <c:strCache>
                <c:ptCount val="4"/>
                <c:pt idx="0">
                  <c:v>Male</c:v>
                </c:pt>
                <c:pt idx="1">
                  <c:v>Female</c:v>
                </c:pt>
                <c:pt idx="2">
                  <c:v>Prefer not to say</c:v>
                </c:pt>
                <c:pt idx="3">
                  <c:v>Unknown</c:v>
                </c:pt>
              </c:strCache>
            </c:strRef>
          </c:xVal>
          <c:yVal>
            <c:numRef>
              <c:f>Gender!$E$21:$E$24</c:f>
              <c:numCache>
                <c:formatCode>0.0%</c:formatCode>
                <c:ptCount val="4"/>
                <c:pt idx="0">
                  <c:v>0.28862842330666066</c:v>
                </c:pt>
                <c:pt idx="1">
                  <c:v>0.71137157669333939</c:v>
                </c:pt>
              </c:numCache>
            </c:numRef>
          </c:yVal>
          <c:smooth val="0"/>
        </c:ser>
        <c:dLbls>
          <c:showLegendKey val="0"/>
          <c:showVal val="0"/>
          <c:showCatName val="0"/>
          <c:showSerName val="0"/>
          <c:showPercent val="0"/>
          <c:showBubbleSize val="0"/>
        </c:dLbls>
        <c:axId val="683129344"/>
        <c:axId val="694348032"/>
      </c:scatterChart>
      <c:catAx>
        <c:axId val="683129344"/>
        <c:scaling>
          <c:orientation val="minMax"/>
        </c:scaling>
        <c:delete val="0"/>
        <c:axPos val="b"/>
        <c:majorTickMark val="out"/>
        <c:minorTickMark val="none"/>
        <c:tickLblPos val="nextTo"/>
        <c:crossAx val="694348032"/>
        <c:crosses val="autoZero"/>
        <c:auto val="1"/>
        <c:lblAlgn val="ctr"/>
        <c:lblOffset val="100"/>
        <c:noMultiLvlLbl val="0"/>
      </c:catAx>
      <c:valAx>
        <c:axId val="694348032"/>
        <c:scaling>
          <c:orientation val="minMax"/>
        </c:scaling>
        <c:delete val="0"/>
        <c:axPos val="l"/>
        <c:numFmt formatCode="0.0%" sourceLinked="1"/>
        <c:majorTickMark val="out"/>
        <c:minorTickMark val="none"/>
        <c:tickLblPos val="nextTo"/>
        <c:spPr>
          <a:ln>
            <a:noFill/>
          </a:ln>
        </c:spPr>
        <c:crossAx val="683129344"/>
        <c:crosses val="autoZero"/>
        <c:crossBetween val="between"/>
      </c:valAx>
    </c:plotArea>
    <c:legend>
      <c:legendPos val="r"/>
      <c:layout>
        <c:manualLayout>
          <c:xMode val="edge"/>
          <c:yMode val="edge"/>
          <c:x val="0.72245866141732296"/>
          <c:y val="4.0898950131233604E-2"/>
          <c:w val="0.21844302545623778"/>
          <c:h val="0.3159857101195683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57961504811901E-2"/>
          <c:y val="5.1400554097404488E-2"/>
          <c:w val="0.89006736657917773"/>
          <c:h val="0.78102981918926806"/>
        </c:manualLayout>
      </c:layout>
      <c:barChart>
        <c:barDir val="col"/>
        <c:grouping val="clustered"/>
        <c:varyColors val="0"/>
        <c:ser>
          <c:idx val="0"/>
          <c:order val="0"/>
          <c:tx>
            <c:strRef>
              <c:f>Gender!$B$35</c:f>
              <c:strCache>
                <c:ptCount val="1"/>
                <c:pt idx="0">
                  <c:v>WSHT Applications</c:v>
                </c:pt>
              </c:strCache>
            </c:strRef>
          </c:tx>
          <c:invertIfNegative val="0"/>
          <c:cat>
            <c:strRef>
              <c:f>Gender!$A$36:$A$39</c:f>
              <c:strCache>
                <c:ptCount val="4"/>
                <c:pt idx="0">
                  <c:v>Male</c:v>
                </c:pt>
                <c:pt idx="1">
                  <c:v>Female</c:v>
                </c:pt>
                <c:pt idx="2">
                  <c:v>Prefer not to say</c:v>
                </c:pt>
                <c:pt idx="3">
                  <c:v>Unknown</c:v>
                </c:pt>
              </c:strCache>
            </c:strRef>
          </c:cat>
          <c:val>
            <c:numRef>
              <c:f>Gender!$B$36:$B$39</c:f>
              <c:numCache>
                <c:formatCode>0.0%</c:formatCode>
                <c:ptCount val="4"/>
                <c:pt idx="0">
                  <c:v>0.34864786275079968</c:v>
                </c:pt>
                <c:pt idx="1">
                  <c:v>0.6481535330037802</c:v>
                </c:pt>
                <c:pt idx="2">
                  <c:v>3.1986042454201801E-3</c:v>
                </c:pt>
                <c:pt idx="3">
                  <c:v>0</c:v>
                </c:pt>
              </c:numCache>
            </c:numRef>
          </c:val>
        </c:ser>
        <c:ser>
          <c:idx val="1"/>
          <c:order val="1"/>
          <c:tx>
            <c:strRef>
              <c:f>Gender!$C$35</c:f>
              <c:strCache>
                <c:ptCount val="1"/>
                <c:pt idx="0">
                  <c:v>WSHT Shortlisted</c:v>
                </c:pt>
              </c:strCache>
            </c:strRef>
          </c:tx>
          <c:invertIfNegative val="0"/>
          <c:cat>
            <c:strRef>
              <c:f>Gender!$A$36:$A$39</c:f>
              <c:strCache>
                <c:ptCount val="4"/>
                <c:pt idx="0">
                  <c:v>Male</c:v>
                </c:pt>
                <c:pt idx="1">
                  <c:v>Female</c:v>
                </c:pt>
                <c:pt idx="2">
                  <c:v>Prefer not to say</c:v>
                </c:pt>
                <c:pt idx="3">
                  <c:v>Unknown</c:v>
                </c:pt>
              </c:strCache>
            </c:strRef>
          </c:cat>
          <c:val>
            <c:numRef>
              <c:f>Gender!$C$36:$C$39</c:f>
              <c:numCache>
                <c:formatCode>0.0%</c:formatCode>
                <c:ptCount val="4"/>
                <c:pt idx="0">
                  <c:v>0.25101500441306268</c:v>
                </c:pt>
                <c:pt idx="1">
                  <c:v>0.74616063548102385</c:v>
                </c:pt>
                <c:pt idx="2">
                  <c:v>2.8243601059135038E-3</c:v>
                </c:pt>
                <c:pt idx="3">
                  <c:v>0</c:v>
                </c:pt>
              </c:numCache>
            </c:numRef>
          </c:val>
        </c:ser>
        <c:ser>
          <c:idx val="2"/>
          <c:order val="2"/>
          <c:tx>
            <c:strRef>
              <c:f>Gender!$D$35</c:f>
              <c:strCache>
                <c:ptCount val="1"/>
                <c:pt idx="0">
                  <c:v>WSHT Appointed</c:v>
                </c:pt>
              </c:strCache>
            </c:strRef>
          </c:tx>
          <c:invertIfNegative val="0"/>
          <c:cat>
            <c:strRef>
              <c:f>Gender!$A$36:$A$39</c:f>
              <c:strCache>
                <c:ptCount val="4"/>
                <c:pt idx="0">
                  <c:v>Male</c:v>
                </c:pt>
                <c:pt idx="1">
                  <c:v>Female</c:v>
                </c:pt>
                <c:pt idx="2">
                  <c:v>Prefer not to say</c:v>
                </c:pt>
                <c:pt idx="3">
                  <c:v>Unknown</c:v>
                </c:pt>
              </c:strCache>
            </c:strRef>
          </c:cat>
          <c:val>
            <c:numRef>
              <c:f>Gender!$D$36:$D$39</c:f>
              <c:numCache>
                <c:formatCode>0.0%</c:formatCode>
                <c:ptCount val="4"/>
                <c:pt idx="0">
                  <c:v>0.22182468694096602</c:v>
                </c:pt>
                <c:pt idx="1">
                  <c:v>0.77638640429338102</c:v>
                </c:pt>
                <c:pt idx="2">
                  <c:v>1.7889087656529517E-3</c:v>
                </c:pt>
                <c:pt idx="3">
                  <c:v>0</c:v>
                </c:pt>
              </c:numCache>
            </c:numRef>
          </c:val>
        </c:ser>
        <c:dLbls>
          <c:showLegendKey val="0"/>
          <c:showVal val="0"/>
          <c:showCatName val="0"/>
          <c:showSerName val="0"/>
          <c:showPercent val="0"/>
          <c:showBubbleSize val="0"/>
        </c:dLbls>
        <c:gapWidth val="150"/>
        <c:axId val="683127808"/>
        <c:axId val="694349760"/>
      </c:barChart>
      <c:scatterChart>
        <c:scatterStyle val="lineMarker"/>
        <c:varyColors val="0"/>
        <c:ser>
          <c:idx val="3"/>
          <c:order val="3"/>
          <c:tx>
            <c:strRef>
              <c:f>Gender!$E$35</c:f>
              <c:strCache>
                <c:ptCount val="1"/>
                <c:pt idx="0">
                  <c:v>WSHT Workforce</c:v>
                </c:pt>
              </c:strCache>
            </c:strRef>
          </c:tx>
          <c:spPr>
            <a:ln w="28575">
              <a:noFill/>
            </a:ln>
          </c:spPr>
          <c:marker>
            <c:symbol val="circle"/>
            <c:size val="5"/>
            <c:spPr>
              <a:solidFill>
                <a:schemeClr val="accent4"/>
              </a:solidFill>
              <a:ln w="15875">
                <a:solidFill>
                  <a:schemeClr val="bg1"/>
                </a:solidFill>
              </a:ln>
            </c:spPr>
          </c:marker>
          <c:xVal>
            <c:strRef>
              <c:f>Gender!$A$36:$A$39</c:f>
              <c:strCache>
                <c:ptCount val="4"/>
                <c:pt idx="0">
                  <c:v>Male</c:v>
                </c:pt>
                <c:pt idx="1">
                  <c:v>Female</c:v>
                </c:pt>
                <c:pt idx="2">
                  <c:v>Prefer not to say</c:v>
                </c:pt>
                <c:pt idx="3">
                  <c:v>Unknown</c:v>
                </c:pt>
              </c:strCache>
            </c:strRef>
          </c:xVal>
          <c:yVal>
            <c:numRef>
              <c:f>Gender!$E$36:$E$39</c:f>
              <c:numCache>
                <c:formatCode>0.0%</c:formatCode>
                <c:ptCount val="4"/>
                <c:pt idx="0">
                  <c:v>0.23128075541960366</c:v>
                </c:pt>
                <c:pt idx="1">
                  <c:v>0.76871924458039631</c:v>
                </c:pt>
              </c:numCache>
            </c:numRef>
          </c:yVal>
          <c:smooth val="0"/>
        </c:ser>
        <c:dLbls>
          <c:showLegendKey val="0"/>
          <c:showVal val="0"/>
          <c:showCatName val="0"/>
          <c:showSerName val="0"/>
          <c:showPercent val="0"/>
          <c:showBubbleSize val="0"/>
        </c:dLbls>
        <c:axId val="683127808"/>
        <c:axId val="694349760"/>
      </c:scatterChart>
      <c:catAx>
        <c:axId val="683127808"/>
        <c:scaling>
          <c:orientation val="minMax"/>
        </c:scaling>
        <c:delete val="0"/>
        <c:axPos val="b"/>
        <c:majorTickMark val="out"/>
        <c:minorTickMark val="none"/>
        <c:tickLblPos val="nextTo"/>
        <c:crossAx val="694349760"/>
        <c:crosses val="autoZero"/>
        <c:auto val="1"/>
        <c:lblAlgn val="ctr"/>
        <c:lblOffset val="100"/>
        <c:noMultiLvlLbl val="0"/>
      </c:catAx>
      <c:valAx>
        <c:axId val="694349760"/>
        <c:scaling>
          <c:orientation val="minMax"/>
        </c:scaling>
        <c:delete val="0"/>
        <c:axPos val="l"/>
        <c:numFmt formatCode="0.0%" sourceLinked="1"/>
        <c:majorTickMark val="out"/>
        <c:minorTickMark val="none"/>
        <c:tickLblPos val="nextTo"/>
        <c:spPr>
          <a:ln>
            <a:noFill/>
          </a:ln>
        </c:spPr>
        <c:crossAx val="683127808"/>
        <c:crosses val="autoZero"/>
        <c:crossBetween val="between"/>
      </c:valAx>
    </c:plotArea>
    <c:legend>
      <c:legendPos val="r"/>
      <c:layout>
        <c:manualLayout>
          <c:xMode val="edge"/>
          <c:yMode val="edge"/>
          <c:x val="0.72245866141732296"/>
          <c:y val="4.0898950131233604E-2"/>
          <c:w val="0.21844302545623778"/>
          <c:h val="0.3159857101195683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'B Gender'!$A$2</c:f>
              <c:strCache>
                <c:ptCount val="1"/>
                <c:pt idx="0">
                  <c:v>Female</c:v>
                </c:pt>
              </c:strCache>
            </c:strRef>
          </c:tx>
          <c:invertIfNegative val="0"/>
          <c:val>
            <c:numRef>
              <c:f>'B Gender'!$B$2</c:f>
              <c:numCache>
                <c:formatCode>General</c:formatCode>
                <c:ptCount val="1"/>
                <c:pt idx="0">
                  <c:v>268</c:v>
                </c:pt>
              </c:numCache>
            </c:numRef>
          </c:val>
        </c:ser>
        <c:ser>
          <c:idx val="1"/>
          <c:order val="1"/>
          <c:tx>
            <c:strRef>
              <c:f>'B Gender'!$A$3</c:f>
              <c:strCache>
                <c:ptCount val="1"/>
                <c:pt idx="0">
                  <c:v>Male</c:v>
                </c:pt>
              </c:strCache>
            </c:strRef>
          </c:tx>
          <c:invertIfNegative val="0"/>
          <c:val>
            <c:numRef>
              <c:f>'B Gender'!$B$3</c:f>
              <c:numCache>
                <c:formatCode>General</c:formatCode>
                <c:ptCount val="1"/>
                <c:pt idx="0">
                  <c:v>65</c:v>
                </c:pt>
              </c:numCache>
            </c:numRef>
          </c:val>
        </c:ser>
        <c:ser>
          <c:idx val="2"/>
          <c:order val="2"/>
          <c:tx>
            <c:strRef>
              <c:f>'B Gender'!$A$4</c:f>
              <c:strCache>
                <c:ptCount val="1"/>
                <c:pt idx="0">
                  <c:v>Prefer not to say</c:v>
                </c:pt>
              </c:strCache>
            </c:strRef>
          </c:tx>
          <c:invertIfNegative val="0"/>
          <c:val>
            <c:numRef>
              <c:f>'B Gender'!$B$4</c:f>
              <c:numCache>
                <c:formatCode>General</c:formatCode>
                <c:ptCount val="1"/>
                <c:pt idx="0">
                  <c:v>1</c:v>
                </c:pt>
              </c:numCache>
            </c:numRef>
          </c:val>
        </c:ser>
        <c:dLbls>
          <c:showLegendKey val="0"/>
          <c:showVal val="0"/>
          <c:showCatName val="0"/>
          <c:showSerName val="0"/>
          <c:showPercent val="0"/>
          <c:showBubbleSize val="0"/>
        </c:dLbls>
        <c:gapWidth val="100"/>
        <c:overlap val="100"/>
        <c:axId val="694194176"/>
        <c:axId val="694351488"/>
      </c:barChart>
      <c:valAx>
        <c:axId val="694351488"/>
        <c:scaling>
          <c:orientation val="minMax"/>
        </c:scaling>
        <c:delete val="0"/>
        <c:axPos val="b"/>
        <c:numFmt formatCode="0%" sourceLinked="1"/>
        <c:majorTickMark val="out"/>
        <c:minorTickMark val="none"/>
        <c:tickLblPos val="nextTo"/>
        <c:spPr>
          <a:ln>
            <a:noFill/>
          </a:ln>
        </c:spPr>
        <c:txPr>
          <a:bodyPr/>
          <a:lstStyle/>
          <a:p>
            <a:pPr>
              <a:defRPr sz="1000"/>
            </a:pPr>
            <a:endParaRPr lang="en-US"/>
          </a:p>
        </c:txPr>
        <c:crossAx val="694194176"/>
        <c:crosses val="autoZero"/>
        <c:crossBetween val="between"/>
      </c:valAx>
      <c:catAx>
        <c:axId val="694194176"/>
        <c:scaling>
          <c:orientation val="minMax"/>
        </c:scaling>
        <c:delete val="1"/>
        <c:axPos val="l"/>
        <c:majorTickMark val="out"/>
        <c:minorTickMark val="none"/>
        <c:tickLblPos val="nextTo"/>
        <c:crossAx val="694351488"/>
        <c:crosses val="autoZero"/>
        <c:auto val="1"/>
        <c:lblAlgn val="ctr"/>
        <c:lblOffset val="100"/>
        <c:noMultiLvlLbl val="0"/>
      </c:catAx>
    </c:plotArea>
    <c:legend>
      <c:legendPos val="r"/>
      <c:layout/>
      <c:overlay val="0"/>
    </c:legend>
    <c:plotVisOnly val="1"/>
    <c:dispBlanksAs val="gap"/>
    <c:showDLblsOverMax val="0"/>
  </c:chart>
  <c:spPr>
    <a:ln>
      <a:noFill/>
    </a:ln>
  </c:spPr>
  <c:txPr>
    <a:bodyPr/>
    <a:lstStyle/>
    <a:p>
      <a:pPr>
        <a:defRPr sz="11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902668416447941E-2"/>
          <c:y val="5.0925925925925923E-2"/>
          <c:w val="0.71614610673665779"/>
          <c:h val="0.8300382764654417"/>
        </c:manualLayout>
      </c:layout>
      <c:barChart>
        <c:barDir val="bar"/>
        <c:grouping val="percentStacked"/>
        <c:varyColors val="0"/>
        <c:ser>
          <c:idx val="0"/>
          <c:order val="0"/>
          <c:tx>
            <c:strRef>
              <c:f>'W Gender'!$A$2</c:f>
              <c:strCache>
                <c:ptCount val="1"/>
                <c:pt idx="0">
                  <c:v>Female</c:v>
                </c:pt>
              </c:strCache>
            </c:strRef>
          </c:tx>
          <c:invertIfNegative val="0"/>
          <c:val>
            <c:numRef>
              <c:f>'W Gender'!$B$2</c:f>
              <c:numCache>
                <c:formatCode>General</c:formatCode>
                <c:ptCount val="1"/>
                <c:pt idx="0">
                  <c:v>2285</c:v>
                </c:pt>
              </c:numCache>
            </c:numRef>
          </c:val>
        </c:ser>
        <c:ser>
          <c:idx val="1"/>
          <c:order val="1"/>
          <c:tx>
            <c:strRef>
              <c:f>'W Gender'!$A$3</c:f>
              <c:strCache>
                <c:ptCount val="1"/>
                <c:pt idx="0">
                  <c:v>Male</c:v>
                </c:pt>
              </c:strCache>
            </c:strRef>
          </c:tx>
          <c:invertIfNegative val="0"/>
          <c:val>
            <c:numRef>
              <c:f>'W Gender'!$B$3</c:f>
              <c:numCache>
                <c:formatCode>General</c:formatCode>
                <c:ptCount val="1"/>
                <c:pt idx="0">
                  <c:v>456</c:v>
                </c:pt>
              </c:numCache>
            </c:numRef>
          </c:val>
        </c:ser>
        <c:dLbls>
          <c:showLegendKey val="0"/>
          <c:showVal val="0"/>
          <c:showCatName val="0"/>
          <c:showSerName val="0"/>
          <c:showPercent val="0"/>
          <c:showBubbleSize val="0"/>
        </c:dLbls>
        <c:gapWidth val="100"/>
        <c:overlap val="100"/>
        <c:axId val="694195712"/>
        <c:axId val="694353216"/>
      </c:barChart>
      <c:catAx>
        <c:axId val="694195712"/>
        <c:scaling>
          <c:orientation val="minMax"/>
        </c:scaling>
        <c:delete val="1"/>
        <c:axPos val="l"/>
        <c:majorTickMark val="out"/>
        <c:minorTickMark val="none"/>
        <c:tickLblPos val="nextTo"/>
        <c:crossAx val="694353216"/>
        <c:crosses val="autoZero"/>
        <c:auto val="1"/>
        <c:lblAlgn val="ctr"/>
        <c:lblOffset val="100"/>
        <c:noMultiLvlLbl val="0"/>
      </c:catAx>
      <c:valAx>
        <c:axId val="694353216"/>
        <c:scaling>
          <c:orientation val="minMax"/>
          <c:min val="0"/>
        </c:scaling>
        <c:delete val="0"/>
        <c:axPos val="b"/>
        <c:numFmt formatCode="0%" sourceLinked="1"/>
        <c:majorTickMark val="out"/>
        <c:minorTickMark val="none"/>
        <c:tickLblPos val="nextTo"/>
        <c:spPr>
          <a:ln>
            <a:noFill/>
          </a:ln>
        </c:spPr>
        <c:txPr>
          <a:bodyPr/>
          <a:lstStyle/>
          <a:p>
            <a:pPr>
              <a:defRPr sz="1000"/>
            </a:pPr>
            <a:endParaRPr lang="en-US"/>
          </a:p>
        </c:txPr>
        <c:crossAx val="694195712"/>
        <c:crosses val="autoZero"/>
        <c:crossBetween val="between"/>
      </c:valAx>
    </c:plotArea>
    <c:legend>
      <c:legendPos val="r"/>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'B Gender'!$C$1</c:f>
              <c:strCache>
                <c:ptCount val="1"/>
                <c:pt idx="0">
                  <c:v>Capability (Non-UHR) %</c:v>
                </c:pt>
              </c:strCache>
            </c:strRef>
          </c:tx>
          <c:spPr>
            <a:solidFill>
              <a:schemeClr val="tx2">
                <a:lumMod val="40000"/>
                <a:lumOff val="60000"/>
              </a:schemeClr>
            </a:solidFill>
          </c:spPr>
          <c:invertIfNegative val="0"/>
          <c:cat>
            <c:strRef>
              <c:f>'B Gender'!$A$2:$A$3</c:f>
              <c:strCache>
                <c:ptCount val="2"/>
                <c:pt idx="0">
                  <c:v>Female</c:v>
                </c:pt>
                <c:pt idx="1">
                  <c:v>Male</c:v>
                </c:pt>
              </c:strCache>
            </c:strRef>
          </c:cat>
          <c:val>
            <c:numRef>
              <c:f>'B Gender'!$C$2:$C$3</c:f>
              <c:numCache>
                <c:formatCode>0.0%</c:formatCode>
                <c:ptCount val="2"/>
                <c:pt idx="0">
                  <c:v>0.84375</c:v>
                </c:pt>
                <c:pt idx="1">
                  <c:v>0.15625</c:v>
                </c:pt>
              </c:numCache>
            </c:numRef>
          </c:val>
        </c:ser>
        <c:ser>
          <c:idx val="1"/>
          <c:order val="1"/>
          <c:tx>
            <c:strRef>
              <c:f>'B Gender'!$E$1</c:f>
              <c:strCache>
                <c:ptCount val="1"/>
                <c:pt idx="0">
                  <c:v>Capability (UHR) %</c:v>
                </c:pt>
              </c:strCache>
            </c:strRef>
          </c:tx>
          <c:spPr>
            <a:solidFill>
              <a:schemeClr val="accent2">
                <a:lumMod val="40000"/>
                <a:lumOff val="60000"/>
              </a:schemeClr>
            </a:solidFill>
          </c:spPr>
          <c:invertIfNegative val="0"/>
          <c:cat>
            <c:strRef>
              <c:f>'B Gender'!$A$2:$A$3</c:f>
              <c:strCache>
                <c:ptCount val="2"/>
                <c:pt idx="0">
                  <c:v>Female</c:v>
                </c:pt>
                <c:pt idx="1">
                  <c:v>Male</c:v>
                </c:pt>
              </c:strCache>
            </c:strRef>
          </c:cat>
          <c:val>
            <c:numRef>
              <c:f>'B Gender'!$E$2:$E$3</c:f>
              <c:numCache>
                <c:formatCode>0.0%</c:formatCode>
                <c:ptCount val="2"/>
                <c:pt idx="0">
                  <c:v>0.625</c:v>
                </c:pt>
                <c:pt idx="1">
                  <c:v>0.375</c:v>
                </c:pt>
              </c:numCache>
            </c:numRef>
          </c:val>
        </c:ser>
        <c:dLbls>
          <c:showLegendKey val="0"/>
          <c:showVal val="0"/>
          <c:showCatName val="0"/>
          <c:showSerName val="0"/>
          <c:showPercent val="0"/>
          <c:showBubbleSize val="0"/>
        </c:dLbls>
        <c:gapWidth val="150"/>
        <c:axId val="694196224"/>
        <c:axId val="729940544"/>
      </c:barChart>
      <c:scatterChart>
        <c:scatterStyle val="lineMarker"/>
        <c:varyColors val="0"/>
        <c:ser>
          <c:idx val="2"/>
          <c:order val="2"/>
          <c:tx>
            <c:strRef>
              <c:f>'B Gender'!$F$1</c:f>
              <c:strCache>
                <c:ptCount val="1"/>
                <c:pt idx="0">
                  <c:v>Workforce Represenation %</c:v>
                </c:pt>
              </c:strCache>
            </c:strRef>
          </c:tx>
          <c:spPr>
            <a:ln w="28575">
              <a:noFill/>
            </a:ln>
          </c:spPr>
          <c:marker>
            <c:symbol val="dash"/>
            <c:size val="27"/>
            <c:spPr>
              <a:solidFill>
                <a:srgbClr val="41B6E6"/>
              </a:solidFill>
              <a:ln w="22225">
                <a:solidFill>
                  <a:schemeClr val="bg1"/>
                </a:solidFill>
              </a:ln>
            </c:spPr>
          </c:marker>
          <c:xVal>
            <c:strRef>
              <c:f>'B Gender'!$A$2:$A$3</c:f>
              <c:strCache>
                <c:ptCount val="2"/>
                <c:pt idx="0">
                  <c:v>Female</c:v>
                </c:pt>
                <c:pt idx="1">
                  <c:v>Male</c:v>
                </c:pt>
              </c:strCache>
            </c:strRef>
          </c:xVal>
          <c:yVal>
            <c:numRef>
              <c:f>'B Gender'!$F$2:$F$3</c:f>
              <c:numCache>
                <c:formatCode>0.0%</c:formatCode>
                <c:ptCount val="2"/>
                <c:pt idx="0">
                  <c:v>0.71137157669333939</c:v>
                </c:pt>
                <c:pt idx="1">
                  <c:v>0.28862842330666066</c:v>
                </c:pt>
              </c:numCache>
            </c:numRef>
          </c:yVal>
          <c:smooth val="0"/>
        </c:ser>
        <c:dLbls>
          <c:showLegendKey val="0"/>
          <c:showVal val="0"/>
          <c:showCatName val="0"/>
          <c:showSerName val="0"/>
          <c:showPercent val="0"/>
          <c:showBubbleSize val="0"/>
        </c:dLbls>
        <c:axId val="694196224"/>
        <c:axId val="729940544"/>
      </c:scatterChart>
      <c:catAx>
        <c:axId val="694196224"/>
        <c:scaling>
          <c:orientation val="minMax"/>
        </c:scaling>
        <c:delete val="0"/>
        <c:axPos val="b"/>
        <c:majorTickMark val="out"/>
        <c:minorTickMark val="none"/>
        <c:tickLblPos val="nextTo"/>
        <c:spPr>
          <a:ln>
            <a:noFill/>
          </a:ln>
        </c:spPr>
        <c:crossAx val="729940544"/>
        <c:crosses val="autoZero"/>
        <c:auto val="1"/>
        <c:lblAlgn val="ctr"/>
        <c:lblOffset val="100"/>
        <c:noMultiLvlLbl val="0"/>
      </c:catAx>
      <c:valAx>
        <c:axId val="729940544"/>
        <c:scaling>
          <c:orientation val="minMax"/>
        </c:scaling>
        <c:delete val="0"/>
        <c:axPos val="l"/>
        <c:numFmt formatCode="0.0%" sourceLinked="1"/>
        <c:majorTickMark val="out"/>
        <c:minorTickMark val="none"/>
        <c:tickLblPos val="nextTo"/>
        <c:spPr>
          <a:ln>
            <a:noFill/>
          </a:ln>
        </c:spPr>
        <c:crossAx val="694196224"/>
        <c:crosses val="autoZero"/>
        <c:crossBetween val="between"/>
      </c:valAx>
    </c:plotArea>
    <c:legend>
      <c:legendPos val="r"/>
      <c:layout>
        <c:manualLayout>
          <c:xMode val="edge"/>
          <c:yMode val="edge"/>
          <c:x val="9.3546916010498651E-2"/>
          <c:y val="2.6875801643303252E-2"/>
          <c:w val="0.89395308398950135"/>
          <c:h val="6.5021625817899512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253733546745603E-2"/>
          <c:y val="7.1895424836601302E-2"/>
          <c:w val="0.62086768345839993"/>
          <c:h val="0.77312593278781327"/>
        </c:manualLayout>
      </c:layout>
      <c:barChart>
        <c:barDir val="bar"/>
        <c:grouping val="percentStacked"/>
        <c:varyColors val="0"/>
        <c:ser>
          <c:idx val="0"/>
          <c:order val="0"/>
          <c:tx>
            <c:strRef>
              <c:f>'B Age'!$A$2</c:f>
              <c:strCache>
                <c:ptCount val="1"/>
                <c:pt idx="0">
                  <c:v>21-25</c:v>
                </c:pt>
              </c:strCache>
            </c:strRef>
          </c:tx>
          <c:invertIfNegative val="0"/>
          <c:cat>
            <c:strRef>
              <c:f>'B Age'!$B$1</c:f>
              <c:strCache>
                <c:ptCount val="1"/>
                <c:pt idx="0">
                  <c:v>No. of staff attending training</c:v>
                </c:pt>
              </c:strCache>
            </c:strRef>
          </c:cat>
          <c:val>
            <c:numRef>
              <c:f>'B Age'!$B$2</c:f>
              <c:numCache>
                <c:formatCode>General</c:formatCode>
                <c:ptCount val="1"/>
                <c:pt idx="0">
                  <c:v>18</c:v>
                </c:pt>
              </c:numCache>
            </c:numRef>
          </c:val>
        </c:ser>
        <c:ser>
          <c:idx val="1"/>
          <c:order val="1"/>
          <c:tx>
            <c:strRef>
              <c:f>'B Age'!$A$3</c:f>
              <c:strCache>
                <c:ptCount val="1"/>
                <c:pt idx="0">
                  <c:v>26-30</c:v>
                </c:pt>
              </c:strCache>
            </c:strRef>
          </c:tx>
          <c:invertIfNegative val="0"/>
          <c:cat>
            <c:strRef>
              <c:f>'B Age'!$B$1</c:f>
              <c:strCache>
                <c:ptCount val="1"/>
                <c:pt idx="0">
                  <c:v>No. of staff attending training</c:v>
                </c:pt>
              </c:strCache>
            </c:strRef>
          </c:cat>
          <c:val>
            <c:numRef>
              <c:f>'B Age'!$B$3</c:f>
              <c:numCache>
                <c:formatCode>General</c:formatCode>
                <c:ptCount val="1"/>
                <c:pt idx="0">
                  <c:v>76</c:v>
                </c:pt>
              </c:numCache>
            </c:numRef>
          </c:val>
        </c:ser>
        <c:ser>
          <c:idx val="2"/>
          <c:order val="2"/>
          <c:tx>
            <c:strRef>
              <c:f>'B Age'!$A$4</c:f>
              <c:strCache>
                <c:ptCount val="1"/>
                <c:pt idx="0">
                  <c:v>31-35</c:v>
                </c:pt>
              </c:strCache>
            </c:strRef>
          </c:tx>
          <c:invertIfNegative val="0"/>
          <c:cat>
            <c:strRef>
              <c:f>'B Age'!$B$1</c:f>
              <c:strCache>
                <c:ptCount val="1"/>
                <c:pt idx="0">
                  <c:v>No. of staff attending training</c:v>
                </c:pt>
              </c:strCache>
            </c:strRef>
          </c:cat>
          <c:val>
            <c:numRef>
              <c:f>'B Age'!$B$4</c:f>
              <c:numCache>
                <c:formatCode>General</c:formatCode>
                <c:ptCount val="1"/>
                <c:pt idx="0">
                  <c:v>71</c:v>
                </c:pt>
              </c:numCache>
            </c:numRef>
          </c:val>
        </c:ser>
        <c:ser>
          <c:idx val="3"/>
          <c:order val="3"/>
          <c:tx>
            <c:strRef>
              <c:f>'B Age'!$A$5</c:f>
              <c:strCache>
                <c:ptCount val="1"/>
                <c:pt idx="0">
                  <c:v>36-40</c:v>
                </c:pt>
              </c:strCache>
            </c:strRef>
          </c:tx>
          <c:invertIfNegative val="0"/>
          <c:cat>
            <c:strRef>
              <c:f>'B Age'!$B$1</c:f>
              <c:strCache>
                <c:ptCount val="1"/>
                <c:pt idx="0">
                  <c:v>No. of staff attending training</c:v>
                </c:pt>
              </c:strCache>
            </c:strRef>
          </c:cat>
          <c:val>
            <c:numRef>
              <c:f>'B Age'!$B$5</c:f>
              <c:numCache>
                <c:formatCode>General</c:formatCode>
                <c:ptCount val="1"/>
                <c:pt idx="0">
                  <c:v>42</c:v>
                </c:pt>
              </c:numCache>
            </c:numRef>
          </c:val>
        </c:ser>
        <c:ser>
          <c:idx val="4"/>
          <c:order val="4"/>
          <c:tx>
            <c:strRef>
              <c:f>'B Age'!$A$6</c:f>
              <c:strCache>
                <c:ptCount val="1"/>
                <c:pt idx="0">
                  <c:v>41-45</c:v>
                </c:pt>
              </c:strCache>
            </c:strRef>
          </c:tx>
          <c:invertIfNegative val="0"/>
          <c:cat>
            <c:strRef>
              <c:f>'B Age'!$B$1</c:f>
              <c:strCache>
                <c:ptCount val="1"/>
                <c:pt idx="0">
                  <c:v>No. of staff attending training</c:v>
                </c:pt>
              </c:strCache>
            </c:strRef>
          </c:cat>
          <c:val>
            <c:numRef>
              <c:f>'B Age'!$B$6</c:f>
              <c:numCache>
                <c:formatCode>General</c:formatCode>
                <c:ptCount val="1"/>
                <c:pt idx="0">
                  <c:v>40</c:v>
                </c:pt>
              </c:numCache>
            </c:numRef>
          </c:val>
        </c:ser>
        <c:ser>
          <c:idx val="5"/>
          <c:order val="5"/>
          <c:tx>
            <c:strRef>
              <c:f>'B Age'!$A$7</c:f>
              <c:strCache>
                <c:ptCount val="1"/>
                <c:pt idx="0">
                  <c:v>46-50</c:v>
                </c:pt>
              </c:strCache>
            </c:strRef>
          </c:tx>
          <c:invertIfNegative val="0"/>
          <c:cat>
            <c:strRef>
              <c:f>'B Age'!$B$1</c:f>
              <c:strCache>
                <c:ptCount val="1"/>
                <c:pt idx="0">
                  <c:v>No. of staff attending training</c:v>
                </c:pt>
              </c:strCache>
            </c:strRef>
          </c:cat>
          <c:val>
            <c:numRef>
              <c:f>'B Age'!$B$7</c:f>
              <c:numCache>
                <c:formatCode>General</c:formatCode>
                <c:ptCount val="1"/>
                <c:pt idx="0">
                  <c:v>41</c:v>
                </c:pt>
              </c:numCache>
            </c:numRef>
          </c:val>
        </c:ser>
        <c:ser>
          <c:idx val="6"/>
          <c:order val="6"/>
          <c:tx>
            <c:strRef>
              <c:f>'B Age'!$A$8</c:f>
              <c:strCache>
                <c:ptCount val="1"/>
                <c:pt idx="0">
                  <c:v>51-55</c:v>
                </c:pt>
              </c:strCache>
            </c:strRef>
          </c:tx>
          <c:invertIfNegative val="0"/>
          <c:cat>
            <c:strRef>
              <c:f>'B Age'!$B$1</c:f>
              <c:strCache>
                <c:ptCount val="1"/>
                <c:pt idx="0">
                  <c:v>No. of staff attending training</c:v>
                </c:pt>
              </c:strCache>
            </c:strRef>
          </c:cat>
          <c:val>
            <c:numRef>
              <c:f>'B Age'!$B$8</c:f>
              <c:numCache>
                <c:formatCode>General</c:formatCode>
                <c:ptCount val="1"/>
                <c:pt idx="0">
                  <c:v>17</c:v>
                </c:pt>
              </c:numCache>
            </c:numRef>
          </c:val>
        </c:ser>
        <c:ser>
          <c:idx val="7"/>
          <c:order val="7"/>
          <c:tx>
            <c:strRef>
              <c:f>'B Age'!$A$9</c:f>
              <c:strCache>
                <c:ptCount val="1"/>
                <c:pt idx="0">
                  <c:v>56-60</c:v>
                </c:pt>
              </c:strCache>
            </c:strRef>
          </c:tx>
          <c:invertIfNegative val="0"/>
          <c:cat>
            <c:strRef>
              <c:f>'B Age'!$B$1</c:f>
              <c:strCache>
                <c:ptCount val="1"/>
                <c:pt idx="0">
                  <c:v>No. of staff attending training</c:v>
                </c:pt>
              </c:strCache>
            </c:strRef>
          </c:cat>
          <c:val>
            <c:numRef>
              <c:f>'B Age'!$B$9</c:f>
              <c:numCache>
                <c:formatCode>General</c:formatCode>
                <c:ptCount val="1"/>
                <c:pt idx="0">
                  <c:v>11</c:v>
                </c:pt>
              </c:numCache>
            </c:numRef>
          </c:val>
        </c:ser>
        <c:ser>
          <c:idx val="8"/>
          <c:order val="8"/>
          <c:tx>
            <c:strRef>
              <c:f>'B Age'!$A$10</c:f>
              <c:strCache>
                <c:ptCount val="1"/>
                <c:pt idx="0">
                  <c:v>61-65</c:v>
                </c:pt>
              </c:strCache>
            </c:strRef>
          </c:tx>
          <c:invertIfNegative val="0"/>
          <c:cat>
            <c:strRef>
              <c:f>'B Age'!$B$1</c:f>
              <c:strCache>
                <c:ptCount val="1"/>
                <c:pt idx="0">
                  <c:v>No. of staff attending training</c:v>
                </c:pt>
              </c:strCache>
            </c:strRef>
          </c:cat>
          <c:val>
            <c:numRef>
              <c:f>'B Age'!$B$10</c:f>
              <c:numCache>
                <c:formatCode>General</c:formatCode>
                <c:ptCount val="1"/>
                <c:pt idx="0">
                  <c:v>4</c:v>
                </c:pt>
              </c:numCache>
            </c:numRef>
          </c:val>
        </c:ser>
        <c:ser>
          <c:idx val="9"/>
          <c:order val="9"/>
          <c:tx>
            <c:strRef>
              <c:f>'B Age'!$A$11</c:f>
              <c:strCache>
                <c:ptCount val="1"/>
                <c:pt idx="0">
                  <c:v>Unknown</c:v>
                </c:pt>
              </c:strCache>
            </c:strRef>
          </c:tx>
          <c:invertIfNegative val="0"/>
          <c:cat>
            <c:strRef>
              <c:f>'B Age'!$B$1</c:f>
              <c:strCache>
                <c:ptCount val="1"/>
                <c:pt idx="0">
                  <c:v>No. of staff attending training</c:v>
                </c:pt>
              </c:strCache>
            </c:strRef>
          </c:cat>
          <c:val>
            <c:numRef>
              <c:f>'B Age'!$B$11</c:f>
              <c:numCache>
                <c:formatCode>General</c:formatCode>
                <c:ptCount val="1"/>
                <c:pt idx="0">
                  <c:v>14</c:v>
                </c:pt>
              </c:numCache>
            </c:numRef>
          </c:val>
        </c:ser>
        <c:dLbls>
          <c:showLegendKey val="0"/>
          <c:showVal val="0"/>
          <c:showCatName val="0"/>
          <c:showSerName val="0"/>
          <c:showPercent val="0"/>
          <c:showBubbleSize val="0"/>
        </c:dLbls>
        <c:gapWidth val="100"/>
        <c:overlap val="100"/>
        <c:axId val="168782336"/>
        <c:axId val="166023680"/>
      </c:barChart>
      <c:valAx>
        <c:axId val="166023680"/>
        <c:scaling>
          <c:orientation val="minMax"/>
        </c:scaling>
        <c:delete val="0"/>
        <c:axPos val="b"/>
        <c:numFmt formatCode="0%" sourceLinked="1"/>
        <c:majorTickMark val="out"/>
        <c:minorTickMark val="none"/>
        <c:tickLblPos val="nextTo"/>
        <c:spPr>
          <a:ln>
            <a:noFill/>
          </a:ln>
        </c:spPr>
        <c:crossAx val="168782336"/>
        <c:crosses val="autoZero"/>
        <c:crossBetween val="between"/>
      </c:valAx>
      <c:catAx>
        <c:axId val="168782336"/>
        <c:scaling>
          <c:orientation val="minMax"/>
        </c:scaling>
        <c:delete val="1"/>
        <c:axPos val="l"/>
        <c:majorTickMark val="out"/>
        <c:minorTickMark val="none"/>
        <c:tickLblPos val="nextTo"/>
        <c:crossAx val="166023680"/>
        <c:crosses val="autoZero"/>
        <c:auto val="1"/>
        <c:lblAlgn val="ctr"/>
        <c:lblOffset val="100"/>
        <c:noMultiLvlLbl val="0"/>
      </c:catAx>
    </c:plotArea>
    <c:legend>
      <c:legendPos val="r"/>
      <c:layout>
        <c:manualLayout>
          <c:xMode val="edge"/>
          <c:yMode val="edge"/>
          <c:x val="0.71346017682743268"/>
          <c:y val="5.3902526890021098E-2"/>
          <c:w val="0.27230919737738374"/>
          <c:h val="0.89219494621995776"/>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76511506425037434"/>
          <c:h val="0.84593105954964687"/>
        </c:manualLayout>
      </c:layout>
      <c:barChart>
        <c:barDir val="col"/>
        <c:grouping val="clustered"/>
        <c:varyColors val="0"/>
        <c:ser>
          <c:idx val="0"/>
          <c:order val="0"/>
          <c:tx>
            <c:strRef>
              <c:f>'B Gender'!$C$23</c:f>
              <c:strCache>
                <c:ptCount val="1"/>
                <c:pt idx="0">
                  <c:v>Harassment Cases %</c:v>
                </c:pt>
              </c:strCache>
            </c:strRef>
          </c:tx>
          <c:spPr>
            <a:solidFill>
              <a:schemeClr val="tx2">
                <a:lumMod val="40000"/>
                <a:lumOff val="60000"/>
              </a:schemeClr>
            </a:solidFill>
          </c:spPr>
          <c:invertIfNegative val="0"/>
          <c:cat>
            <c:strRef>
              <c:f>'B Gender'!$A$24:$A$25</c:f>
              <c:strCache>
                <c:ptCount val="2"/>
                <c:pt idx="0">
                  <c:v>Female</c:v>
                </c:pt>
                <c:pt idx="1">
                  <c:v>Male</c:v>
                </c:pt>
              </c:strCache>
            </c:strRef>
          </c:cat>
          <c:val>
            <c:numRef>
              <c:f>'B Gender'!$C$24:$C$25</c:f>
              <c:numCache>
                <c:formatCode>0.0%</c:formatCode>
                <c:ptCount val="2"/>
                <c:pt idx="0">
                  <c:v>1</c:v>
                </c:pt>
                <c:pt idx="1">
                  <c:v>0</c:v>
                </c:pt>
              </c:numCache>
            </c:numRef>
          </c:val>
        </c:ser>
        <c:ser>
          <c:idx val="1"/>
          <c:order val="1"/>
          <c:tx>
            <c:strRef>
              <c:f>'B Gender'!$E$23</c:f>
              <c:strCache>
                <c:ptCount val="1"/>
                <c:pt idx="0">
                  <c:v>Grievance Cases %</c:v>
                </c:pt>
              </c:strCache>
            </c:strRef>
          </c:tx>
          <c:spPr>
            <a:solidFill>
              <a:schemeClr val="accent2">
                <a:lumMod val="40000"/>
                <a:lumOff val="60000"/>
              </a:schemeClr>
            </a:solidFill>
          </c:spPr>
          <c:invertIfNegative val="0"/>
          <c:cat>
            <c:strRef>
              <c:f>'B Gender'!$A$24:$A$25</c:f>
              <c:strCache>
                <c:ptCount val="2"/>
                <c:pt idx="0">
                  <c:v>Female</c:v>
                </c:pt>
                <c:pt idx="1">
                  <c:v>Male</c:v>
                </c:pt>
              </c:strCache>
            </c:strRef>
          </c:cat>
          <c:val>
            <c:numRef>
              <c:f>'B Gender'!$E$24:$E$25</c:f>
              <c:numCache>
                <c:formatCode>0.0%</c:formatCode>
                <c:ptCount val="2"/>
                <c:pt idx="0">
                  <c:v>0.77777777777777779</c:v>
                </c:pt>
                <c:pt idx="1">
                  <c:v>0.22222222222222221</c:v>
                </c:pt>
              </c:numCache>
            </c:numRef>
          </c:val>
        </c:ser>
        <c:ser>
          <c:idx val="2"/>
          <c:order val="2"/>
          <c:tx>
            <c:strRef>
              <c:f>'B Gender'!$G$23</c:f>
              <c:strCache>
                <c:ptCount val="1"/>
                <c:pt idx="0">
                  <c:v>Disciplinary Cases %</c:v>
                </c:pt>
              </c:strCache>
            </c:strRef>
          </c:tx>
          <c:spPr>
            <a:solidFill>
              <a:schemeClr val="accent3">
                <a:lumMod val="40000"/>
                <a:lumOff val="60000"/>
              </a:schemeClr>
            </a:solidFill>
            <a:ln w="28575">
              <a:noFill/>
            </a:ln>
          </c:spPr>
          <c:invertIfNegative val="0"/>
          <c:cat>
            <c:strRef>
              <c:f>'B Gender'!$A$24:$A$25</c:f>
              <c:strCache>
                <c:ptCount val="2"/>
                <c:pt idx="0">
                  <c:v>Female</c:v>
                </c:pt>
                <c:pt idx="1">
                  <c:v>Male</c:v>
                </c:pt>
              </c:strCache>
            </c:strRef>
          </c:cat>
          <c:val>
            <c:numRef>
              <c:f>'B Gender'!$G$24:$G$25</c:f>
              <c:numCache>
                <c:formatCode>0.0%</c:formatCode>
                <c:ptCount val="2"/>
                <c:pt idx="0">
                  <c:v>0.56521739130434778</c:v>
                </c:pt>
                <c:pt idx="1">
                  <c:v>0.43478260869565216</c:v>
                </c:pt>
              </c:numCache>
            </c:numRef>
          </c:val>
        </c:ser>
        <c:dLbls>
          <c:showLegendKey val="0"/>
          <c:showVal val="0"/>
          <c:showCatName val="0"/>
          <c:showSerName val="0"/>
          <c:showPercent val="0"/>
          <c:showBubbleSize val="0"/>
        </c:dLbls>
        <c:gapWidth val="150"/>
        <c:axId val="694196736"/>
        <c:axId val="729942272"/>
      </c:barChart>
      <c:scatterChart>
        <c:scatterStyle val="lineMarker"/>
        <c:varyColors val="0"/>
        <c:ser>
          <c:idx val="3"/>
          <c:order val="3"/>
          <c:tx>
            <c:strRef>
              <c:f>'B Gender'!$H$23</c:f>
              <c:strCache>
                <c:ptCount val="1"/>
                <c:pt idx="0">
                  <c:v>Workforce Represenation %</c:v>
                </c:pt>
              </c:strCache>
            </c:strRef>
          </c:tx>
          <c:spPr>
            <a:ln w="28575">
              <a:noFill/>
            </a:ln>
          </c:spPr>
          <c:marker>
            <c:symbol val="dash"/>
            <c:size val="23"/>
            <c:spPr>
              <a:solidFill>
                <a:srgbClr val="41B6E6"/>
              </a:solidFill>
              <a:ln w="22225">
                <a:solidFill>
                  <a:schemeClr val="bg1"/>
                </a:solidFill>
              </a:ln>
            </c:spPr>
          </c:marker>
          <c:xVal>
            <c:strRef>
              <c:f>'B Gender'!$A$24:$A$25</c:f>
              <c:strCache>
                <c:ptCount val="2"/>
                <c:pt idx="0">
                  <c:v>Female</c:v>
                </c:pt>
                <c:pt idx="1">
                  <c:v>Male</c:v>
                </c:pt>
              </c:strCache>
            </c:strRef>
          </c:xVal>
          <c:yVal>
            <c:numRef>
              <c:f>'B Gender'!$H$24:$H$25</c:f>
              <c:numCache>
                <c:formatCode>0.0%</c:formatCode>
                <c:ptCount val="2"/>
                <c:pt idx="0">
                  <c:v>0.71137157669333939</c:v>
                </c:pt>
                <c:pt idx="1">
                  <c:v>0.28862842330666066</c:v>
                </c:pt>
              </c:numCache>
            </c:numRef>
          </c:yVal>
          <c:smooth val="0"/>
        </c:ser>
        <c:dLbls>
          <c:showLegendKey val="0"/>
          <c:showVal val="0"/>
          <c:showCatName val="0"/>
          <c:showSerName val="0"/>
          <c:showPercent val="0"/>
          <c:showBubbleSize val="0"/>
        </c:dLbls>
        <c:axId val="694196736"/>
        <c:axId val="729942272"/>
      </c:scatterChart>
      <c:catAx>
        <c:axId val="694196736"/>
        <c:scaling>
          <c:orientation val="minMax"/>
        </c:scaling>
        <c:delete val="0"/>
        <c:axPos val="b"/>
        <c:majorTickMark val="out"/>
        <c:minorTickMark val="none"/>
        <c:tickLblPos val="nextTo"/>
        <c:spPr>
          <a:ln>
            <a:noFill/>
          </a:ln>
        </c:spPr>
        <c:crossAx val="729942272"/>
        <c:crosses val="autoZero"/>
        <c:auto val="1"/>
        <c:lblAlgn val="ctr"/>
        <c:lblOffset val="100"/>
        <c:noMultiLvlLbl val="0"/>
      </c:catAx>
      <c:valAx>
        <c:axId val="729942272"/>
        <c:scaling>
          <c:orientation val="minMax"/>
        </c:scaling>
        <c:delete val="0"/>
        <c:axPos val="l"/>
        <c:numFmt formatCode="0%" sourceLinked="0"/>
        <c:majorTickMark val="out"/>
        <c:minorTickMark val="none"/>
        <c:tickLblPos val="nextTo"/>
        <c:spPr>
          <a:ln>
            <a:noFill/>
          </a:ln>
        </c:spPr>
        <c:crossAx val="694196736"/>
        <c:crosses val="autoZero"/>
        <c:crossBetween val="between"/>
      </c:valAx>
    </c:plotArea>
    <c:legend>
      <c:legendPos val="r"/>
      <c:layout>
        <c:manualLayout>
          <c:xMode val="edge"/>
          <c:yMode val="edge"/>
          <c:x val="6.0064421177287781E-2"/>
          <c:y val="2.6875801643303252E-2"/>
          <c:w val="0.92743550765481864"/>
          <c:h val="0.16467244491164046"/>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'B Gender'!$C$45</c:f>
              <c:strCache>
                <c:ptCount val="1"/>
                <c:pt idx="0">
                  <c:v>All Dismissals</c:v>
                </c:pt>
              </c:strCache>
            </c:strRef>
          </c:tx>
          <c:spPr>
            <a:solidFill>
              <a:schemeClr val="tx2">
                <a:lumMod val="40000"/>
                <a:lumOff val="60000"/>
              </a:schemeClr>
            </a:solidFill>
          </c:spPr>
          <c:invertIfNegative val="0"/>
          <c:cat>
            <c:strRef>
              <c:f>'B Gender'!$A$46:$A$47</c:f>
              <c:strCache>
                <c:ptCount val="2"/>
                <c:pt idx="0">
                  <c:v>Female</c:v>
                </c:pt>
                <c:pt idx="1">
                  <c:v>Male</c:v>
                </c:pt>
              </c:strCache>
            </c:strRef>
          </c:cat>
          <c:val>
            <c:numRef>
              <c:f>'B Gender'!$C$46:$C$47</c:f>
              <c:numCache>
                <c:formatCode>0.0%</c:formatCode>
                <c:ptCount val="2"/>
                <c:pt idx="0">
                  <c:v>0.76470588235294112</c:v>
                </c:pt>
                <c:pt idx="1">
                  <c:v>0.23529411764705882</c:v>
                </c:pt>
              </c:numCache>
            </c:numRef>
          </c:val>
        </c:ser>
        <c:ser>
          <c:idx val="1"/>
          <c:order val="1"/>
          <c:tx>
            <c:strRef>
              <c:f>'B Gender'!$E$45</c:f>
              <c:strCache>
                <c:ptCount val="1"/>
                <c:pt idx="0">
                  <c:v>Dismissals (Sickness only) %</c:v>
                </c:pt>
              </c:strCache>
            </c:strRef>
          </c:tx>
          <c:spPr>
            <a:solidFill>
              <a:schemeClr val="accent2">
                <a:lumMod val="40000"/>
                <a:lumOff val="60000"/>
              </a:schemeClr>
            </a:solidFill>
          </c:spPr>
          <c:invertIfNegative val="0"/>
          <c:cat>
            <c:strRef>
              <c:f>'B Gender'!$A$46:$A$47</c:f>
              <c:strCache>
                <c:ptCount val="2"/>
                <c:pt idx="0">
                  <c:v>Female</c:v>
                </c:pt>
                <c:pt idx="1">
                  <c:v>Male</c:v>
                </c:pt>
              </c:strCache>
            </c:strRef>
          </c:cat>
          <c:val>
            <c:numRef>
              <c:f>'B Gender'!$E$46:$E$47</c:f>
              <c:numCache>
                <c:formatCode>0.0%</c:formatCode>
                <c:ptCount val="2"/>
                <c:pt idx="0">
                  <c:v>0.84615384615384615</c:v>
                </c:pt>
                <c:pt idx="1">
                  <c:v>0.15384615384615385</c:v>
                </c:pt>
              </c:numCache>
            </c:numRef>
          </c:val>
        </c:ser>
        <c:dLbls>
          <c:showLegendKey val="0"/>
          <c:showVal val="0"/>
          <c:showCatName val="0"/>
          <c:showSerName val="0"/>
          <c:showPercent val="0"/>
          <c:showBubbleSize val="0"/>
        </c:dLbls>
        <c:gapWidth val="150"/>
        <c:axId val="694195200"/>
        <c:axId val="729944000"/>
      </c:barChart>
      <c:scatterChart>
        <c:scatterStyle val="lineMarker"/>
        <c:varyColors val="0"/>
        <c:ser>
          <c:idx val="2"/>
          <c:order val="2"/>
          <c:tx>
            <c:strRef>
              <c:f>'B Gender'!$F$45</c:f>
              <c:strCache>
                <c:ptCount val="1"/>
                <c:pt idx="0">
                  <c:v>Workforce Representation %</c:v>
                </c:pt>
              </c:strCache>
            </c:strRef>
          </c:tx>
          <c:spPr>
            <a:ln w="28575">
              <a:noFill/>
            </a:ln>
          </c:spPr>
          <c:marker>
            <c:symbol val="dash"/>
            <c:size val="27"/>
            <c:spPr>
              <a:solidFill>
                <a:srgbClr val="41B6E6"/>
              </a:solidFill>
              <a:ln w="22225">
                <a:solidFill>
                  <a:schemeClr val="bg1"/>
                </a:solidFill>
              </a:ln>
            </c:spPr>
          </c:marker>
          <c:xVal>
            <c:strRef>
              <c:f>'B Gender'!$A$46:$A$47</c:f>
              <c:strCache>
                <c:ptCount val="2"/>
                <c:pt idx="0">
                  <c:v>Female</c:v>
                </c:pt>
                <c:pt idx="1">
                  <c:v>Male</c:v>
                </c:pt>
              </c:strCache>
            </c:strRef>
          </c:xVal>
          <c:yVal>
            <c:numRef>
              <c:f>'B Gender'!$F$46:$F$47</c:f>
              <c:numCache>
                <c:formatCode>0.0%</c:formatCode>
                <c:ptCount val="2"/>
                <c:pt idx="0">
                  <c:v>0.71137157669333939</c:v>
                </c:pt>
                <c:pt idx="1">
                  <c:v>0.28862842330666066</c:v>
                </c:pt>
              </c:numCache>
            </c:numRef>
          </c:yVal>
          <c:smooth val="0"/>
        </c:ser>
        <c:dLbls>
          <c:showLegendKey val="0"/>
          <c:showVal val="0"/>
          <c:showCatName val="0"/>
          <c:showSerName val="0"/>
          <c:showPercent val="0"/>
          <c:showBubbleSize val="0"/>
        </c:dLbls>
        <c:axId val="694195200"/>
        <c:axId val="729944000"/>
      </c:scatterChart>
      <c:catAx>
        <c:axId val="694195200"/>
        <c:scaling>
          <c:orientation val="minMax"/>
        </c:scaling>
        <c:delete val="0"/>
        <c:axPos val="b"/>
        <c:majorTickMark val="out"/>
        <c:minorTickMark val="none"/>
        <c:tickLblPos val="nextTo"/>
        <c:spPr>
          <a:ln>
            <a:noFill/>
          </a:ln>
        </c:spPr>
        <c:crossAx val="729944000"/>
        <c:crosses val="autoZero"/>
        <c:auto val="1"/>
        <c:lblAlgn val="ctr"/>
        <c:lblOffset val="100"/>
        <c:noMultiLvlLbl val="0"/>
      </c:catAx>
      <c:valAx>
        <c:axId val="729944000"/>
        <c:scaling>
          <c:orientation val="minMax"/>
        </c:scaling>
        <c:delete val="0"/>
        <c:axPos val="l"/>
        <c:numFmt formatCode="0.0%" sourceLinked="1"/>
        <c:majorTickMark val="out"/>
        <c:minorTickMark val="none"/>
        <c:tickLblPos val="nextTo"/>
        <c:spPr>
          <a:ln>
            <a:noFill/>
          </a:ln>
        </c:spPr>
        <c:crossAx val="694195200"/>
        <c:crosses val="autoZero"/>
        <c:crossBetween val="between"/>
      </c:valAx>
    </c:plotArea>
    <c:legend>
      <c:legendPos val="r"/>
      <c:layout>
        <c:manualLayout>
          <c:xMode val="edge"/>
          <c:yMode val="edge"/>
          <c:x val="7.0630249343831983E-2"/>
          <c:y val="2.6875801643303252E-2"/>
          <c:w val="0.91686975065616794"/>
          <c:h val="6.5356683167484969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'W Gender'!$C$1</c:f>
              <c:strCache>
                <c:ptCount val="1"/>
                <c:pt idx="0">
                  <c:v>Grievance Cases %</c:v>
                </c:pt>
              </c:strCache>
            </c:strRef>
          </c:tx>
          <c:spPr>
            <a:solidFill>
              <a:schemeClr val="tx2">
                <a:lumMod val="40000"/>
                <a:lumOff val="60000"/>
              </a:schemeClr>
            </a:solidFill>
          </c:spPr>
          <c:invertIfNegative val="0"/>
          <c:cat>
            <c:strRef>
              <c:f>'W Gender'!$A$2:$A$3</c:f>
              <c:strCache>
                <c:ptCount val="2"/>
                <c:pt idx="0">
                  <c:v>Female</c:v>
                </c:pt>
                <c:pt idx="1">
                  <c:v>Male</c:v>
                </c:pt>
              </c:strCache>
            </c:strRef>
          </c:cat>
          <c:val>
            <c:numRef>
              <c:f>'W Gender'!$C$2:$C$3</c:f>
              <c:numCache>
                <c:formatCode>0.0%</c:formatCode>
                <c:ptCount val="2"/>
                <c:pt idx="0">
                  <c:v>0.6785714285714286</c:v>
                </c:pt>
                <c:pt idx="1">
                  <c:v>0.32142857142857145</c:v>
                </c:pt>
              </c:numCache>
            </c:numRef>
          </c:val>
        </c:ser>
        <c:ser>
          <c:idx val="1"/>
          <c:order val="1"/>
          <c:tx>
            <c:strRef>
              <c:f>'W Gender'!$E$1</c:f>
              <c:strCache>
                <c:ptCount val="1"/>
                <c:pt idx="0">
                  <c:v>Disciplinary Cases %</c:v>
                </c:pt>
              </c:strCache>
            </c:strRef>
          </c:tx>
          <c:spPr>
            <a:solidFill>
              <a:schemeClr val="accent2">
                <a:lumMod val="40000"/>
                <a:lumOff val="60000"/>
              </a:schemeClr>
            </a:solidFill>
          </c:spPr>
          <c:invertIfNegative val="0"/>
          <c:cat>
            <c:strRef>
              <c:f>'W Gender'!$A$2:$A$3</c:f>
              <c:strCache>
                <c:ptCount val="2"/>
                <c:pt idx="0">
                  <c:v>Female</c:v>
                </c:pt>
                <c:pt idx="1">
                  <c:v>Male</c:v>
                </c:pt>
              </c:strCache>
            </c:strRef>
          </c:cat>
          <c:val>
            <c:numRef>
              <c:f>'W Gender'!$E$2:$E$3</c:f>
              <c:numCache>
                <c:formatCode>0.0%</c:formatCode>
                <c:ptCount val="2"/>
                <c:pt idx="0">
                  <c:v>0.64150943396226412</c:v>
                </c:pt>
                <c:pt idx="1">
                  <c:v>0.35849056603773582</c:v>
                </c:pt>
              </c:numCache>
            </c:numRef>
          </c:val>
        </c:ser>
        <c:dLbls>
          <c:showLegendKey val="0"/>
          <c:showVal val="0"/>
          <c:showCatName val="0"/>
          <c:showSerName val="0"/>
          <c:showPercent val="0"/>
          <c:showBubbleSize val="0"/>
        </c:dLbls>
        <c:gapWidth val="150"/>
        <c:axId val="730345472"/>
        <c:axId val="729945728"/>
      </c:barChart>
      <c:scatterChart>
        <c:scatterStyle val="lineMarker"/>
        <c:varyColors val="0"/>
        <c:ser>
          <c:idx val="2"/>
          <c:order val="2"/>
          <c:tx>
            <c:strRef>
              <c:f>'W Gender'!$F$1</c:f>
              <c:strCache>
                <c:ptCount val="1"/>
                <c:pt idx="0">
                  <c:v>Workforce Represenation %</c:v>
                </c:pt>
              </c:strCache>
            </c:strRef>
          </c:tx>
          <c:spPr>
            <a:ln w="28575">
              <a:noFill/>
            </a:ln>
          </c:spPr>
          <c:marker>
            <c:symbol val="dash"/>
            <c:size val="12"/>
            <c:spPr>
              <a:solidFill>
                <a:srgbClr val="41B6E6"/>
              </a:solidFill>
              <a:ln>
                <a:solidFill>
                  <a:schemeClr val="bg1"/>
                </a:solidFill>
              </a:ln>
            </c:spPr>
          </c:marker>
          <c:xVal>
            <c:strRef>
              <c:f>'W Gender'!$A$2:$A$3</c:f>
              <c:strCache>
                <c:ptCount val="2"/>
                <c:pt idx="0">
                  <c:v>Female</c:v>
                </c:pt>
                <c:pt idx="1">
                  <c:v>Male</c:v>
                </c:pt>
              </c:strCache>
            </c:strRef>
          </c:xVal>
          <c:yVal>
            <c:numRef>
              <c:f>'W Gender'!$F$2:$F$3</c:f>
              <c:numCache>
                <c:formatCode>0.0%</c:formatCode>
                <c:ptCount val="2"/>
                <c:pt idx="0">
                  <c:v>0.76871924458039631</c:v>
                </c:pt>
                <c:pt idx="1">
                  <c:v>0.23128075541960366</c:v>
                </c:pt>
              </c:numCache>
            </c:numRef>
          </c:yVal>
          <c:smooth val="0"/>
        </c:ser>
        <c:dLbls>
          <c:showLegendKey val="0"/>
          <c:showVal val="0"/>
          <c:showCatName val="0"/>
          <c:showSerName val="0"/>
          <c:showPercent val="0"/>
          <c:showBubbleSize val="0"/>
        </c:dLbls>
        <c:axId val="730345472"/>
        <c:axId val="729945728"/>
      </c:scatterChart>
      <c:catAx>
        <c:axId val="730345472"/>
        <c:scaling>
          <c:orientation val="minMax"/>
        </c:scaling>
        <c:delete val="0"/>
        <c:axPos val="b"/>
        <c:majorTickMark val="out"/>
        <c:minorTickMark val="none"/>
        <c:tickLblPos val="nextTo"/>
        <c:spPr>
          <a:ln>
            <a:noFill/>
          </a:ln>
        </c:spPr>
        <c:crossAx val="729945728"/>
        <c:crosses val="autoZero"/>
        <c:auto val="1"/>
        <c:lblAlgn val="ctr"/>
        <c:lblOffset val="100"/>
        <c:noMultiLvlLbl val="0"/>
      </c:catAx>
      <c:valAx>
        <c:axId val="729945728"/>
        <c:scaling>
          <c:orientation val="minMax"/>
        </c:scaling>
        <c:delete val="0"/>
        <c:axPos val="l"/>
        <c:numFmt formatCode="0.0%" sourceLinked="1"/>
        <c:majorTickMark val="out"/>
        <c:minorTickMark val="none"/>
        <c:tickLblPos val="nextTo"/>
        <c:spPr>
          <a:ln>
            <a:noFill/>
          </a:ln>
        </c:spPr>
        <c:crossAx val="730345472"/>
        <c:crosses val="autoZero"/>
        <c:crossBetween val="between"/>
      </c:valAx>
    </c:plotArea>
    <c:legend>
      <c:legendPos val="r"/>
      <c:layout>
        <c:manualLayout>
          <c:xMode val="edge"/>
          <c:yMode val="edge"/>
          <c:x val="0.10813024934383199"/>
          <c:y val="2.6875801643303252E-2"/>
          <c:w val="0.87936975065616796"/>
          <c:h val="0.1205060474995042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250085587127689E-2"/>
          <c:y val="2.4239121272631618E-2"/>
          <c:w val="0.89722016179137032"/>
          <c:h val="0.85200745255680255"/>
        </c:manualLayout>
      </c:layout>
      <c:barChart>
        <c:barDir val="col"/>
        <c:grouping val="clustered"/>
        <c:varyColors val="0"/>
        <c:ser>
          <c:idx val="0"/>
          <c:order val="0"/>
          <c:tx>
            <c:strRef>
              <c:f>'Gender B'!$C$1</c:f>
              <c:strCache>
                <c:ptCount val="1"/>
                <c:pt idx="0">
                  <c:v>2020/21 BSUH Leavers (%)</c:v>
                </c:pt>
              </c:strCache>
            </c:strRef>
          </c:tx>
          <c:spPr>
            <a:solidFill>
              <a:srgbClr val="41B6E6"/>
            </a:solidFill>
          </c:spPr>
          <c:invertIfNegative val="0"/>
          <c:cat>
            <c:strRef>
              <c:f>'Gender B'!$A$2:$A$3</c:f>
              <c:strCache>
                <c:ptCount val="2"/>
                <c:pt idx="0">
                  <c:v>Female</c:v>
                </c:pt>
                <c:pt idx="1">
                  <c:v>Male</c:v>
                </c:pt>
              </c:strCache>
            </c:strRef>
          </c:cat>
          <c:val>
            <c:numRef>
              <c:f>'Gender B'!$C$2:$C$3</c:f>
              <c:numCache>
                <c:formatCode>0.0%</c:formatCode>
                <c:ptCount val="2"/>
                <c:pt idx="0">
                  <c:v>0.68172888015717092</c:v>
                </c:pt>
                <c:pt idx="1">
                  <c:v>0.31827111984282908</c:v>
                </c:pt>
              </c:numCache>
            </c:numRef>
          </c:val>
        </c:ser>
        <c:ser>
          <c:idx val="1"/>
          <c:order val="1"/>
          <c:tx>
            <c:strRef>
              <c:f>'Gender B'!$E$1</c:f>
              <c:strCache>
                <c:ptCount val="1"/>
                <c:pt idx="0">
                  <c:v>% in Workforce</c:v>
                </c:pt>
              </c:strCache>
            </c:strRef>
          </c:tx>
          <c:spPr>
            <a:solidFill>
              <a:srgbClr val="FFB81C"/>
            </a:solidFill>
          </c:spPr>
          <c:invertIfNegative val="0"/>
          <c:cat>
            <c:strRef>
              <c:f>'Gender B'!$A$2:$A$3</c:f>
              <c:strCache>
                <c:ptCount val="2"/>
                <c:pt idx="0">
                  <c:v>Female</c:v>
                </c:pt>
                <c:pt idx="1">
                  <c:v>Male</c:v>
                </c:pt>
              </c:strCache>
            </c:strRef>
          </c:cat>
          <c:val>
            <c:numRef>
              <c:f>'Gender B'!$E$2:$E$3</c:f>
              <c:numCache>
                <c:formatCode>0.0%</c:formatCode>
                <c:ptCount val="2"/>
                <c:pt idx="0">
                  <c:v>0.71137157669333939</c:v>
                </c:pt>
                <c:pt idx="1">
                  <c:v>0.28862842330666066</c:v>
                </c:pt>
              </c:numCache>
            </c:numRef>
          </c:val>
        </c:ser>
        <c:dLbls>
          <c:showLegendKey val="0"/>
          <c:showVal val="0"/>
          <c:showCatName val="0"/>
          <c:showSerName val="0"/>
          <c:showPercent val="0"/>
          <c:showBubbleSize val="0"/>
        </c:dLbls>
        <c:gapWidth val="150"/>
        <c:axId val="730346496"/>
        <c:axId val="729947456"/>
      </c:barChart>
      <c:catAx>
        <c:axId val="730346496"/>
        <c:scaling>
          <c:orientation val="minMax"/>
        </c:scaling>
        <c:delete val="0"/>
        <c:axPos val="b"/>
        <c:majorTickMark val="out"/>
        <c:minorTickMark val="none"/>
        <c:tickLblPos val="nextTo"/>
        <c:crossAx val="729947456"/>
        <c:crosses val="autoZero"/>
        <c:auto val="1"/>
        <c:lblAlgn val="ctr"/>
        <c:lblOffset val="100"/>
        <c:noMultiLvlLbl val="0"/>
      </c:catAx>
      <c:valAx>
        <c:axId val="729947456"/>
        <c:scaling>
          <c:orientation val="minMax"/>
        </c:scaling>
        <c:delete val="0"/>
        <c:axPos val="l"/>
        <c:numFmt formatCode="0.0%" sourceLinked="1"/>
        <c:majorTickMark val="out"/>
        <c:minorTickMark val="none"/>
        <c:tickLblPos val="nextTo"/>
        <c:spPr>
          <a:ln>
            <a:noFill/>
          </a:ln>
        </c:spPr>
        <c:crossAx val="730346496"/>
        <c:crosses val="autoZero"/>
        <c:crossBetween val="between"/>
      </c:valAx>
    </c:plotArea>
    <c:legend>
      <c:legendPos val="r"/>
      <c:layout>
        <c:manualLayout>
          <c:xMode val="edge"/>
          <c:yMode val="edge"/>
          <c:x val="0.70322568374605343"/>
          <c:y val="0.13431809395918534"/>
          <c:w val="0.28067125667262605"/>
          <c:h val="0.1259743694828844"/>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250085587127689E-2"/>
          <c:y val="2.4239121272631618E-2"/>
          <c:w val="0.89722016179137032"/>
          <c:h val="0.85200745255680255"/>
        </c:manualLayout>
      </c:layout>
      <c:barChart>
        <c:barDir val="col"/>
        <c:grouping val="clustered"/>
        <c:varyColors val="0"/>
        <c:ser>
          <c:idx val="0"/>
          <c:order val="0"/>
          <c:tx>
            <c:strRef>
              <c:f>'Gender W'!$C$1</c:f>
              <c:strCache>
                <c:ptCount val="1"/>
                <c:pt idx="0">
                  <c:v>2020/21 WSHT Leavers (%)</c:v>
                </c:pt>
              </c:strCache>
            </c:strRef>
          </c:tx>
          <c:spPr>
            <a:solidFill>
              <a:srgbClr val="009639"/>
            </a:solidFill>
          </c:spPr>
          <c:invertIfNegative val="0"/>
          <c:cat>
            <c:strRef>
              <c:f>'Gender W'!$A$2:$A$3</c:f>
              <c:strCache>
                <c:ptCount val="2"/>
                <c:pt idx="0">
                  <c:v>Female</c:v>
                </c:pt>
                <c:pt idx="1">
                  <c:v>Male</c:v>
                </c:pt>
              </c:strCache>
            </c:strRef>
          </c:cat>
          <c:val>
            <c:numRef>
              <c:f>'Gender W'!$C$2:$C$3</c:f>
              <c:numCache>
                <c:formatCode>0.0%</c:formatCode>
                <c:ptCount val="2"/>
                <c:pt idx="0">
                  <c:v>0.7404692082111437</c:v>
                </c:pt>
                <c:pt idx="1">
                  <c:v>0.2595307917888563</c:v>
                </c:pt>
              </c:numCache>
            </c:numRef>
          </c:val>
        </c:ser>
        <c:ser>
          <c:idx val="1"/>
          <c:order val="1"/>
          <c:tx>
            <c:strRef>
              <c:f>'Gender W'!$E$1</c:f>
              <c:strCache>
                <c:ptCount val="1"/>
                <c:pt idx="0">
                  <c:v>% in Workforce</c:v>
                </c:pt>
              </c:strCache>
            </c:strRef>
          </c:tx>
          <c:spPr>
            <a:solidFill>
              <a:srgbClr val="FFB81C"/>
            </a:solidFill>
          </c:spPr>
          <c:invertIfNegative val="0"/>
          <c:cat>
            <c:strRef>
              <c:f>'Gender W'!$A$2:$A$3</c:f>
              <c:strCache>
                <c:ptCount val="2"/>
                <c:pt idx="0">
                  <c:v>Female</c:v>
                </c:pt>
                <c:pt idx="1">
                  <c:v>Male</c:v>
                </c:pt>
              </c:strCache>
            </c:strRef>
          </c:cat>
          <c:val>
            <c:numRef>
              <c:f>'Gender W'!$E$2:$E$3</c:f>
              <c:numCache>
                <c:formatCode>0.0%</c:formatCode>
                <c:ptCount val="2"/>
                <c:pt idx="0">
                  <c:v>0.76871924458039631</c:v>
                </c:pt>
                <c:pt idx="1">
                  <c:v>0.23128075541960366</c:v>
                </c:pt>
              </c:numCache>
            </c:numRef>
          </c:val>
        </c:ser>
        <c:dLbls>
          <c:showLegendKey val="0"/>
          <c:showVal val="0"/>
          <c:showCatName val="0"/>
          <c:showSerName val="0"/>
          <c:showPercent val="0"/>
          <c:showBubbleSize val="0"/>
        </c:dLbls>
        <c:gapWidth val="150"/>
        <c:axId val="730347520"/>
        <c:axId val="762135680"/>
      </c:barChart>
      <c:catAx>
        <c:axId val="730347520"/>
        <c:scaling>
          <c:orientation val="minMax"/>
        </c:scaling>
        <c:delete val="0"/>
        <c:axPos val="b"/>
        <c:majorTickMark val="out"/>
        <c:minorTickMark val="none"/>
        <c:tickLblPos val="nextTo"/>
        <c:crossAx val="762135680"/>
        <c:crosses val="autoZero"/>
        <c:auto val="1"/>
        <c:lblAlgn val="ctr"/>
        <c:lblOffset val="100"/>
        <c:noMultiLvlLbl val="0"/>
      </c:catAx>
      <c:valAx>
        <c:axId val="762135680"/>
        <c:scaling>
          <c:orientation val="minMax"/>
        </c:scaling>
        <c:delete val="0"/>
        <c:axPos val="l"/>
        <c:numFmt formatCode="0.0%" sourceLinked="1"/>
        <c:majorTickMark val="out"/>
        <c:minorTickMark val="none"/>
        <c:tickLblPos val="nextTo"/>
        <c:spPr>
          <a:ln>
            <a:noFill/>
          </a:ln>
        </c:spPr>
        <c:crossAx val="730347520"/>
        <c:crosses val="autoZero"/>
        <c:crossBetween val="between"/>
      </c:valAx>
    </c:plotArea>
    <c:legend>
      <c:legendPos val="r"/>
      <c:layout>
        <c:manualLayout>
          <c:xMode val="edge"/>
          <c:yMode val="edge"/>
          <c:x val="0.70322568374605343"/>
          <c:y val="0.13431809395918534"/>
          <c:w val="0.28067125667262605"/>
          <c:h val="0.1259743694828844"/>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502061419051487E-2"/>
          <c:y val="3.6124794745484398E-2"/>
          <c:w val="0.88532142867432462"/>
          <c:h val="0.66761310008662711"/>
        </c:manualLayout>
      </c:layout>
      <c:barChart>
        <c:barDir val="col"/>
        <c:grouping val="clustered"/>
        <c:varyColors val="0"/>
        <c:ser>
          <c:idx val="2"/>
          <c:order val="0"/>
          <c:tx>
            <c:strRef>
              <c:f>'Relationship Status'!$A$17</c:f>
              <c:strCache>
                <c:ptCount val="1"/>
                <c:pt idx="0">
                  <c:v>2020/21 (BSUH)</c:v>
                </c:pt>
              </c:strCache>
            </c:strRef>
          </c:tx>
          <c:spPr>
            <a:solidFill>
              <a:srgbClr val="41B6E6"/>
            </a:solidFill>
            <a:ln w="28575">
              <a:noFill/>
            </a:ln>
          </c:spPr>
          <c:invertIfNegative val="0"/>
          <c:cat>
            <c:strRef>
              <c:f>'Relationship Status'!$B$15:$H$15</c:f>
              <c:strCache>
                <c:ptCount val="7"/>
                <c:pt idx="0">
                  <c:v>Civil Partnership</c:v>
                </c:pt>
                <c:pt idx="1">
                  <c:v>Divorced</c:v>
                </c:pt>
                <c:pt idx="2">
                  <c:v>Legally Separated</c:v>
                </c:pt>
                <c:pt idx="3">
                  <c:v>Married</c:v>
                </c:pt>
                <c:pt idx="4">
                  <c:v>Single</c:v>
                </c:pt>
                <c:pt idx="5">
                  <c:v>Widowed</c:v>
                </c:pt>
                <c:pt idx="6">
                  <c:v>Unknown</c:v>
                </c:pt>
              </c:strCache>
            </c:strRef>
          </c:cat>
          <c:val>
            <c:numRef>
              <c:f>'Relationship Status'!$B$17:$H$17</c:f>
              <c:numCache>
                <c:formatCode>0.0%</c:formatCode>
                <c:ptCount val="7"/>
                <c:pt idx="0">
                  <c:v>1.8821142792742027E-2</c:v>
                </c:pt>
                <c:pt idx="1">
                  <c:v>4.9250535331905779E-2</c:v>
                </c:pt>
                <c:pt idx="2">
                  <c:v>1.115744393102671E-2</c:v>
                </c:pt>
                <c:pt idx="3">
                  <c:v>0.41767158796348475</c:v>
                </c:pt>
                <c:pt idx="4">
                  <c:v>0.44798827904879973</c:v>
                </c:pt>
                <c:pt idx="5">
                  <c:v>6.4239828693790149E-3</c:v>
                </c:pt>
                <c:pt idx="6">
                  <c:v>4.8687028062662008E-2</c:v>
                </c:pt>
              </c:numCache>
            </c:numRef>
          </c:val>
        </c:ser>
        <c:ser>
          <c:idx val="0"/>
          <c:order val="1"/>
          <c:tx>
            <c:strRef>
              <c:f>'Relationship Status'!$A$19</c:f>
              <c:strCache>
                <c:ptCount val="1"/>
                <c:pt idx="0">
                  <c:v>2020/21 (WSHT)</c:v>
                </c:pt>
              </c:strCache>
            </c:strRef>
          </c:tx>
          <c:spPr>
            <a:solidFill>
              <a:srgbClr val="009639"/>
            </a:solidFill>
            <a:ln w="28575">
              <a:noFill/>
            </a:ln>
          </c:spPr>
          <c:invertIfNegative val="0"/>
          <c:cat>
            <c:strRef>
              <c:f>'Relationship Status'!$B$15:$H$15</c:f>
              <c:strCache>
                <c:ptCount val="7"/>
                <c:pt idx="0">
                  <c:v>Civil Partnership</c:v>
                </c:pt>
                <c:pt idx="1">
                  <c:v>Divorced</c:v>
                </c:pt>
                <c:pt idx="2">
                  <c:v>Legally Separated</c:v>
                </c:pt>
                <c:pt idx="3">
                  <c:v>Married</c:v>
                </c:pt>
                <c:pt idx="4">
                  <c:v>Single</c:v>
                </c:pt>
                <c:pt idx="5">
                  <c:v>Widowed</c:v>
                </c:pt>
                <c:pt idx="6">
                  <c:v>Unknown</c:v>
                </c:pt>
              </c:strCache>
            </c:strRef>
          </c:cat>
          <c:val>
            <c:numRef>
              <c:f>'Relationship Status'!$B$19:$H$19</c:f>
              <c:numCache>
                <c:formatCode>0.0%</c:formatCode>
                <c:ptCount val="7"/>
                <c:pt idx="0">
                  <c:v>1.0506716318659397E-2</c:v>
                </c:pt>
                <c:pt idx="1">
                  <c:v>6.1843330230083787E-2</c:v>
                </c:pt>
                <c:pt idx="2">
                  <c:v>1.2235669636919803E-2</c:v>
                </c:pt>
                <c:pt idx="3">
                  <c:v>0.51203617502327436</c:v>
                </c:pt>
                <c:pt idx="4">
                  <c:v>0.36534113578933369</c:v>
                </c:pt>
                <c:pt idx="5">
                  <c:v>1.0905705545950259E-2</c:v>
                </c:pt>
                <c:pt idx="6">
                  <c:v>2.7131267455778693E-2</c:v>
                </c:pt>
              </c:numCache>
            </c:numRef>
          </c:val>
        </c:ser>
        <c:dLbls>
          <c:showLegendKey val="0"/>
          <c:showVal val="0"/>
          <c:showCatName val="0"/>
          <c:showSerName val="0"/>
          <c:showPercent val="0"/>
          <c:showBubbleSize val="0"/>
        </c:dLbls>
        <c:gapWidth val="150"/>
        <c:axId val="730348032"/>
        <c:axId val="762137408"/>
      </c:barChart>
      <c:scatterChart>
        <c:scatterStyle val="lineMarker"/>
        <c:varyColors val="0"/>
        <c:ser>
          <c:idx val="4"/>
          <c:order val="2"/>
          <c:tx>
            <c:strRef>
              <c:f>'Relationship Status'!$A$20</c:f>
              <c:strCache>
                <c:ptCount val="1"/>
                <c:pt idx="0">
                  <c:v>Census 2011 (SE England)</c:v>
                </c:pt>
              </c:strCache>
            </c:strRef>
          </c:tx>
          <c:spPr>
            <a:ln w="28575">
              <a:noFill/>
            </a:ln>
          </c:spPr>
          <c:marker>
            <c:symbol val="dash"/>
            <c:size val="20"/>
            <c:spPr>
              <a:solidFill>
                <a:srgbClr val="FFB81C"/>
              </a:solidFill>
              <a:ln>
                <a:solidFill>
                  <a:schemeClr val="bg1"/>
                </a:solidFill>
              </a:ln>
            </c:spPr>
          </c:marker>
          <c:xVal>
            <c:strRef>
              <c:f>'Relationship Status'!$B$15:$H$15</c:f>
              <c:strCache>
                <c:ptCount val="7"/>
                <c:pt idx="0">
                  <c:v>Civil Partnership</c:v>
                </c:pt>
                <c:pt idx="1">
                  <c:v>Divorced</c:v>
                </c:pt>
                <c:pt idx="2">
                  <c:v>Legally Separated</c:v>
                </c:pt>
                <c:pt idx="3">
                  <c:v>Married</c:v>
                </c:pt>
                <c:pt idx="4">
                  <c:v>Single</c:v>
                </c:pt>
                <c:pt idx="5">
                  <c:v>Widowed</c:v>
                </c:pt>
                <c:pt idx="6">
                  <c:v>Unknown</c:v>
                </c:pt>
              </c:strCache>
            </c:strRef>
          </c:xVal>
          <c:yVal>
            <c:numRef>
              <c:f>'Relationship Status'!$B$20:$H$20</c:f>
              <c:numCache>
                <c:formatCode>0.0%</c:formatCode>
                <c:ptCount val="7"/>
                <c:pt idx="0">
                  <c:v>8.9999999999999993E-3</c:v>
                </c:pt>
                <c:pt idx="1">
                  <c:v>6.5000000000000002E-2</c:v>
                </c:pt>
                <c:pt idx="2">
                  <c:v>0.02</c:v>
                </c:pt>
                <c:pt idx="3">
                  <c:v>0.48899999999999999</c:v>
                </c:pt>
                <c:pt idx="4">
                  <c:v>0.34399999999999997</c:v>
                </c:pt>
                <c:pt idx="5">
                  <c:v>6.2E-2</c:v>
                </c:pt>
                <c:pt idx="6">
                  <c:v>1.0999999999999999E-2</c:v>
                </c:pt>
              </c:numCache>
            </c:numRef>
          </c:yVal>
          <c:smooth val="0"/>
        </c:ser>
        <c:dLbls>
          <c:showLegendKey val="0"/>
          <c:showVal val="0"/>
          <c:showCatName val="0"/>
          <c:showSerName val="0"/>
          <c:showPercent val="0"/>
          <c:showBubbleSize val="0"/>
        </c:dLbls>
        <c:axId val="730348032"/>
        <c:axId val="762137408"/>
      </c:scatterChart>
      <c:catAx>
        <c:axId val="730348032"/>
        <c:scaling>
          <c:orientation val="minMax"/>
        </c:scaling>
        <c:delete val="0"/>
        <c:axPos val="b"/>
        <c:majorTickMark val="out"/>
        <c:minorTickMark val="none"/>
        <c:tickLblPos val="nextTo"/>
        <c:crossAx val="762137408"/>
        <c:crosses val="autoZero"/>
        <c:auto val="1"/>
        <c:lblAlgn val="ctr"/>
        <c:lblOffset val="100"/>
        <c:noMultiLvlLbl val="0"/>
      </c:catAx>
      <c:valAx>
        <c:axId val="762137408"/>
        <c:scaling>
          <c:orientation val="minMax"/>
        </c:scaling>
        <c:delete val="0"/>
        <c:axPos val="l"/>
        <c:numFmt formatCode="0.0%" sourceLinked="1"/>
        <c:majorTickMark val="out"/>
        <c:minorTickMark val="none"/>
        <c:tickLblPos val="nextTo"/>
        <c:crossAx val="730348032"/>
        <c:crosses val="autoZero"/>
        <c:crossBetween val="between"/>
      </c:valAx>
    </c:plotArea>
    <c:legend>
      <c:legendPos val="r"/>
      <c:layout>
        <c:manualLayout>
          <c:xMode val="edge"/>
          <c:yMode val="edge"/>
          <c:x val="0.76723841874321153"/>
          <c:y val="0.28786574092031597"/>
          <c:w val="0.23276158125678856"/>
          <c:h val="0.1681106241030216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57961504811901E-2"/>
          <c:y val="5.1400554097404488E-2"/>
          <c:w val="0.89006736657917773"/>
          <c:h val="0.51251130067074946"/>
        </c:manualLayout>
      </c:layout>
      <c:barChart>
        <c:barDir val="col"/>
        <c:grouping val="clustered"/>
        <c:varyColors val="0"/>
        <c:ser>
          <c:idx val="0"/>
          <c:order val="0"/>
          <c:tx>
            <c:strRef>
              <c:f>'Marital Status'!$B$28</c:f>
              <c:strCache>
                <c:ptCount val="1"/>
                <c:pt idx="0">
                  <c:v>BSUH Applications</c:v>
                </c:pt>
              </c:strCache>
            </c:strRef>
          </c:tx>
          <c:invertIfNegative val="0"/>
          <c:cat>
            <c:strRef>
              <c:f>'Marital Status'!$A$29:$A$37</c:f>
              <c:strCache>
                <c:ptCount val="9"/>
                <c:pt idx="0">
                  <c:v>Single</c:v>
                </c:pt>
                <c:pt idx="1">
                  <c:v>Married</c:v>
                </c:pt>
                <c:pt idx="2">
                  <c:v>Civil partnership</c:v>
                </c:pt>
                <c:pt idx="3">
                  <c:v>Legally separated</c:v>
                </c:pt>
                <c:pt idx="4">
                  <c:v>Divorced</c:v>
                </c:pt>
                <c:pt idx="5">
                  <c:v>Widowed</c:v>
                </c:pt>
                <c:pt idx="6">
                  <c:v>Other</c:v>
                </c:pt>
                <c:pt idx="7">
                  <c:v>Prefer not to say</c:v>
                </c:pt>
                <c:pt idx="8">
                  <c:v>Not stated</c:v>
                </c:pt>
              </c:strCache>
            </c:strRef>
          </c:cat>
          <c:val>
            <c:numRef>
              <c:f>'Marital Status'!$B$29:$B$37</c:f>
              <c:numCache>
                <c:formatCode>0.0%</c:formatCode>
                <c:ptCount val="9"/>
                <c:pt idx="0">
                  <c:v>0.56441490079632883</c:v>
                </c:pt>
                <c:pt idx="1">
                  <c:v>0.3093872317451748</c:v>
                </c:pt>
                <c:pt idx="2">
                  <c:v>2.2843838574706437E-2</c:v>
                </c:pt>
                <c:pt idx="3">
                  <c:v>5.6012957214198944E-3</c:v>
                </c:pt>
                <c:pt idx="4">
                  <c:v>3.1988122553650966E-2</c:v>
                </c:pt>
                <c:pt idx="5">
                  <c:v>5.3313537589418274E-3</c:v>
                </c:pt>
                <c:pt idx="6">
                  <c:v>1.5487920097179107E-2</c:v>
                </c:pt>
                <c:pt idx="7">
                  <c:v>2.4058577405857741E-2</c:v>
                </c:pt>
                <c:pt idx="8">
                  <c:v>2.088675934674045E-2</c:v>
                </c:pt>
              </c:numCache>
            </c:numRef>
          </c:val>
        </c:ser>
        <c:ser>
          <c:idx val="1"/>
          <c:order val="1"/>
          <c:tx>
            <c:strRef>
              <c:f>'Marital Status'!$C$28</c:f>
              <c:strCache>
                <c:ptCount val="1"/>
                <c:pt idx="0">
                  <c:v>BSUH Shortlisted</c:v>
                </c:pt>
              </c:strCache>
            </c:strRef>
          </c:tx>
          <c:invertIfNegative val="0"/>
          <c:cat>
            <c:strRef>
              <c:f>'Marital Status'!$A$29:$A$37</c:f>
              <c:strCache>
                <c:ptCount val="9"/>
                <c:pt idx="0">
                  <c:v>Single</c:v>
                </c:pt>
                <c:pt idx="1">
                  <c:v>Married</c:v>
                </c:pt>
                <c:pt idx="2">
                  <c:v>Civil partnership</c:v>
                </c:pt>
                <c:pt idx="3">
                  <c:v>Legally separated</c:v>
                </c:pt>
                <c:pt idx="4">
                  <c:v>Divorced</c:v>
                </c:pt>
                <c:pt idx="5">
                  <c:v>Widowed</c:v>
                </c:pt>
                <c:pt idx="6">
                  <c:v>Other</c:v>
                </c:pt>
                <c:pt idx="7">
                  <c:v>Prefer not to say</c:v>
                </c:pt>
                <c:pt idx="8">
                  <c:v>Not stated</c:v>
                </c:pt>
              </c:strCache>
            </c:strRef>
          </c:cat>
          <c:val>
            <c:numRef>
              <c:f>'Marital Status'!$C$29:$C$37</c:f>
              <c:numCache>
                <c:formatCode>0.0%</c:formatCode>
                <c:ptCount val="9"/>
                <c:pt idx="0">
                  <c:v>0.52880820836621945</c:v>
                </c:pt>
                <c:pt idx="1">
                  <c:v>0.27815988273762543</c:v>
                </c:pt>
                <c:pt idx="2">
                  <c:v>2.3114218062915776E-2</c:v>
                </c:pt>
                <c:pt idx="3">
                  <c:v>6.4268801443229228E-3</c:v>
                </c:pt>
                <c:pt idx="4">
                  <c:v>4.0365317397677306E-2</c:v>
                </c:pt>
                <c:pt idx="5">
                  <c:v>6.314127861089187E-3</c:v>
                </c:pt>
                <c:pt idx="6">
                  <c:v>2.1873942947344682E-2</c:v>
                </c:pt>
                <c:pt idx="7">
                  <c:v>2.5933025143759163E-2</c:v>
                </c:pt>
                <c:pt idx="8">
                  <c:v>6.900439733904612E-2</c:v>
                </c:pt>
              </c:numCache>
            </c:numRef>
          </c:val>
        </c:ser>
        <c:ser>
          <c:idx val="2"/>
          <c:order val="2"/>
          <c:tx>
            <c:strRef>
              <c:f>'Marital Status'!$D$28</c:f>
              <c:strCache>
                <c:ptCount val="1"/>
                <c:pt idx="0">
                  <c:v>BSUH Appointed</c:v>
                </c:pt>
              </c:strCache>
            </c:strRef>
          </c:tx>
          <c:invertIfNegative val="0"/>
          <c:cat>
            <c:strRef>
              <c:f>'Marital Status'!$A$29:$A$37</c:f>
              <c:strCache>
                <c:ptCount val="9"/>
                <c:pt idx="0">
                  <c:v>Single</c:v>
                </c:pt>
                <c:pt idx="1">
                  <c:v>Married</c:v>
                </c:pt>
                <c:pt idx="2">
                  <c:v>Civil partnership</c:v>
                </c:pt>
                <c:pt idx="3">
                  <c:v>Legally separated</c:v>
                </c:pt>
                <c:pt idx="4">
                  <c:v>Divorced</c:v>
                </c:pt>
                <c:pt idx="5">
                  <c:v>Widowed</c:v>
                </c:pt>
                <c:pt idx="6">
                  <c:v>Other</c:v>
                </c:pt>
                <c:pt idx="7">
                  <c:v>Prefer not to say</c:v>
                </c:pt>
                <c:pt idx="8">
                  <c:v>Not stated</c:v>
                </c:pt>
              </c:strCache>
            </c:strRef>
          </c:cat>
          <c:val>
            <c:numRef>
              <c:f>'Marital Status'!$D$29:$D$37</c:f>
              <c:numCache>
                <c:formatCode>0.0%</c:formatCode>
                <c:ptCount val="9"/>
                <c:pt idx="0">
                  <c:v>0.44633838383838381</c:v>
                </c:pt>
                <c:pt idx="1">
                  <c:v>0.22664141414141414</c:v>
                </c:pt>
                <c:pt idx="2">
                  <c:v>2.5252525252525252E-2</c:v>
                </c:pt>
                <c:pt idx="3">
                  <c:v>4.419191919191919E-3</c:v>
                </c:pt>
                <c:pt idx="4">
                  <c:v>3.5353535353535352E-2</c:v>
                </c:pt>
                <c:pt idx="5">
                  <c:v>3.787878787878788E-3</c:v>
                </c:pt>
                <c:pt idx="6">
                  <c:v>3.0934343434343436E-2</c:v>
                </c:pt>
                <c:pt idx="7">
                  <c:v>1.7676767676767676E-2</c:v>
                </c:pt>
                <c:pt idx="8">
                  <c:v>0.20959595959595959</c:v>
                </c:pt>
              </c:numCache>
            </c:numRef>
          </c:val>
        </c:ser>
        <c:dLbls>
          <c:showLegendKey val="0"/>
          <c:showVal val="0"/>
          <c:showCatName val="0"/>
          <c:showSerName val="0"/>
          <c:showPercent val="0"/>
          <c:showBubbleSize val="0"/>
        </c:dLbls>
        <c:gapWidth val="150"/>
        <c:axId val="730348544"/>
        <c:axId val="762138560"/>
      </c:barChart>
      <c:scatterChart>
        <c:scatterStyle val="lineMarker"/>
        <c:varyColors val="0"/>
        <c:ser>
          <c:idx val="3"/>
          <c:order val="3"/>
          <c:tx>
            <c:strRef>
              <c:f>'Marital Status'!$E$28</c:f>
              <c:strCache>
                <c:ptCount val="1"/>
                <c:pt idx="0">
                  <c:v>BSUH Workforce</c:v>
                </c:pt>
              </c:strCache>
            </c:strRef>
          </c:tx>
          <c:spPr>
            <a:ln w="28575">
              <a:noFill/>
            </a:ln>
          </c:spPr>
          <c:marker>
            <c:symbol val="circle"/>
            <c:size val="5"/>
            <c:spPr>
              <a:solidFill>
                <a:schemeClr val="accent4"/>
              </a:solidFill>
              <a:ln w="15875">
                <a:solidFill>
                  <a:schemeClr val="bg1"/>
                </a:solidFill>
              </a:ln>
            </c:spPr>
          </c:marker>
          <c:xVal>
            <c:strRef>
              <c:f>'Marital Status'!$A$29:$A$37</c:f>
              <c:strCache>
                <c:ptCount val="9"/>
                <c:pt idx="0">
                  <c:v>Single</c:v>
                </c:pt>
                <c:pt idx="1">
                  <c:v>Married</c:v>
                </c:pt>
                <c:pt idx="2">
                  <c:v>Civil partnership</c:v>
                </c:pt>
                <c:pt idx="3">
                  <c:v>Legally separated</c:v>
                </c:pt>
                <c:pt idx="4">
                  <c:v>Divorced</c:v>
                </c:pt>
                <c:pt idx="5">
                  <c:v>Widowed</c:v>
                </c:pt>
                <c:pt idx="6">
                  <c:v>Other</c:v>
                </c:pt>
                <c:pt idx="7">
                  <c:v>Prefer not to say</c:v>
                </c:pt>
                <c:pt idx="8">
                  <c:v>Not stated</c:v>
                </c:pt>
              </c:strCache>
            </c:strRef>
          </c:xVal>
          <c:yVal>
            <c:numRef>
              <c:f>'Marital Status'!$E$29:$E$37</c:f>
              <c:numCache>
                <c:formatCode>0.0%</c:formatCode>
                <c:ptCount val="9"/>
                <c:pt idx="0">
                  <c:v>0.44798827904879973</c:v>
                </c:pt>
                <c:pt idx="1">
                  <c:v>0.41767158796348475</c:v>
                </c:pt>
                <c:pt idx="2">
                  <c:v>1.8821142792742027E-2</c:v>
                </c:pt>
                <c:pt idx="3">
                  <c:v>1.115744393102671E-2</c:v>
                </c:pt>
                <c:pt idx="4">
                  <c:v>4.9250535331905779E-2</c:v>
                </c:pt>
                <c:pt idx="5">
                  <c:v>6.4239828693790149E-3</c:v>
                </c:pt>
                <c:pt idx="8">
                  <c:v>4.8687028062662008E-2</c:v>
                </c:pt>
              </c:numCache>
            </c:numRef>
          </c:yVal>
          <c:smooth val="0"/>
        </c:ser>
        <c:dLbls>
          <c:showLegendKey val="0"/>
          <c:showVal val="0"/>
          <c:showCatName val="0"/>
          <c:showSerName val="0"/>
          <c:showPercent val="0"/>
          <c:showBubbleSize val="0"/>
        </c:dLbls>
        <c:axId val="730348544"/>
        <c:axId val="762138560"/>
      </c:scatterChart>
      <c:catAx>
        <c:axId val="730348544"/>
        <c:scaling>
          <c:orientation val="minMax"/>
        </c:scaling>
        <c:delete val="0"/>
        <c:axPos val="b"/>
        <c:majorTickMark val="out"/>
        <c:minorTickMark val="none"/>
        <c:tickLblPos val="nextTo"/>
        <c:crossAx val="762138560"/>
        <c:crosses val="autoZero"/>
        <c:auto val="1"/>
        <c:lblAlgn val="ctr"/>
        <c:lblOffset val="100"/>
        <c:noMultiLvlLbl val="0"/>
      </c:catAx>
      <c:valAx>
        <c:axId val="762138560"/>
        <c:scaling>
          <c:orientation val="minMax"/>
        </c:scaling>
        <c:delete val="0"/>
        <c:axPos val="l"/>
        <c:numFmt formatCode="0.0%" sourceLinked="1"/>
        <c:majorTickMark val="out"/>
        <c:minorTickMark val="none"/>
        <c:tickLblPos val="nextTo"/>
        <c:spPr>
          <a:ln>
            <a:noFill/>
          </a:ln>
        </c:spPr>
        <c:crossAx val="730348544"/>
        <c:crosses val="autoZero"/>
        <c:crossBetween val="between"/>
      </c:valAx>
    </c:plotArea>
    <c:legend>
      <c:legendPos val="r"/>
      <c:layout>
        <c:manualLayout>
          <c:xMode val="edge"/>
          <c:yMode val="edge"/>
          <c:x val="0.72245866141732296"/>
          <c:y val="4.0898950131233604E-2"/>
          <c:w val="0.21844302545623778"/>
          <c:h val="0.3159857101195683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57961504811901E-2"/>
          <c:y val="5.1400554097404488E-2"/>
          <c:w val="0.89006736657917773"/>
          <c:h val="0.50147149875496344"/>
        </c:manualLayout>
      </c:layout>
      <c:barChart>
        <c:barDir val="col"/>
        <c:grouping val="clustered"/>
        <c:varyColors val="0"/>
        <c:ser>
          <c:idx val="0"/>
          <c:order val="0"/>
          <c:tx>
            <c:strRef>
              <c:f>'Marital Status'!$B$42</c:f>
              <c:strCache>
                <c:ptCount val="1"/>
                <c:pt idx="0">
                  <c:v>WSHT Applications</c:v>
                </c:pt>
              </c:strCache>
            </c:strRef>
          </c:tx>
          <c:invertIfNegative val="0"/>
          <c:cat>
            <c:strRef>
              <c:f>'Marital Status'!$A$43:$A$51</c:f>
              <c:strCache>
                <c:ptCount val="9"/>
                <c:pt idx="0">
                  <c:v>Single</c:v>
                </c:pt>
                <c:pt idx="1">
                  <c:v>Married</c:v>
                </c:pt>
                <c:pt idx="2">
                  <c:v>Civil partnership</c:v>
                </c:pt>
                <c:pt idx="3">
                  <c:v>Legally separated</c:v>
                </c:pt>
                <c:pt idx="4">
                  <c:v>Divorced</c:v>
                </c:pt>
                <c:pt idx="5">
                  <c:v>Widowed</c:v>
                </c:pt>
                <c:pt idx="6">
                  <c:v>Other</c:v>
                </c:pt>
                <c:pt idx="7">
                  <c:v>Prefer not to say</c:v>
                </c:pt>
                <c:pt idx="8">
                  <c:v>Not stated</c:v>
                </c:pt>
              </c:strCache>
            </c:strRef>
          </c:cat>
          <c:val>
            <c:numRef>
              <c:f>'Marital Status'!$B$43:$B$51</c:f>
              <c:numCache>
                <c:formatCode>0.0%</c:formatCode>
                <c:ptCount val="9"/>
                <c:pt idx="0">
                  <c:v>0.50576718038189394</c:v>
                </c:pt>
                <c:pt idx="1">
                  <c:v>0.38077929630706603</c:v>
                </c:pt>
                <c:pt idx="2">
                  <c:v>2.0694000193854804E-2</c:v>
                </c:pt>
                <c:pt idx="3">
                  <c:v>7.0272365997867594E-3</c:v>
                </c:pt>
                <c:pt idx="4">
                  <c:v>4.4150431326936128E-2</c:v>
                </c:pt>
                <c:pt idx="5">
                  <c:v>6.1064262867112536E-3</c:v>
                </c:pt>
                <c:pt idx="6">
                  <c:v>1.0225840845206941E-2</c:v>
                </c:pt>
                <c:pt idx="7">
                  <c:v>1.991858098284385E-2</c:v>
                </c:pt>
                <c:pt idx="8">
                  <c:v>5.3310070757003006E-3</c:v>
                </c:pt>
              </c:numCache>
            </c:numRef>
          </c:val>
        </c:ser>
        <c:ser>
          <c:idx val="1"/>
          <c:order val="1"/>
          <c:tx>
            <c:strRef>
              <c:f>'Marital Status'!$C$42</c:f>
              <c:strCache>
                <c:ptCount val="1"/>
                <c:pt idx="0">
                  <c:v>WSHT Shortlisted</c:v>
                </c:pt>
              </c:strCache>
            </c:strRef>
          </c:tx>
          <c:invertIfNegative val="0"/>
          <c:cat>
            <c:strRef>
              <c:f>'Marital Status'!$A$43:$A$51</c:f>
              <c:strCache>
                <c:ptCount val="9"/>
                <c:pt idx="0">
                  <c:v>Single</c:v>
                </c:pt>
                <c:pt idx="1">
                  <c:v>Married</c:v>
                </c:pt>
                <c:pt idx="2">
                  <c:v>Civil partnership</c:v>
                </c:pt>
                <c:pt idx="3">
                  <c:v>Legally separated</c:v>
                </c:pt>
                <c:pt idx="4">
                  <c:v>Divorced</c:v>
                </c:pt>
                <c:pt idx="5">
                  <c:v>Widowed</c:v>
                </c:pt>
                <c:pt idx="6">
                  <c:v>Other</c:v>
                </c:pt>
                <c:pt idx="7">
                  <c:v>Prefer not to say</c:v>
                </c:pt>
                <c:pt idx="8">
                  <c:v>Not stated</c:v>
                </c:pt>
              </c:strCache>
            </c:strRef>
          </c:cat>
          <c:val>
            <c:numRef>
              <c:f>'Marital Status'!$C$43:$C$51</c:f>
              <c:numCache>
                <c:formatCode>0.0%</c:formatCode>
                <c:ptCount val="9"/>
                <c:pt idx="0">
                  <c:v>0.45878199470432479</c:v>
                </c:pt>
                <c:pt idx="1">
                  <c:v>0.37899382171226831</c:v>
                </c:pt>
                <c:pt idx="2">
                  <c:v>2.4183583406884378E-2</c:v>
                </c:pt>
                <c:pt idx="3">
                  <c:v>1.1120917917034422E-2</c:v>
                </c:pt>
                <c:pt idx="4">
                  <c:v>5.9135039717563988E-2</c:v>
                </c:pt>
                <c:pt idx="5">
                  <c:v>7.590467784642542E-3</c:v>
                </c:pt>
                <c:pt idx="6">
                  <c:v>1.7475728155339806E-2</c:v>
                </c:pt>
                <c:pt idx="7">
                  <c:v>2.3477493380406E-2</c:v>
                </c:pt>
                <c:pt idx="8">
                  <c:v>1.9240953221535746E-2</c:v>
                </c:pt>
              </c:numCache>
            </c:numRef>
          </c:val>
        </c:ser>
        <c:ser>
          <c:idx val="2"/>
          <c:order val="2"/>
          <c:tx>
            <c:strRef>
              <c:f>'Marital Status'!$D$42</c:f>
              <c:strCache>
                <c:ptCount val="1"/>
                <c:pt idx="0">
                  <c:v>WSHT Appointed</c:v>
                </c:pt>
              </c:strCache>
            </c:strRef>
          </c:tx>
          <c:invertIfNegative val="0"/>
          <c:cat>
            <c:strRef>
              <c:f>'Marital Status'!$A$43:$A$51</c:f>
              <c:strCache>
                <c:ptCount val="9"/>
                <c:pt idx="0">
                  <c:v>Single</c:v>
                </c:pt>
                <c:pt idx="1">
                  <c:v>Married</c:v>
                </c:pt>
                <c:pt idx="2">
                  <c:v>Civil partnership</c:v>
                </c:pt>
                <c:pt idx="3">
                  <c:v>Legally separated</c:v>
                </c:pt>
                <c:pt idx="4">
                  <c:v>Divorced</c:v>
                </c:pt>
                <c:pt idx="5">
                  <c:v>Widowed</c:v>
                </c:pt>
                <c:pt idx="6">
                  <c:v>Other</c:v>
                </c:pt>
                <c:pt idx="7">
                  <c:v>Prefer not to say</c:v>
                </c:pt>
                <c:pt idx="8">
                  <c:v>Not stated</c:v>
                </c:pt>
              </c:strCache>
            </c:strRef>
          </c:cat>
          <c:val>
            <c:numRef>
              <c:f>'Marital Status'!$D$43:$D$51</c:f>
              <c:numCache>
                <c:formatCode>0.0%</c:formatCode>
                <c:ptCount val="9"/>
                <c:pt idx="0">
                  <c:v>0.45438282647584971</c:v>
                </c:pt>
                <c:pt idx="1">
                  <c:v>0.38282647584973167</c:v>
                </c:pt>
                <c:pt idx="2">
                  <c:v>2.3255813953488372E-2</c:v>
                </c:pt>
                <c:pt idx="3">
                  <c:v>3.5778175313059034E-3</c:v>
                </c:pt>
                <c:pt idx="4">
                  <c:v>4.6511627906976744E-2</c:v>
                </c:pt>
                <c:pt idx="5">
                  <c:v>0</c:v>
                </c:pt>
                <c:pt idx="6">
                  <c:v>2.1466905187835419E-2</c:v>
                </c:pt>
                <c:pt idx="7">
                  <c:v>2.6833631484794274E-2</c:v>
                </c:pt>
                <c:pt idx="8">
                  <c:v>4.1144901610017888E-2</c:v>
                </c:pt>
              </c:numCache>
            </c:numRef>
          </c:val>
        </c:ser>
        <c:dLbls>
          <c:showLegendKey val="0"/>
          <c:showVal val="0"/>
          <c:showCatName val="0"/>
          <c:showSerName val="0"/>
          <c:showPercent val="0"/>
          <c:showBubbleSize val="0"/>
        </c:dLbls>
        <c:gapWidth val="150"/>
        <c:axId val="766824448"/>
        <c:axId val="762140288"/>
      </c:barChart>
      <c:scatterChart>
        <c:scatterStyle val="lineMarker"/>
        <c:varyColors val="0"/>
        <c:ser>
          <c:idx val="3"/>
          <c:order val="3"/>
          <c:tx>
            <c:strRef>
              <c:f>'Marital Status'!$E$42</c:f>
              <c:strCache>
                <c:ptCount val="1"/>
                <c:pt idx="0">
                  <c:v>WSHT Workforce</c:v>
                </c:pt>
              </c:strCache>
            </c:strRef>
          </c:tx>
          <c:spPr>
            <a:ln w="28575">
              <a:noFill/>
            </a:ln>
          </c:spPr>
          <c:marker>
            <c:symbol val="circle"/>
            <c:size val="5"/>
            <c:spPr>
              <a:solidFill>
                <a:schemeClr val="accent4"/>
              </a:solidFill>
              <a:ln w="15875">
                <a:solidFill>
                  <a:schemeClr val="bg1"/>
                </a:solidFill>
              </a:ln>
            </c:spPr>
          </c:marker>
          <c:xVal>
            <c:strRef>
              <c:f>'Marital Status'!$A$43:$A$51</c:f>
              <c:strCache>
                <c:ptCount val="9"/>
                <c:pt idx="0">
                  <c:v>Single</c:v>
                </c:pt>
                <c:pt idx="1">
                  <c:v>Married</c:v>
                </c:pt>
                <c:pt idx="2">
                  <c:v>Civil partnership</c:v>
                </c:pt>
                <c:pt idx="3">
                  <c:v>Legally separated</c:v>
                </c:pt>
                <c:pt idx="4">
                  <c:v>Divorced</c:v>
                </c:pt>
                <c:pt idx="5">
                  <c:v>Widowed</c:v>
                </c:pt>
                <c:pt idx="6">
                  <c:v>Other</c:v>
                </c:pt>
                <c:pt idx="7">
                  <c:v>Prefer not to say</c:v>
                </c:pt>
                <c:pt idx="8">
                  <c:v>Not stated</c:v>
                </c:pt>
              </c:strCache>
            </c:strRef>
          </c:xVal>
          <c:yVal>
            <c:numRef>
              <c:f>'Marital Status'!$E$43:$E$51</c:f>
              <c:numCache>
                <c:formatCode>0.0%</c:formatCode>
                <c:ptCount val="9"/>
                <c:pt idx="0">
                  <c:v>0.36534113578933369</c:v>
                </c:pt>
                <c:pt idx="1">
                  <c:v>0.51203617502327436</c:v>
                </c:pt>
                <c:pt idx="2">
                  <c:v>1.0506716318659397E-2</c:v>
                </c:pt>
                <c:pt idx="3">
                  <c:v>1.2235669636919803E-2</c:v>
                </c:pt>
                <c:pt idx="4">
                  <c:v>6.1843330230083787E-2</c:v>
                </c:pt>
                <c:pt idx="5">
                  <c:v>1.0905705545950259E-2</c:v>
                </c:pt>
                <c:pt idx="8">
                  <c:v>2.7131267455778693E-2</c:v>
                </c:pt>
              </c:numCache>
            </c:numRef>
          </c:yVal>
          <c:smooth val="0"/>
        </c:ser>
        <c:dLbls>
          <c:showLegendKey val="0"/>
          <c:showVal val="0"/>
          <c:showCatName val="0"/>
          <c:showSerName val="0"/>
          <c:showPercent val="0"/>
          <c:showBubbleSize val="0"/>
        </c:dLbls>
        <c:axId val="766824448"/>
        <c:axId val="762140288"/>
      </c:scatterChart>
      <c:catAx>
        <c:axId val="766824448"/>
        <c:scaling>
          <c:orientation val="minMax"/>
        </c:scaling>
        <c:delete val="0"/>
        <c:axPos val="b"/>
        <c:majorTickMark val="out"/>
        <c:minorTickMark val="none"/>
        <c:tickLblPos val="nextTo"/>
        <c:crossAx val="762140288"/>
        <c:crosses val="autoZero"/>
        <c:auto val="1"/>
        <c:lblAlgn val="ctr"/>
        <c:lblOffset val="100"/>
        <c:noMultiLvlLbl val="0"/>
      </c:catAx>
      <c:valAx>
        <c:axId val="762140288"/>
        <c:scaling>
          <c:orientation val="minMax"/>
        </c:scaling>
        <c:delete val="0"/>
        <c:axPos val="l"/>
        <c:numFmt formatCode="0.0%" sourceLinked="1"/>
        <c:majorTickMark val="out"/>
        <c:minorTickMark val="none"/>
        <c:tickLblPos val="nextTo"/>
        <c:spPr>
          <a:ln>
            <a:noFill/>
          </a:ln>
        </c:spPr>
        <c:crossAx val="766824448"/>
        <c:crosses val="autoZero"/>
        <c:crossBetween val="between"/>
      </c:valAx>
    </c:plotArea>
    <c:legend>
      <c:legendPos val="r"/>
      <c:layout>
        <c:manualLayout>
          <c:xMode val="edge"/>
          <c:yMode val="edge"/>
          <c:x val="0.72245866141732296"/>
          <c:y val="4.0898950131233604E-2"/>
          <c:w val="0.21844302545623778"/>
          <c:h val="0.3159857101195683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'B Marital'!$A$2</c:f>
              <c:strCache>
                <c:ptCount val="1"/>
                <c:pt idx="0">
                  <c:v>Civil Partnership</c:v>
                </c:pt>
              </c:strCache>
            </c:strRef>
          </c:tx>
          <c:invertIfNegative val="0"/>
          <c:cat>
            <c:strRef>
              <c:f>'B Marital'!$B$1</c:f>
              <c:strCache>
                <c:ptCount val="1"/>
                <c:pt idx="0">
                  <c:v>No. of staff attending training</c:v>
                </c:pt>
              </c:strCache>
            </c:strRef>
          </c:cat>
          <c:val>
            <c:numRef>
              <c:f>'B Marital'!$B$2</c:f>
              <c:numCache>
                <c:formatCode>General</c:formatCode>
                <c:ptCount val="1"/>
                <c:pt idx="0">
                  <c:v>4</c:v>
                </c:pt>
              </c:numCache>
            </c:numRef>
          </c:val>
        </c:ser>
        <c:ser>
          <c:idx val="1"/>
          <c:order val="1"/>
          <c:tx>
            <c:strRef>
              <c:f>'B Marital'!$A$3</c:f>
              <c:strCache>
                <c:ptCount val="1"/>
                <c:pt idx="0">
                  <c:v>Divorced</c:v>
                </c:pt>
              </c:strCache>
            </c:strRef>
          </c:tx>
          <c:invertIfNegative val="0"/>
          <c:cat>
            <c:strRef>
              <c:f>'B Marital'!$B$1</c:f>
              <c:strCache>
                <c:ptCount val="1"/>
                <c:pt idx="0">
                  <c:v>No. of staff attending training</c:v>
                </c:pt>
              </c:strCache>
            </c:strRef>
          </c:cat>
          <c:val>
            <c:numRef>
              <c:f>'B Marital'!$B$3</c:f>
              <c:numCache>
                <c:formatCode>General</c:formatCode>
                <c:ptCount val="1"/>
                <c:pt idx="0">
                  <c:v>5</c:v>
                </c:pt>
              </c:numCache>
            </c:numRef>
          </c:val>
        </c:ser>
        <c:ser>
          <c:idx val="2"/>
          <c:order val="2"/>
          <c:tx>
            <c:strRef>
              <c:f>'B Marital'!$A$4</c:f>
              <c:strCache>
                <c:ptCount val="1"/>
                <c:pt idx="0">
                  <c:v>Legally Separated</c:v>
                </c:pt>
              </c:strCache>
            </c:strRef>
          </c:tx>
          <c:invertIfNegative val="0"/>
          <c:cat>
            <c:strRef>
              <c:f>'B Marital'!$B$1</c:f>
              <c:strCache>
                <c:ptCount val="1"/>
                <c:pt idx="0">
                  <c:v>No. of staff attending training</c:v>
                </c:pt>
              </c:strCache>
            </c:strRef>
          </c:cat>
          <c:val>
            <c:numRef>
              <c:f>'B Marital'!$B$4</c:f>
              <c:numCache>
                <c:formatCode>General</c:formatCode>
                <c:ptCount val="1"/>
                <c:pt idx="0">
                  <c:v>5</c:v>
                </c:pt>
              </c:numCache>
            </c:numRef>
          </c:val>
        </c:ser>
        <c:ser>
          <c:idx val="3"/>
          <c:order val="3"/>
          <c:tx>
            <c:strRef>
              <c:f>'B Marital'!$A$5</c:f>
              <c:strCache>
                <c:ptCount val="1"/>
                <c:pt idx="0">
                  <c:v>Married</c:v>
                </c:pt>
              </c:strCache>
            </c:strRef>
          </c:tx>
          <c:invertIfNegative val="0"/>
          <c:cat>
            <c:strRef>
              <c:f>'B Marital'!$B$1</c:f>
              <c:strCache>
                <c:ptCount val="1"/>
                <c:pt idx="0">
                  <c:v>No. of staff attending training</c:v>
                </c:pt>
              </c:strCache>
            </c:strRef>
          </c:cat>
          <c:val>
            <c:numRef>
              <c:f>'B Marital'!$B$5</c:f>
              <c:numCache>
                <c:formatCode>General</c:formatCode>
                <c:ptCount val="1"/>
                <c:pt idx="0">
                  <c:v>130</c:v>
                </c:pt>
              </c:numCache>
            </c:numRef>
          </c:val>
        </c:ser>
        <c:ser>
          <c:idx val="4"/>
          <c:order val="4"/>
          <c:tx>
            <c:strRef>
              <c:f>'B Marital'!$A$6</c:f>
              <c:strCache>
                <c:ptCount val="1"/>
                <c:pt idx="0">
                  <c:v>Single</c:v>
                </c:pt>
              </c:strCache>
            </c:strRef>
          </c:tx>
          <c:invertIfNegative val="0"/>
          <c:cat>
            <c:strRef>
              <c:f>'B Marital'!$B$1</c:f>
              <c:strCache>
                <c:ptCount val="1"/>
                <c:pt idx="0">
                  <c:v>No. of staff attending training</c:v>
                </c:pt>
              </c:strCache>
            </c:strRef>
          </c:cat>
          <c:val>
            <c:numRef>
              <c:f>'B Marital'!$B$6</c:f>
              <c:numCache>
                <c:formatCode>General</c:formatCode>
                <c:ptCount val="1"/>
                <c:pt idx="0">
                  <c:v>174</c:v>
                </c:pt>
              </c:numCache>
            </c:numRef>
          </c:val>
        </c:ser>
        <c:ser>
          <c:idx val="5"/>
          <c:order val="5"/>
          <c:tx>
            <c:strRef>
              <c:f>'B Marital'!$A$7</c:f>
              <c:strCache>
                <c:ptCount val="1"/>
                <c:pt idx="0">
                  <c:v>Widowed</c:v>
                </c:pt>
              </c:strCache>
            </c:strRef>
          </c:tx>
          <c:invertIfNegative val="0"/>
          <c:cat>
            <c:strRef>
              <c:f>'B Marital'!$B$1</c:f>
              <c:strCache>
                <c:ptCount val="1"/>
                <c:pt idx="0">
                  <c:v>No. of staff attending training</c:v>
                </c:pt>
              </c:strCache>
            </c:strRef>
          </c:cat>
          <c:val>
            <c:numRef>
              <c:f>'B Marital'!$B$7</c:f>
              <c:numCache>
                <c:formatCode>General</c:formatCode>
                <c:ptCount val="1"/>
                <c:pt idx="0">
                  <c:v>2</c:v>
                </c:pt>
              </c:numCache>
            </c:numRef>
          </c:val>
        </c:ser>
        <c:ser>
          <c:idx val="6"/>
          <c:order val="6"/>
          <c:tx>
            <c:strRef>
              <c:f>'B Marital'!$A$8</c:f>
              <c:strCache>
                <c:ptCount val="1"/>
                <c:pt idx="0">
                  <c:v>Prefer not to say</c:v>
                </c:pt>
              </c:strCache>
            </c:strRef>
          </c:tx>
          <c:invertIfNegative val="0"/>
          <c:cat>
            <c:strRef>
              <c:f>'B Marital'!$B$1</c:f>
              <c:strCache>
                <c:ptCount val="1"/>
                <c:pt idx="0">
                  <c:v>No. of staff attending training</c:v>
                </c:pt>
              </c:strCache>
            </c:strRef>
          </c:cat>
          <c:val>
            <c:numRef>
              <c:f>'B Marital'!$B$8</c:f>
              <c:numCache>
                <c:formatCode>General</c:formatCode>
                <c:ptCount val="1"/>
                <c:pt idx="0">
                  <c:v>14</c:v>
                </c:pt>
              </c:numCache>
            </c:numRef>
          </c:val>
        </c:ser>
        <c:dLbls>
          <c:showLegendKey val="0"/>
          <c:showVal val="0"/>
          <c:showCatName val="0"/>
          <c:showSerName val="0"/>
          <c:showPercent val="0"/>
          <c:showBubbleSize val="0"/>
        </c:dLbls>
        <c:gapWidth val="100"/>
        <c:overlap val="100"/>
        <c:axId val="766828032"/>
        <c:axId val="762141440"/>
      </c:barChart>
      <c:valAx>
        <c:axId val="762141440"/>
        <c:scaling>
          <c:orientation val="minMax"/>
        </c:scaling>
        <c:delete val="0"/>
        <c:axPos val="b"/>
        <c:numFmt formatCode="0%" sourceLinked="1"/>
        <c:majorTickMark val="out"/>
        <c:minorTickMark val="none"/>
        <c:tickLblPos val="nextTo"/>
        <c:spPr>
          <a:ln>
            <a:noFill/>
          </a:ln>
        </c:spPr>
        <c:crossAx val="766828032"/>
        <c:crosses val="autoZero"/>
        <c:crossBetween val="between"/>
      </c:valAx>
      <c:catAx>
        <c:axId val="766828032"/>
        <c:scaling>
          <c:orientation val="minMax"/>
        </c:scaling>
        <c:delete val="1"/>
        <c:axPos val="l"/>
        <c:majorTickMark val="out"/>
        <c:minorTickMark val="none"/>
        <c:tickLblPos val="nextTo"/>
        <c:crossAx val="762141440"/>
        <c:crosses val="autoZero"/>
        <c:auto val="1"/>
        <c:lblAlgn val="ctr"/>
        <c:lblOffset val="100"/>
        <c:noMultiLvlLbl val="0"/>
      </c:catAx>
    </c:plotArea>
    <c:legend>
      <c:legendPos val="r"/>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 Marital'!$A$2</c:f>
              <c:strCache>
                <c:ptCount val="1"/>
                <c:pt idx="0">
                  <c:v>Civil Partnership</c:v>
                </c:pt>
              </c:strCache>
            </c:strRef>
          </c:tx>
          <c:invertIfNegative val="0"/>
          <c:cat>
            <c:strRef>
              <c:f>'W Marital'!$B$1</c:f>
              <c:strCache>
                <c:ptCount val="1"/>
                <c:pt idx="0">
                  <c:v>No. of staff attending training</c:v>
                </c:pt>
              </c:strCache>
            </c:strRef>
          </c:cat>
          <c:val>
            <c:numRef>
              <c:f>'W Marital'!$B$2</c:f>
              <c:numCache>
                <c:formatCode>General</c:formatCode>
                <c:ptCount val="1"/>
                <c:pt idx="0">
                  <c:v>26</c:v>
                </c:pt>
              </c:numCache>
            </c:numRef>
          </c:val>
        </c:ser>
        <c:ser>
          <c:idx val="1"/>
          <c:order val="1"/>
          <c:tx>
            <c:strRef>
              <c:f>'W Marital'!$A$3</c:f>
              <c:strCache>
                <c:ptCount val="1"/>
                <c:pt idx="0">
                  <c:v>Divorced</c:v>
                </c:pt>
              </c:strCache>
            </c:strRef>
          </c:tx>
          <c:invertIfNegative val="0"/>
          <c:cat>
            <c:strRef>
              <c:f>'W Marital'!$B$1</c:f>
              <c:strCache>
                <c:ptCount val="1"/>
                <c:pt idx="0">
                  <c:v>No. of staff attending training</c:v>
                </c:pt>
              </c:strCache>
            </c:strRef>
          </c:cat>
          <c:val>
            <c:numRef>
              <c:f>'W Marital'!$B$3</c:f>
              <c:numCache>
                <c:formatCode>General</c:formatCode>
                <c:ptCount val="1"/>
                <c:pt idx="0">
                  <c:v>160</c:v>
                </c:pt>
              </c:numCache>
            </c:numRef>
          </c:val>
        </c:ser>
        <c:ser>
          <c:idx val="2"/>
          <c:order val="2"/>
          <c:tx>
            <c:strRef>
              <c:f>'W Marital'!$A$4</c:f>
              <c:strCache>
                <c:ptCount val="1"/>
                <c:pt idx="0">
                  <c:v>Legally Separated</c:v>
                </c:pt>
              </c:strCache>
            </c:strRef>
          </c:tx>
          <c:invertIfNegative val="0"/>
          <c:cat>
            <c:strRef>
              <c:f>'W Marital'!$B$1</c:f>
              <c:strCache>
                <c:ptCount val="1"/>
                <c:pt idx="0">
                  <c:v>No. of staff attending training</c:v>
                </c:pt>
              </c:strCache>
            </c:strRef>
          </c:cat>
          <c:val>
            <c:numRef>
              <c:f>'W Marital'!$B$4</c:f>
              <c:numCache>
                <c:formatCode>General</c:formatCode>
                <c:ptCount val="1"/>
                <c:pt idx="0">
                  <c:v>24</c:v>
                </c:pt>
              </c:numCache>
            </c:numRef>
          </c:val>
        </c:ser>
        <c:ser>
          <c:idx val="3"/>
          <c:order val="3"/>
          <c:tx>
            <c:strRef>
              <c:f>'W Marital'!$A$5</c:f>
              <c:strCache>
                <c:ptCount val="1"/>
                <c:pt idx="0">
                  <c:v>Married</c:v>
                </c:pt>
              </c:strCache>
            </c:strRef>
          </c:tx>
          <c:invertIfNegative val="0"/>
          <c:cat>
            <c:strRef>
              <c:f>'W Marital'!$B$1</c:f>
              <c:strCache>
                <c:ptCount val="1"/>
                <c:pt idx="0">
                  <c:v>No. of staff attending training</c:v>
                </c:pt>
              </c:strCache>
            </c:strRef>
          </c:cat>
          <c:val>
            <c:numRef>
              <c:f>'W Marital'!$B$5</c:f>
              <c:numCache>
                <c:formatCode>General</c:formatCode>
                <c:ptCount val="1"/>
                <c:pt idx="0">
                  <c:v>1309</c:v>
                </c:pt>
              </c:numCache>
            </c:numRef>
          </c:val>
        </c:ser>
        <c:ser>
          <c:idx val="4"/>
          <c:order val="4"/>
          <c:tx>
            <c:strRef>
              <c:f>'W Marital'!$A$6</c:f>
              <c:strCache>
                <c:ptCount val="1"/>
                <c:pt idx="0">
                  <c:v>Single</c:v>
                </c:pt>
              </c:strCache>
            </c:strRef>
          </c:tx>
          <c:invertIfNegative val="0"/>
          <c:cat>
            <c:strRef>
              <c:f>'W Marital'!$B$1</c:f>
              <c:strCache>
                <c:ptCount val="1"/>
                <c:pt idx="0">
                  <c:v>No. of staff attending training</c:v>
                </c:pt>
              </c:strCache>
            </c:strRef>
          </c:cat>
          <c:val>
            <c:numRef>
              <c:f>'W Marital'!$B$6</c:f>
              <c:numCache>
                <c:formatCode>General</c:formatCode>
                <c:ptCount val="1"/>
                <c:pt idx="0">
                  <c:v>1129</c:v>
                </c:pt>
              </c:numCache>
            </c:numRef>
          </c:val>
        </c:ser>
        <c:ser>
          <c:idx val="5"/>
          <c:order val="5"/>
          <c:tx>
            <c:strRef>
              <c:f>'W Marital'!$A$7</c:f>
              <c:strCache>
                <c:ptCount val="1"/>
                <c:pt idx="0">
                  <c:v>Widowed</c:v>
                </c:pt>
              </c:strCache>
            </c:strRef>
          </c:tx>
          <c:invertIfNegative val="0"/>
          <c:cat>
            <c:strRef>
              <c:f>'W Marital'!$B$1</c:f>
              <c:strCache>
                <c:ptCount val="1"/>
                <c:pt idx="0">
                  <c:v>No. of staff attending training</c:v>
                </c:pt>
              </c:strCache>
            </c:strRef>
          </c:cat>
          <c:val>
            <c:numRef>
              <c:f>'W Marital'!$B$7</c:f>
              <c:numCache>
                <c:formatCode>General</c:formatCode>
                <c:ptCount val="1"/>
                <c:pt idx="0">
                  <c:v>19</c:v>
                </c:pt>
              </c:numCache>
            </c:numRef>
          </c:val>
        </c:ser>
        <c:ser>
          <c:idx val="6"/>
          <c:order val="6"/>
          <c:tx>
            <c:strRef>
              <c:f>'W Marital'!$A$8</c:f>
              <c:strCache>
                <c:ptCount val="1"/>
                <c:pt idx="0">
                  <c:v>Unknown</c:v>
                </c:pt>
              </c:strCache>
            </c:strRef>
          </c:tx>
          <c:invertIfNegative val="0"/>
          <c:cat>
            <c:strRef>
              <c:f>'W Marital'!$B$1</c:f>
              <c:strCache>
                <c:ptCount val="1"/>
                <c:pt idx="0">
                  <c:v>No. of staff attending training</c:v>
                </c:pt>
              </c:strCache>
            </c:strRef>
          </c:cat>
          <c:val>
            <c:numRef>
              <c:f>'W Marital'!$B$8</c:f>
              <c:numCache>
                <c:formatCode>General</c:formatCode>
                <c:ptCount val="1"/>
                <c:pt idx="0">
                  <c:v>74</c:v>
                </c:pt>
              </c:numCache>
            </c:numRef>
          </c:val>
        </c:ser>
        <c:dLbls>
          <c:showLegendKey val="0"/>
          <c:showVal val="0"/>
          <c:showCatName val="0"/>
          <c:showSerName val="0"/>
          <c:showPercent val="0"/>
          <c:showBubbleSize val="0"/>
        </c:dLbls>
        <c:gapWidth val="100"/>
        <c:overlap val="100"/>
        <c:axId val="766992896"/>
        <c:axId val="694125696"/>
      </c:barChart>
      <c:valAx>
        <c:axId val="694125696"/>
        <c:scaling>
          <c:orientation val="minMax"/>
        </c:scaling>
        <c:delete val="0"/>
        <c:axPos val="b"/>
        <c:numFmt formatCode="0%" sourceLinked="1"/>
        <c:majorTickMark val="out"/>
        <c:minorTickMark val="none"/>
        <c:tickLblPos val="nextTo"/>
        <c:spPr>
          <a:ln>
            <a:noFill/>
          </a:ln>
        </c:spPr>
        <c:crossAx val="766992896"/>
        <c:crosses val="autoZero"/>
        <c:crossBetween val="between"/>
      </c:valAx>
      <c:catAx>
        <c:axId val="766992896"/>
        <c:scaling>
          <c:orientation val="minMax"/>
        </c:scaling>
        <c:delete val="1"/>
        <c:axPos val="l"/>
        <c:majorTickMark val="out"/>
        <c:minorTickMark val="none"/>
        <c:tickLblPos val="nextTo"/>
        <c:crossAx val="694125696"/>
        <c:crosses val="autoZero"/>
        <c:auto val="1"/>
        <c:lblAlgn val="ctr"/>
        <c:lblOffset val="100"/>
        <c:noMultiLvlLbl val="0"/>
      </c:catAx>
    </c:plotArea>
    <c:legend>
      <c:legendPos val="r"/>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 Age'!$A$2</c:f>
              <c:strCache>
                <c:ptCount val="1"/>
                <c:pt idx="0">
                  <c:v>Under 20</c:v>
                </c:pt>
              </c:strCache>
            </c:strRef>
          </c:tx>
          <c:invertIfNegative val="0"/>
          <c:cat>
            <c:strRef>
              <c:f>'W Age'!$B$1</c:f>
              <c:strCache>
                <c:ptCount val="1"/>
                <c:pt idx="0">
                  <c:v>No. of staff attending training</c:v>
                </c:pt>
              </c:strCache>
            </c:strRef>
          </c:cat>
          <c:val>
            <c:numRef>
              <c:f>'W Age'!$B$2</c:f>
              <c:numCache>
                <c:formatCode>General</c:formatCode>
                <c:ptCount val="1"/>
                <c:pt idx="0">
                  <c:v>28</c:v>
                </c:pt>
              </c:numCache>
            </c:numRef>
          </c:val>
        </c:ser>
        <c:ser>
          <c:idx val="1"/>
          <c:order val="1"/>
          <c:tx>
            <c:strRef>
              <c:f>'W Age'!$A$3</c:f>
              <c:strCache>
                <c:ptCount val="1"/>
                <c:pt idx="0">
                  <c:v>21-25</c:v>
                </c:pt>
              </c:strCache>
            </c:strRef>
          </c:tx>
          <c:invertIfNegative val="0"/>
          <c:cat>
            <c:strRef>
              <c:f>'W Age'!$B$1</c:f>
              <c:strCache>
                <c:ptCount val="1"/>
                <c:pt idx="0">
                  <c:v>No. of staff attending training</c:v>
                </c:pt>
              </c:strCache>
            </c:strRef>
          </c:cat>
          <c:val>
            <c:numRef>
              <c:f>'W Age'!$B$3</c:f>
              <c:numCache>
                <c:formatCode>General</c:formatCode>
                <c:ptCount val="1"/>
                <c:pt idx="0">
                  <c:v>219</c:v>
                </c:pt>
              </c:numCache>
            </c:numRef>
          </c:val>
        </c:ser>
        <c:ser>
          <c:idx val="2"/>
          <c:order val="2"/>
          <c:tx>
            <c:strRef>
              <c:f>'W Age'!$A$4</c:f>
              <c:strCache>
                <c:ptCount val="1"/>
                <c:pt idx="0">
                  <c:v>26-30</c:v>
                </c:pt>
              </c:strCache>
            </c:strRef>
          </c:tx>
          <c:invertIfNegative val="0"/>
          <c:cat>
            <c:strRef>
              <c:f>'W Age'!$B$1</c:f>
              <c:strCache>
                <c:ptCount val="1"/>
                <c:pt idx="0">
                  <c:v>No. of staff attending training</c:v>
                </c:pt>
              </c:strCache>
            </c:strRef>
          </c:cat>
          <c:val>
            <c:numRef>
              <c:f>'W Age'!$B$4</c:f>
              <c:numCache>
                <c:formatCode>General</c:formatCode>
                <c:ptCount val="1"/>
                <c:pt idx="0">
                  <c:v>458</c:v>
                </c:pt>
              </c:numCache>
            </c:numRef>
          </c:val>
        </c:ser>
        <c:ser>
          <c:idx val="3"/>
          <c:order val="3"/>
          <c:tx>
            <c:strRef>
              <c:f>'W Age'!$A$5</c:f>
              <c:strCache>
                <c:ptCount val="1"/>
                <c:pt idx="0">
                  <c:v>31-35</c:v>
                </c:pt>
              </c:strCache>
            </c:strRef>
          </c:tx>
          <c:invertIfNegative val="0"/>
          <c:cat>
            <c:strRef>
              <c:f>'W Age'!$B$1</c:f>
              <c:strCache>
                <c:ptCount val="1"/>
                <c:pt idx="0">
                  <c:v>No. of staff attending training</c:v>
                </c:pt>
              </c:strCache>
            </c:strRef>
          </c:cat>
          <c:val>
            <c:numRef>
              <c:f>'W Age'!$B$5</c:f>
              <c:numCache>
                <c:formatCode>General</c:formatCode>
                <c:ptCount val="1"/>
                <c:pt idx="0">
                  <c:v>398</c:v>
                </c:pt>
              </c:numCache>
            </c:numRef>
          </c:val>
        </c:ser>
        <c:ser>
          <c:idx val="4"/>
          <c:order val="4"/>
          <c:tx>
            <c:strRef>
              <c:f>'W Age'!$A$6</c:f>
              <c:strCache>
                <c:ptCount val="1"/>
                <c:pt idx="0">
                  <c:v>36-40</c:v>
                </c:pt>
              </c:strCache>
            </c:strRef>
          </c:tx>
          <c:invertIfNegative val="0"/>
          <c:cat>
            <c:strRef>
              <c:f>'W Age'!$B$1</c:f>
              <c:strCache>
                <c:ptCount val="1"/>
                <c:pt idx="0">
                  <c:v>No. of staff attending training</c:v>
                </c:pt>
              </c:strCache>
            </c:strRef>
          </c:cat>
          <c:val>
            <c:numRef>
              <c:f>'W Age'!$B$6</c:f>
              <c:numCache>
                <c:formatCode>General</c:formatCode>
                <c:ptCount val="1"/>
                <c:pt idx="0">
                  <c:v>305</c:v>
                </c:pt>
              </c:numCache>
            </c:numRef>
          </c:val>
        </c:ser>
        <c:ser>
          <c:idx val="5"/>
          <c:order val="5"/>
          <c:tx>
            <c:strRef>
              <c:f>'W Age'!$A$7</c:f>
              <c:strCache>
                <c:ptCount val="1"/>
                <c:pt idx="0">
                  <c:v>41-45</c:v>
                </c:pt>
              </c:strCache>
            </c:strRef>
          </c:tx>
          <c:invertIfNegative val="0"/>
          <c:cat>
            <c:strRef>
              <c:f>'W Age'!$B$1</c:f>
              <c:strCache>
                <c:ptCount val="1"/>
                <c:pt idx="0">
                  <c:v>No. of staff attending training</c:v>
                </c:pt>
              </c:strCache>
            </c:strRef>
          </c:cat>
          <c:val>
            <c:numRef>
              <c:f>'W Age'!$B$7</c:f>
              <c:numCache>
                <c:formatCode>General</c:formatCode>
                <c:ptCount val="1"/>
                <c:pt idx="0">
                  <c:v>342</c:v>
                </c:pt>
              </c:numCache>
            </c:numRef>
          </c:val>
        </c:ser>
        <c:ser>
          <c:idx val="6"/>
          <c:order val="6"/>
          <c:tx>
            <c:strRef>
              <c:f>'W Age'!$A$8</c:f>
              <c:strCache>
                <c:ptCount val="1"/>
                <c:pt idx="0">
                  <c:v>46-50</c:v>
                </c:pt>
              </c:strCache>
            </c:strRef>
          </c:tx>
          <c:invertIfNegative val="0"/>
          <c:cat>
            <c:strRef>
              <c:f>'W Age'!$B$1</c:f>
              <c:strCache>
                <c:ptCount val="1"/>
                <c:pt idx="0">
                  <c:v>No. of staff attending training</c:v>
                </c:pt>
              </c:strCache>
            </c:strRef>
          </c:cat>
          <c:val>
            <c:numRef>
              <c:f>'W Age'!$B$8</c:f>
              <c:numCache>
                <c:formatCode>General</c:formatCode>
                <c:ptCount val="1"/>
                <c:pt idx="0">
                  <c:v>330</c:v>
                </c:pt>
              </c:numCache>
            </c:numRef>
          </c:val>
        </c:ser>
        <c:ser>
          <c:idx val="7"/>
          <c:order val="7"/>
          <c:tx>
            <c:strRef>
              <c:f>'W Age'!$A$9</c:f>
              <c:strCache>
                <c:ptCount val="1"/>
                <c:pt idx="0">
                  <c:v>51-55</c:v>
                </c:pt>
              </c:strCache>
            </c:strRef>
          </c:tx>
          <c:invertIfNegative val="0"/>
          <c:cat>
            <c:strRef>
              <c:f>'W Age'!$B$1</c:f>
              <c:strCache>
                <c:ptCount val="1"/>
                <c:pt idx="0">
                  <c:v>No. of staff attending training</c:v>
                </c:pt>
              </c:strCache>
            </c:strRef>
          </c:cat>
          <c:val>
            <c:numRef>
              <c:f>'W Age'!$B$9</c:f>
              <c:numCache>
                <c:formatCode>General</c:formatCode>
                <c:ptCount val="1"/>
                <c:pt idx="0">
                  <c:v>310</c:v>
                </c:pt>
              </c:numCache>
            </c:numRef>
          </c:val>
        </c:ser>
        <c:ser>
          <c:idx val="8"/>
          <c:order val="8"/>
          <c:tx>
            <c:strRef>
              <c:f>'W Age'!$A$10</c:f>
              <c:strCache>
                <c:ptCount val="1"/>
                <c:pt idx="0">
                  <c:v>56-60</c:v>
                </c:pt>
              </c:strCache>
            </c:strRef>
          </c:tx>
          <c:invertIfNegative val="0"/>
          <c:cat>
            <c:strRef>
              <c:f>'W Age'!$B$1</c:f>
              <c:strCache>
                <c:ptCount val="1"/>
                <c:pt idx="0">
                  <c:v>No. of staff attending training</c:v>
                </c:pt>
              </c:strCache>
            </c:strRef>
          </c:cat>
          <c:val>
            <c:numRef>
              <c:f>'W Age'!$B$10</c:f>
              <c:numCache>
                <c:formatCode>General</c:formatCode>
                <c:ptCount val="1"/>
                <c:pt idx="0">
                  <c:v>212</c:v>
                </c:pt>
              </c:numCache>
            </c:numRef>
          </c:val>
        </c:ser>
        <c:ser>
          <c:idx val="9"/>
          <c:order val="9"/>
          <c:tx>
            <c:strRef>
              <c:f>'W Age'!$A$11</c:f>
              <c:strCache>
                <c:ptCount val="1"/>
                <c:pt idx="0">
                  <c:v>61-65</c:v>
                </c:pt>
              </c:strCache>
            </c:strRef>
          </c:tx>
          <c:invertIfNegative val="0"/>
          <c:cat>
            <c:strRef>
              <c:f>'W Age'!$B$1</c:f>
              <c:strCache>
                <c:ptCount val="1"/>
                <c:pt idx="0">
                  <c:v>No. of staff attending training</c:v>
                </c:pt>
              </c:strCache>
            </c:strRef>
          </c:cat>
          <c:val>
            <c:numRef>
              <c:f>'W Age'!$B$11</c:f>
              <c:numCache>
                <c:formatCode>General</c:formatCode>
                <c:ptCount val="1"/>
                <c:pt idx="0">
                  <c:v>112</c:v>
                </c:pt>
              </c:numCache>
            </c:numRef>
          </c:val>
        </c:ser>
        <c:ser>
          <c:idx val="10"/>
          <c:order val="10"/>
          <c:tx>
            <c:strRef>
              <c:f>'W Age'!$A$12</c:f>
              <c:strCache>
                <c:ptCount val="1"/>
                <c:pt idx="0">
                  <c:v>66-70</c:v>
                </c:pt>
              </c:strCache>
            </c:strRef>
          </c:tx>
          <c:invertIfNegative val="0"/>
          <c:cat>
            <c:strRef>
              <c:f>'W Age'!$B$1</c:f>
              <c:strCache>
                <c:ptCount val="1"/>
                <c:pt idx="0">
                  <c:v>No. of staff attending training</c:v>
                </c:pt>
              </c:strCache>
            </c:strRef>
          </c:cat>
          <c:val>
            <c:numRef>
              <c:f>'W Age'!$B$12</c:f>
              <c:numCache>
                <c:formatCode>General</c:formatCode>
                <c:ptCount val="1"/>
                <c:pt idx="0">
                  <c:v>17</c:v>
                </c:pt>
              </c:numCache>
            </c:numRef>
          </c:val>
        </c:ser>
        <c:ser>
          <c:idx val="11"/>
          <c:order val="11"/>
          <c:tx>
            <c:strRef>
              <c:f>'W Age'!$A$13</c:f>
              <c:strCache>
                <c:ptCount val="1"/>
                <c:pt idx="0">
                  <c:v>71 and Over</c:v>
                </c:pt>
              </c:strCache>
            </c:strRef>
          </c:tx>
          <c:invertIfNegative val="0"/>
          <c:cat>
            <c:strRef>
              <c:f>'W Age'!$B$1</c:f>
              <c:strCache>
                <c:ptCount val="1"/>
                <c:pt idx="0">
                  <c:v>No. of staff attending training</c:v>
                </c:pt>
              </c:strCache>
            </c:strRef>
          </c:cat>
          <c:val>
            <c:numRef>
              <c:f>'W Age'!$B$13</c:f>
              <c:numCache>
                <c:formatCode>General</c:formatCode>
                <c:ptCount val="1"/>
                <c:pt idx="0">
                  <c:v>10</c:v>
                </c:pt>
              </c:numCache>
            </c:numRef>
          </c:val>
        </c:ser>
        <c:dLbls>
          <c:showLegendKey val="0"/>
          <c:showVal val="0"/>
          <c:showCatName val="0"/>
          <c:showSerName val="0"/>
          <c:showPercent val="0"/>
          <c:showBubbleSize val="0"/>
        </c:dLbls>
        <c:gapWidth val="100"/>
        <c:overlap val="100"/>
        <c:axId val="170029056"/>
        <c:axId val="166025984"/>
      </c:barChart>
      <c:valAx>
        <c:axId val="166025984"/>
        <c:scaling>
          <c:orientation val="minMax"/>
        </c:scaling>
        <c:delete val="0"/>
        <c:axPos val="b"/>
        <c:numFmt formatCode="0%" sourceLinked="1"/>
        <c:majorTickMark val="out"/>
        <c:minorTickMark val="none"/>
        <c:tickLblPos val="nextTo"/>
        <c:crossAx val="170029056"/>
        <c:crosses val="autoZero"/>
        <c:crossBetween val="between"/>
      </c:valAx>
      <c:catAx>
        <c:axId val="170029056"/>
        <c:scaling>
          <c:orientation val="minMax"/>
        </c:scaling>
        <c:delete val="1"/>
        <c:axPos val="l"/>
        <c:majorTickMark val="out"/>
        <c:minorTickMark val="none"/>
        <c:tickLblPos val="nextTo"/>
        <c:crossAx val="166025984"/>
        <c:crosses val="autoZero"/>
        <c:auto val="1"/>
        <c:lblAlgn val="ctr"/>
        <c:lblOffset val="100"/>
        <c:noMultiLvlLbl val="0"/>
      </c:catAx>
    </c:plotArea>
    <c:legend>
      <c:legendPos val="r"/>
      <c:layout>
        <c:manualLayout>
          <c:xMode val="edge"/>
          <c:yMode val="edge"/>
          <c:x val="0.7858681102362205"/>
          <c:y val="1.4593540390784485E-2"/>
          <c:w val="0.19746522309711287"/>
          <c:h val="0.97081255468066496"/>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'B Marital'!$C$1</c:f>
              <c:strCache>
                <c:ptCount val="1"/>
                <c:pt idx="0">
                  <c:v>Capability (Non-UHR) %</c:v>
                </c:pt>
              </c:strCache>
            </c:strRef>
          </c:tx>
          <c:spPr>
            <a:solidFill>
              <a:schemeClr val="tx2">
                <a:lumMod val="40000"/>
                <a:lumOff val="60000"/>
              </a:schemeClr>
            </a:solidFill>
          </c:spPr>
          <c:invertIfNegative val="0"/>
          <c:cat>
            <c:strRef>
              <c:f>'B Marital'!$A$2:$A$7</c:f>
              <c:strCache>
                <c:ptCount val="6"/>
                <c:pt idx="0">
                  <c:v>Civil Partnership</c:v>
                </c:pt>
                <c:pt idx="1">
                  <c:v>Divorced</c:v>
                </c:pt>
                <c:pt idx="2">
                  <c:v>Married</c:v>
                </c:pt>
                <c:pt idx="3">
                  <c:v>Single</c:v>
                </c:pt>
                <c:pt idx="4">
                  <c:v>Widowed</c:v>
                </c:pt>
                <c:pt idx="5">
                  <c:v>Unknown</c:v>
                </c:pt>
              </c:strCache>
            </c:strRef>
          </c:cat>
          <c:val>
            <c:numRef>
              <c:f>'B Marital'!$C$2:$C$7</c:f>
              <c:numCache>
                <c:formatCode>0%</c:formatCode>
                <c:ptCount val="6"/>
                <c:pt idx="0">
                  <c:v>3.3333333333333333E-2</c:v>
                </c:pt>
                <c:pt idx="1">
                  <c:v>0.1</c:v>
                </c:pt>
                <c:pt idx="2">
                  <c:v>0.4</c:v>
                </c:pt>
                <c:pt idx="3">
                  <c:v>0.43333333333333335</c:v>
                </c:pt>
                <c:pt idx="4">
                  <c:v>3.3333333333333333E-2</c:v>
                </c:pt>
                <c:pt idx="5">
                  <c:v>6.6666666666666666E-2</c:v>
                </c:pt>
              </c:numCache>
            </c:numRef>
          </c:val>
        </c:ser>
        <c:ser>
          <c:idx val="1"/>
          <c:order val="1"/>
          <c:tx>
            <c:strRef>
              <c:f>'B Marital'!$E$1</c:f>
              <c:strCache>
                <c:ptCount val="1"/>
                <c:pt idx="0">
                  <c:v>Capability (UHR) %</c:v>
                </c:pt>
              </c:strCache>
            </c:strRef>
          </c:tx>
          <c:spPr>
            <a:solidFill>
              <a:schemeClr val="accent2">
                <a:lumMod val="40000"/>
                <a:lumOff val="60000"/>
              </a:schemeClr>
            </a:solidFill>
          </c:spPr>
          <c:invertIfNegative val="0"/>
          <c:cat>
            <c:strRef>
              <c:f>'B Marital'!$A$2:$A$7</c:f>
              <c:strCache>
                <c:ptCount val="6"/>
                <c:pt idx="0">
                  <c:v>Civil Partnership</c:v>
                </c:pt>
                <c:pt idx="1">
                  <c:v>Divorced</c:v>
                </c:pt>
                <c:pt idx="2">
                  <c:v>Married</c:v>
                </c:pt>
                <c:pt idx="3">
                  <c:v>Single</c:v>
                </c:pt>
                <c:pt idx="4">
                  <c:v>Widowed</c:v>
                </c:pt>
                <c:pt idx="5">
                  <c:v>Unknown</c:v>
                </c:pt>
              </c:strCache>
            </c:strRef>
          </c:cat>
          <c:val>
            <c:numRef>
              <c:f>'B Marital'!$E$2:$E$7</c:f>
              <c:numCache>
                <c:formatCode>0%</c:formatCode>
                <c:ptCount val="6"/>
                <c:pt idx="0">
                  <c:v>0</c:v>
                </c:pt>
                <c:pt idx="1">
                  <c:v>0.125</c:v>
                </c:pt>
                <c:pt idx="2">
                  <c:v>0.25</c:v>
                </c:pt>
                <c:pt idx="3">
                  <c:v>0.625</c:v>
                </c:pt>
                <c:pt idx="4">
                  <c:v>0</c:v>
                </c:pt>
                <c:pt idx="5">
                  <c:v>0</c:v>
                </c:pt>
              </c:numCache>
            </c:numRef>
          </c:val>
        </c:ser>
        <c:dLbls>
          <c:showLegendKey val="0"/>
          <c:showVal val="0"/>
          <c:showCatName val="0"/>
          <c:showSerName val="0"/>
          <c:showPercent val="0"/>
          <c:showBubbleSize val="0"/>
        </c:dLbls>
        <c:gapWidth val="150"/>
        <c:axId val="766992384"/>
        <c:axId val="694127424"/>
      </c:barChart>
      <c:scatterChart>
        <c:scatterStyle val="lineMarker"/>
        <c:varyColors val="0"/>
        <c:ser>
          <c:idx val="2"/>
          <c:order val="2"/>
          <c:tx>
            <c:strRef>
              <c:f>'B Marital'!$F$1</c:f>
              <c:strCache>
                <c:ptCount val="1"/>
                <c:pt idx="0">
                  <c:v>Workforce Represenation %</c:v>
                </c:pt>
              </c:strCache>
            </c:strRef>
          </c:tx>
          <c:spPr>
            <a:ln w="28575">
              <a:noFill/>
            </a:ln>
          </c:spPr>
          <c:marker>
            <c:symbol val="dash"/>
            <c:size val="27"/>
            <c:spPr>
              <a:solidFill>
                <a:srgbClr val="41B6E6"/>
              </a:solidFill>
              <a:ln w="22225">
                <a:solidFill>
                  <a:schemeClr val="bg1"/>
                </a:solidFill>
              </a:ln>
            </c:spPr>
          </c:marker>
          <c:xVal>
            <c:strRef>
              <c:f>'B Marital'!$A$2:$A$7</c:f>
              <c:strCache>
                <c:ptCount val="6"/>
                <c:pt idx="0">
                  <c:v>Civil Partnership</c:v>
                </c:pt>
                <c:pt idx="1">
                  <c:v>Divorced</c:v>
                </c:pt>
                <c:pt idx="2">
                  <c:v>Married</c:v>
                </c:pt>
                <c:pt idx="3">
                  <c:v>Single</c:v>
                </c:pt>
                <c:pt idx="4">
                  <c:v>Widowed</c:v>
                </c:pt>
                <c:pt idx="5">
                  <c:v>Unknown</c:v>
                </c:pt>
              </c:strCache>
            </c:strRef>
          </c:xVal>
          <c:yVal>
            <c:numRef>
              <c:f>'B Marital'!$F$2:$F$7</c:f>
              <c:numCache>
                <c:formatCode>0.0%</c:formatCode>
                <c:ptCount val="6"/>
                <c:pt idx="0">
                  <c:v>1.8821142792742027E-2</c:v>
                </c:pt>
                <c:pt idx="1">
                  <c:v>4.9250535331905779E-2</c:v>
                </c:pt>
                <c:pt idx="2">
                  <c:v>0.41767158796348475</c:v>
                </c:pt>
                <c:pt idx="3">
                  <c:v>0.44798827904879973</c:v>
                </c:pt>
                <c:pt idx="4">
                  <c:v>6.4239828693790149E-3</c:v>
                </c:pt>
                <c:pt idx="5">
                  <c:v>4.8687028062662008E-2</c:v>
                </c:pt>
              </c:numCache>
            </c:numRef>
          </c:yVal>
          <c:smooth val="0"/>
        </c:ser>
        <c:dLbls>
          <c:showLegendKey val="0"/>
          <c:showVal val="0"/>
          <c:showCatName val="0"/>
          <c:showSerName val="0"/>
          <c:showPercent val="0"/>
          <c:showBubbleSize val="0"/>
        </c:dLbls>
        <c:axId val="766992384"/>
        <c:axId val="694127424"/>
      </c:scatterChart>
      <c:catAx>
        <c:axId val="766992384"/>
        <c:scaling>
          <c:orientation val="minMax"/>
        </c:scaling>
        <c:delete val="0"/>
        <c:axPos val="b"/>
        <c:majorTickMark val="out"/>
        <c:minorTickMark val="none"/>
        <c:tickLblPos val="nextTo"/>
        <c:spPr>
          <a:ln>
            <a:noFill/>
          </a:ln>
        </c:spPr>
        <c:crossAx val="694127424"/>
        <c:crosses val="autoZero"/>
        <c:auto val="1"/>
        <c:lblAlgn val="ctr"/>
        <c:lblOffset val="100"/>
        <c:noMultiLvlLbl val="0"/>
      </c:catAx>
      <c:valAx>
        <c:axId val="694127424"/>
        <c:scaling>
          <c:orientation val="minMax"/>
        </c:scaling>
        <c:delete val="0"/>
        <c:axPos val="l"/>
        <c:numFmt formatCode="0%" sourceLinked="1"/>
        <c:majorTickMark val="out"/>
        <c:minorTickMark val="none"/>
        <c:tickLblPos val="nextTo"/>
        <c:spPr>
          <a:ln>
            <a:noFill/>
          </a:ln>
        </c:spPr>
        <c:crossAx val="766992384"/>
        <c:crosses val="autoZero"/>
        <c:crossBetween val="between"/>
      </c:valAx>
    </c:plotArea>
    <c:legend>
      <c:legendPos val="r"/>
      <c:layout>
        <c:manualLayout>
          <c:xMode val="edge"/>
          <c:yMode val="edge"/>
          <c:x val="6.0213582677165318E-2"/>
          <c:y val="1.2676392403574411E-3"/>
          <c:w val="0.92728641732283468"/>
          <c:h val="0.1247740799365508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76511506425037434"/>
          <c:h val="0.84593105954964687"/>
        </c:manualLayout>
      </c:layout>
      <c:barChart>
        <c:barDir val="col"/>
        <c:grouping val="clustered"/>
        <c:varyColors val="0"/>
        <c:ser>
          <c:idx val="0"/>
          <c:order val="0"/>
          <c:tx>
            <c:strRef>
              <c:f>'B Marital'!$C$27</c:f>
              <c:strCache>
                <c:ptCount val="1"/>
                <c:pt idx="0">
                  <c:v>Harassment Cases %</c:v>
                </c:pt>
              </c:strCache>
            </c:strRef>
          </c:tx>
          <c:spPr>
            <a:solidFill>
              <a:schemeClr val="tx2">
                <a:lumMod val="40000"/>
                <a:lumOff val="60000"/>
              </a:schemeClr>
            </a:solidFill>
          </c:spPr>
          <c:invertIfNegative val="0"/>
          <c:cat>
            <c:strRef>
              <c:f>'B Marital'!$A$28:$A$31</c:f>
              <c:strCache>
                <c:ptCount val="4"/>
                <c:pt idx="0">
                  <c:v>Divorced</c:v>
                </c:pt>
                <c:pt idx="1">
                  <c:v>Married</c:v>
                </c:pt>
                <c:pt idx="2">
                  <c:v>Single</c:v>
                </c:pt>
                <c:pt idx="3">
                  <c:v>Unknown</c:v>
                </c:pt>
              </c:strCache>
            </c:strRef>
          </c:cat>
          <c:val>
            <c:numRef>
              <c:f>'B Marital'!$C$28:$C$31</c:f>
              <c:numCache>
                <c:formatCode>0.0%</c:formatCode>
                <c:ptCount val="4"/>
                <c:pt idx="0">
                  <c:v>0.25</c:v>
                </c:pt>
                <c:pt idx="1">
                  <c:v>0.75</c:v>
                </c:pt>
                <c:pt idx="2">
                  <c:v>0</c:v>
                </c:pt>
                <c:pt idx="3">
                  <c:v>0</c:v>
                </c:pt>
              </c:numCache>
            </c:numRef>
          </c:val>
        </c:ser>
        <c:ser>
          <c:idx val="1"/>
          <c:order val="1"/>
          <c:tx>
            <c:strRef>
              <c:f>'B Marital'!$E$27</c:f>
              <c:strCache>
                <c:ptCount val="1"/>
                <c:pt idx="0">
                  <c:v>Grievance Cases %</c:v>
                </c:pt>
              </c:strCache>
            </c:strRef>
          </c:tx>
          <c:spPr>
            <a:solidFill>
              <a:schemeClr val="accent2">
                <a:lumMod val="40000"/>
                <a:lumOff val="60000"/>
              </a:schemeClr>
            </a:solidFill>
          </c:spPr>
          <c:invertIfNegative val="0"/>
          <c:cat>
            <c:strRef>
              <c:f>'B Marital'!$A$28:$A$31</c:f>
              <c:strCache>
                <c:ptCount val="4"/>
                <c:pt idx="0">
                  <c:v>Divorced</c:v>
                </c:pt>
                <c:pt idx="1">
                  <c:v>Married</c:v>
                </c:pt>
                <c:pt idx="2">
                  <c:v>Single</c:v>
                </c:pt>
                <c:pt idx="3">
                  <c:v>Unknown</c:v>
                </c:pt>
              </c:strCache>
            </c:strRef>
          </c:cat>
          <c:val>
            <c:numRef>
              <c:f>'B Marital'!$E$28:$E$31</c:f>
              <c:numCache>
                <c:formatCode>0.0%</c:formatCode>
                <c:ptCount val="4"/>
                <c:pt idx="0">
                  <c:v>0.1111111111111111</c:v>
                </c:pt>
                <c:pt idx="1">
                  <c:v>0.44444444444444442</c:v>
                </c:pt>
                <c:pt idx="2">
                  <c:v>0.33333333333333331</c:v>
                </c:pt>
                <c:pt idx="3">
                  <c:v>0.1111111111111111</c:v>
                </c:pt>
              </c:numCache>
            </c:numRef>
          </c:val>
        </c:ser>
        <c:ser>
          <c:idx val="2"/>
          <c:order val="2"/>
          <c:tx>
            <c:strRef>
              <c:f>'B Marital'!$G$27</c:f>
              <c:strCache>
                <c:ptCount val="1"/>
                <c:pt idx="0">
                  <c:v>Disciplinary Cases %</c:v>
                </c:pt>
              </c:strCache>
            </c:strRef>
          </c:tx>
          <c:spPr>
            <a:solidFill>
              <a:schemeClr val="accent3">
                <a:lumMod val="40000"/>
                <a:lumOff val="60000"/>
              </a:schemeClr>
            </a:solidFill>
            <a:ln w="28575">
              <a:noFill/>
            </a:ln>
          </c:spPr>
          <c:invertIfNegative val="0"/>
          <c:cat>
            <c:strRef>
              <c:f>'B Marital'!$A$28:$A$31</c:f>
              <c:strCache>
                <c:ptCount val="4"/>
                <c:pt idx="0">
                  <c:v>Divorced</c:v>
                </c:pt>
                <c:pt idx="1">
                  <c:v>Married</c:v>
                </c:pt>
                <c:pt idx="2">
                  <c:v>Single</c:v>
                </c:pt>
                <c:pt idx="3">
                  <c:v>Unknown</c:v>
                </c:pt>
              </c:strCache>
            </c:strRef>
          </c:cat>
          <c:val>
            <c:numRef>
              <c:f>'B Marital'!$G$28:$G$31</c:f>
              <c:numCache>
                <c:formatCode>0.0%</c:formatCode>
                <c:ptCount val="4"/>
                <c:pt idx="0">
                  <c:v>4.3478260869565216E-2</c:v>
                </c:pt>
                <c:pt idx="1">
                  <c:v>0.43478260869565216</c:v>
                </c:pt>
                <c:pt idx="2">
                  <c:v>0.47826086956521741</c:v>
                </c:pt>
                <c:pt idx="3">
                  <c:v>4.3478260869565216E-2</c:v>
                </c:pt>
              </c:numCache>
            </c:numRef>
          </c:val>
        </c:ser>
        <c:dLbls>
          <c:showLegendKey val="0"/>
          <c:showVal val="0"/>
          <c:showCatName val="0"/>
          <c:showSerName val="0"/>
          <c:showPercent val="0"/>
          <c:showBubbleSize val="0"/>
        </c:dLbls>
        <c:gapWidth val="150"/>
        <c:axId val="766993408"/>
        <c:axId val="694129152"/>
      </c:barChart>
      <c:scatterChart>
        <c:scatterStyle val="lineMarker"/>
        <c:varyColors val="0"/>
        <c:ser>
          <c:idx val="3"/>
          <c:order val="3"/>
          <c:tx>
            <c:strRef>
              <c:f>'B Marital'!$H$27</c:f>
              <c:strCache>
                <c:ptCount val="1"/>
                <c:pt idx="0">
                  <c:v>Workforce Represenation %</c:v>
                </c:pt>
              </c:strCache>
            </c:strRef>
          </c:tx>
          <c:spPr>
            <a:ln w="28575">
              <a:noFill/>
            </a:ln>
          </c:spPr>
          <c:marker>
            <c:symbol val="dash"/>
            <c:size val="23"/>
            <c:spPr>
              <a:solidFill>
                <a:srgbClr val="41B6E6"/>
              </a:solidFill>
              <a:ln w="22225">
                <a:solidFill>
                  <a:schemeClr val="bg1"/>
                </a:solidFill>
              </a:ln>
            </c:spPr>
          </c:marker>
          <c:xVal>
            <c:strRef>
              <c:f>'B Marital'!$A$28:$A$31</c:f>
              <c:strCache>
                <c:ptCount val="4"/>
                <c:pt idx="0">
                  <c:v>Divorced</c:v>
                </c:pt>
                <c:pt idx="1">
                  <c:v>Married</c:v>
                </c:pt>
                <c:pt idx="2">
                  <c:v>Single</c:v>
                </c:pt>
                <c:pt idx="3">
                  <c:v>Unknown</c:v>
                </c:pt>
              </c:strCache>
            </c:strRef>
          </c:xVal>
          <c:yVal>
            <c:numRef>
              <c:f>'B Marital'!$H$28:$H$31</c:f>
              <c:numCache>
                <c:formatCode>0.0%</c:formatCode>
                <c:ptCount val="4"/>
                <c:pt idx="0">
                  <c:v>4.9250535331905779E-2</c:v>
                </c:pt>
                <c:pt idx="1">
                  <c:v>0.41767158796348475</c:v>
                </c:pt>
                <c:pt idx="2">
                  <c:v>0.44798827904879973</c:v>
                </c:pt>
                <c:pt idx="3">
                  <c:v>4.8687028062662008E-2</c:v>
                </c:pt>
              </c:numCache>
            </c:numRef>
          </c:yVal>
          <c:smooth val="0"/>
        </c:ser>
        <c:dLbls>
          <c:showLegendKey val="0"/>
          <c:showVal val="0"/>
          <c:showCatName val="0"/>
          <c:showSerName val="0"/>
          <c:showPercent val="0"/>
          <c:showBubbleSize val="0"/>
        </c:dLbls>
        <c:axId val="766993408"/>
        <c:axId val="694129152"/>
      </c:scatterChart>
      <c:catAx>
        <c:axId val="766993408"/>
        <c:scaling>
          <c:orientation val="minMax"/>
        </c:scaling>
        <c:delete val="0"/>
        <c:axPos val="b"/>
        <c:majorTickMark val="out"/>
        <c:minorTickMark val="none"/>
        <c:tickLblPos val="nextTo"/>
        <c:spPr>
          <a:ln>
            <a:noFill/>
          </a:ln>
        </c:spPr>
        <c:crossAx val="694129152"/>
        <c:crosses val="autoZero"/>
        <c:auto val="1"/>
        <c:lblAlgn val="ctr"/>
        <c:lblOffset val="100"/>
        <c:noMultiLvlLbl val="0"/>
      </c:catAx>
      <c:valAx>
        <c:axId val="694129152"/>
        <c:scaling>
          <c:orientation val="minMax"/>
        </c:scaling>
        <c:delete val="0"/>
        <c:axPos val="l"/>
        <c:numFmt formatCode="0%" sourceLinked="0"/>
        <c:majorTickMark val="out"/>
        <c:minorTickMark val="none"/>
        <c:tickLblPos val="nextTo"/>
        <c:spPr>
          <a:ln>
            <a:noFill/>
          </a:ln>
        </c:spPr>
        <c:crossAx val="766993408"/>
        <c:crosses val="autoZero"/>
        <c:crossBetween val="between"/>
      </c:valAx>
    </c:plotArea>
    <c:legend>
      <c:legendPos val="r"/>
      <c:layout>
        <c:manualLayout>
          <c:xMode val="edge"/>
          <c:yMode val="edge"/>
          <c:x val="0.71192384926763252"/>
          <c:y val="5.6075843438649881E-2"/>
          <c:w val="0.2755760698315104"/>
          <c:h val="0.55119062258275653"/>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'B Marital'!$C$51</c:f>
              <c:strCache>
                <c:ptCount val="1"/>
                <c:pt idx="0">
                  <c:v>All Dismissals</c:v>
                </c:pt>
              </c:strCache>
            </c:strRef>
          </c:tx>
          <c:spPr>
            <a:solidFill>
              <a:schemeClr val="tx2">
                <a:lumMod val="40000"/>
                <a:lumOff val="60000"/>
              </a:schemeClr>
            </a:solidFill>
          </c:spPr>
          <c:invertIfNegative val="0"/>
          <c:cat>
            <c:strRef>
              <c:f>'B Marital'!$A$52:$A$54</c:f>
              <c:strCache>
                <c:ptCount val="3"/>
                <c:pt idx="0">
                  <c:v>Married</c:v>
                </c:pt>
                <c:pt idx="1">
                  <c:v>Single</c:v>
                </c:pt>
                <c:pt idx="2">
                  <c:v>Unknown</c:v>
                </c:pt>
              </c:strCache>
            </c:strRef>
          </c:cat>
          <c:val>
            <c:numRef>
              <c:f>'B Marital'!$C$52:$C$54</c:f>
              <c:numCache>
                <c:formatCode>0.0%</c:formatCode>
                <c:ptCount val="3"/>
                <c:pt idx="0">
                  <c:v>0.52941176470588236</c:v>
                </c:pt>
                <c:pt idx="1">
                  <c:v>0.41176470588235292</c:v>
                </c:pt>
                <c:pt idx="2">
                  <c:v>5.8823529411764705E-2</c:v>
                </c:pt>
              </c:numCache>
            </c:numRef>
          </c:val>
        </c:ser>
        <c:ser>
          <c:idx val="1"/>
          <c:order val="1"/>
          <c:tx>
            <c:strRef>
              <c:f>'B Marital'!$E$51</c:f>
              <c:strCache>
                <c:ptCount val="1"/>
                <c:pt idx="0">
                  <c:v>Dismissals (Sickness only) %</c:v>
                </c:pt>
              </c:strCache>
            </c:strRef>
          </c:tx>
          <c:spPr>
            <a:solidFill>
              <a:schemeClr val="accent2">
                <a:lumMod val="40000"/>
                <a:lumOff val="60000"/>
              </a:schemeClr>
            </a:solidFill>
          </c:spPr>
          <c:invertIfNegative val="0"/>
          <c:cat>
            <c:strRef>
              <c:f>'B Marital'!$A$52:$A$54</c:f>
              <c:strCache>
                <c:ptCount val="3"/>
                <c:pt idx="0">
                  <c:v>Married</c:v>
                </c:pt>
                <c:pt idx="1">
                  <c:v>Single</c:v>
                </c:pt>
                <c:pt idx="2">
                  <c:v>Unknown</c:v>
                </c:pt>
              </c:strCache>
            </c:strRef>
          </c:cat>
          <c:val>
            <c:numRef>
              <c:f>'B Marital'!$E$52:$E$54</c:f>
              <c:numCache>
                <c:formatCode>0.0%</c:formatCode>
                <c:ptCount val="3"/>
                <c:pt idx="0">
                  <c:v>0.53846153846153844</c:v>
                </c:pt>
                <c:pt idx="1">
                  <c:v>0.38461538461538464</c:v>
                </c:pt>
                <c:pt idx="2">
                  <c:v>7.6923076923076927E-2</c:v>
                </c:pt>
              </c:numCache>
            </c:numRef>
          </c:val>
        </c:ser>
        <c:dLbls>
          <c:showLegendKey val="0"/>
          <c:showVal val="0"/>
          <c:showCatName val="0"/>
          <c:showSerName val="0"/>
          <c:showPercent val="0"/>
          <c:showBubbleSize val="0"/>
        </c:dLbls>
        <c:gapWidth val="150"/>
        <c:axId val="766994432"/>
        <c:axId val="694130880"/>
      </c:barChart>
      <c:scatterChart>
        <c:scatterStyle val="lineMarker"/>
        <c:varyColors val="0"/>
        <c:ser>
          <c:idx val="2"/>
          <c:order val="2"/>
          <c:tx>
            <c:strRef>
              <c:f>'B Marital'!$F$51</c:f>
              <c:strCache>
                <c:ptCount val="1"/>
                <c:pt idx="0">
                  <c:v>Workforce Representation %</c:v>
                </c:pt>
              </c:strCache>
            </c:strRef>
          </c:tx>
          <c:spPr>
            <a:ln w="28575">
              <a:noFill/>
            </a:ln>
          </c:spPr>
          <c:marker>
            <c:symbol val="dash"/>
            <c:size val="27"/>
            <c:spPr>
              <a:solidFill>
                <a:srgbClr val="41B6E6"/>
              </a:solidFill>
              <a:ln w="22225">
                <a:solidFill>
                  <a:schemeClr val="bg1"/>
                </a:solidFill>
              </a:ln>
            </c:spPr>
          </c:marker>
          <c:xVal>
            <c:strRef>
              <c:f>'B Marital'!$A$52:$A$54</c:f>
              <c:strCache>
                <c:ptCount val="3"/>
                <c:pt idx="0">
                  <c:v>Married</c:v>
                </c:pt>
                <c:pt idx="1">
                  <c:v>Single</c:v>
                </c:pt>
                <c:pt idx="2">
                  <c:v>Unknown</c:v>
                </c:pt>
              </c:strCache>
            </c:strRef>
          </c:xVal>
          <c:yVal>
            <c:numRef>
              <c:f>'B Marital'!$F$52:$F$54</c:f>
              <c:numCache>
                <c:formatCode>0.0%</c:formatCode>
                <c:ptCount val="3"/>
                <c:pt idx="0">
                  <c:v>0.41767158796348475</c:v>
                </c:pt>
                <c:pt idx="1">
                  <c:v>0.44798827904879973</c:v>
                </c:pt>
                <c:pt idx="2">
                  <c:v>4.8687028062662008E-2</c:v>
                </c:pt>
              </c:numCache>
            </c:numRef>
          </c:yVal>
          <c:smooth val="0"/>
        </c:ser>
        <c:dLbls>
          <c:showLegendKey val="0"/>
          <c:showVal val="0"/>
          <c:showCatName val="0"/>
          <c:showSerName val="0"/>
          <c:showPercent val="0"/>
          <c:showBubbleSize val="0"/>
        </c:dLbls>
        <c:axId val="766994432"/>
        <c:axId val="694130880"/>
      </c:scatterChart>
      <c:catAx>
        <c:axId val="766994432"/>
        <c:scaling>
          <c:orientation val="minMax"/>
        </c:scaling>
        <c:delete val="0"/>
        <c:axPos val="b"/>
        <c:majorTickMark val="out"/>
        <c:minorTickMark val="none"/>
        <c:tickLblPos val="nextTo"/>
        <c:spPr>
          <a:ln>
            <a:noFill/>
          </a:ln>
        </c:spPr>
        <c:crossAx val="694130880"/>
        <c:crosses val="autoZero"/>
        <c:auto val="1"/>
        <c:lblAlgn val="ctr"/>
        <c:lblOffset val="100"/>
        <c:noMultiLvlLbl val="0"/>
      </c:catAx>
      <c:valAx>
        <c:axId val="694130880"/>
        <c:scaling>
          <c:orientation val="minMax"/>
        </c:scaling>
        <c:delete val="0"/>
        <c:axPos val="l"/>
        <c:numFmt formatCode="0.0%" sourceLinked="1"/>
        <c:majorTickMark val="out"/>
        <c:minorTickMark val="none"/>
        <c:tickLblPos val="nextTo"/>
        <c:spPr>
          <a:ln>
            <a:noFill/>
          </a:ln>
        </c:spPr>
        <c:crossAx val="766994432"/>
        <c:crosses val="autoZero"/>
        <c:crossBetween val="between"/>
      </c:valAx>
    </c:plotArea>
    <c:legend>
      <c:legendPos val="r"/>
      <c:layout>
        <c:manualLayout>
          <c:xMode val="edge"/>
          <c:yMode val="edge"/>
          <c:x val="6.8546916010498643E-2"/>
          <c:y val="2.6875801643303252E-2"/>
          <c:w val="0.91895308398950126"/>
          <c:h val="8.8060935404841389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'W Marital'!$C$1</c:f>
              <c:strCache>
                <c:ptCount val="1"/>
                <c:pt idx="0">
                  <c:v>Grievance Cases %</c:v>
                </c:pt>
              </c:strCache>
            </c:strRef>
          </c:tx>
          <c:spPr>
            <a:solidFill>
              <a:schemeClr val="tx2">
                <a:lumMod val="40000"/>
                <a:lumOff val="60000"/>
              </a:schemeClr>
            </a:solidFill>
          </c:spPr>
          <c:invertIfNegative val="0"/>
          <c:cat>
            <c:strRef>
              <c:f>'W Marital'!$A$2:$A$8</c:f>
              <c:strCache>
                <c:ptCount val="7"/>
                <c:pt idx="0">
                  <c:v>Civil Partnership</c:v>
                </c:pt>
                <c:pt idx="1">
                  <c:v>Divorced</c:v>
                </c:pt>
                <c:pt idx="2">
                  <c:v>Legally Separated</c:v>
                </c:pt>
                <c:pt idx="3">
                  <c:v>Married</c:v>
                </c:pt>
                <c:pt idx="4">
                  <c:v>Single</c:v>
                </c:pt>
                <c:pt idx="5">
                  <c:v>Prefer not to say</c:v>
                </c:pt>
                <c:pt idx="6">
                  <c:v>Unknown</c:v>
                </c:pt>
              </c:strCache>
            </c:strRef>
          </c:cat>
          <c:val>
            <c:numRef>
              <c:f>'W Marital'!$C$2:$C$8</c:f>
              <c:numCache>
                <c:formatCode>General</c:formatCode>
                <c:ptCount val="7"/>
                <c:pt idx="0" formatCode="0.0%">
                  <c:v>7.1428571428571425E-2</c:v>
                </c:pt>
                <c:pt idx="2" formatCode="0.0%">
                  <c:v>3.5714285714285712E-2</c:v>
                </c:pt>
                <c:pt idx="3" formatCode="0.0%">
                  <c:v>0.5714285714285714</c:v>
                </c:pt>
                <c:pt idx="4" formatCode="0.0%">
                  <c:v>0.17857142857142858</c:v>
                </c:pt>
                <c:pt idx="5" formatCode="0.0%">
                  <c:v>3.5714285714285712E-2</c:v>
                </c:pt>
                <c:pt idx="6" formatCode="0.0%">
                  <c:v>7.1428571428571425E-2</c:v>
                </c:pt>
              </c:numCache>
            </c:numRef>
          </c:val>
        </c:ser>
        <c:ser>
          <c:idx val="1"/>
          <c:order val="1"/>
          <c:tx>
            <c:strRef>
              <c:f>'W Marital'!$E$1</c:f>
              <c:strCache>
                <c:ptCount val="1"/>
                <c:pt idx="0">
                  <c:v>Disciplinary Cases %</c:v>
                </c:pt>
              </c:strCache>
            </c:strRef>
          </c:tx>
          <c:spPr>
            <a:solidFill>
              <a:schemeClr val="accent2">
                <a:lumMod val="40000"/>
                <a:lumOff val="60000"/>
              </a:schemeClr>
            </a:solidFill>
          </c:spPr>
          <c:invertIfNegative val="0"/>
          <c:cat>
            <c:strRef>
              <c:f>'W Marital'!$A$2:$A$8</c:f>
              <c:strCache>
                <c:ptCount val="7"/>
                <c:pt idx="0">
                  <c:v>Civil Partnership</c:v>
                </c:pt>
                <c:pt idx="1">
                  <c:v>Divorced</c:v>
                </c:pt>
                <c:pt idx="2">
                  <c:v>Legally Separated</c:v>
                </c:pt>
                <c:pt idx="3">
                  <c:v>Married</c:v>
                </c:pt>
                <c:pt idx="4">
                  <c:v>Single</c:v>
                </c:pt>
                <c:pt idx="5">
                  <c:v>Prefer not to say</c:v>
                </c:pt>
                <c:pt idx="6">
                  <c:v>Unknown</c:v>
                </c:pt>
              </c:strCache>
            </c:strRef>
          </c:cat>
          <c:val>
            <c:numRef>
              <c:f>'W Marital'!$E$2:$E$8</c:f>
              <c:numCache>
                <c:formatCode>0.0%</c:formatCode>
                <c:ptCount val="7"/>
                <c:pt idx="1">
                  <c:v>9.4339622641509441E-2</c:v>
                </c:pt>
                <c:pt idx="2">
                  <c:v>1.8867924528301886E-2</c:v>
                </c:pt>
                <c:pt idx="3">
                  <c:v>0.45283018867924529</c:v>
                </c:pt>
                <c:pt idx="4">
                  <c:v>0.37735849056603776</c:v>
                </c:pt>
                <c:pt idx="6">
                  <c:v>5.6603773584905662E-2</c:v>
                </c:pt>
              </c:numCache>
            </c:numRef>
          </c:val>
        </c:ser>
        <c:dLbls>
          <c:showLegendKey val="0"/>
          <c:showVal val="0"/>
          <c:showCatName val="0"/>
          <c:showSerName val="0"/>
          <c:showPercent val="0"/>
          <c:showBubbleSize val="0"/>
        </c:dLbls>
        <c:gapWidth val="150"/>
        <c:axId val="766995456"/>
        <c:axId val="769662976"/>
      </c:barChart>
      <c:scatterChart>
        <c:scatterStyle val="lineMarker"/>
        <c:varyColors val="0"/>
        <c:ser>
          <c:idx val="2"/>
          <c:order val="2"/>
          <c:tx>
            <c:strRef>
              <c:f>'W Marital'!$F$1</c:f>
              <c:strCache>
                <c:ptCount val="1"/>
                <c:pt idx="0">
                  <c:v>Workforce Represenation %</c:v>
                </c:pt>
              </c:strCache>
            </c:strRef>
          </c:tx>
          <c:spPr>
            <a:ln w="28575">
              <a:noFill/>
            </a:ln>
          </c:spPr>
          <c:marker>
            <c:symbol val="dash"/>
            <c:size val="12"/>
            <c:spPr>
              <a:solidFill>
                <a:srgbClr val="41B6E6"/>
              </a:solidFill>
              <a:ln>
                <a:solidFill>
                  <a:schemeClr val="bg1"/>
                </a:solidFill>
              </a:ln>
            </c:spPr>
          </c:marker>
          <c:xVal>
            <c:strRef>
              <c:f>'W Marital'!$A$2:$A$8</c:f>
              <c:strCache>
                <c:ptCount val="7"/>
                <c:pt idx="0">
                  <c:v>Civil Partnership</c:v>
                </c:pt>
                <c:pt idx="1">
                  <c:v>Divorced</c:v>
                </c:pt>
                <c:pt idx="2">
                  <c:v>Legally Separated</c:v>
                </c:pt>
                <c:pt idx="3">
                  <c:v>Married</c:v>
                </c:pt>
                <c:pt idx="4">
                  <c:v>Single</c:v>
                </c:pt>
                <c:pt idx="5">
                  <c:v>Prefer not to say</c:v>
                </c:pt>
                <c:pt idx="6">
                  <c:v>Unknown</c:v>
                </c:pt>
              </c:strCache>
            </c:strRef>
          </c:xVal>
          <c:yVal>
            <c:numRef>
              <c:f>'W Marital'!$F$2:$F$8</c:f>
              <c:numCache>
                <c:formatCode>0.0%</c:formatCode>
                <c:ptCount val="7"/>
                <c:pt idx="0">
                  <c:v>1.0506716318659397E-2</c:v>
                </c:pt>
                <c:pt idx="1">
                  <c:v>6.1843330230083787E-2</c:v>
                </c:pt>
                <c:pt idx="2">
                  <c:v>1.2235669636919803E-2</c:v>
                </c:pt>
                <c:pt idx="3">
                  <c:v>0.51203617502327436</c:v>
                </c:pt>
                <c:pt idx="4">
                  <c:v>0.36534113578933369</c:v>
                </c:pt>
                <c:pt idx="6">
                  <c:v>2.7131267455778693E-2</c:v>
                </c:pt>
              </c:numCache>
            </c:numRef>
          </c:yVal>
          <c:smooth val="0"/>
        </c:ser>
        <c:dLbls>
          <c:showLegendKey val="0"/>
          <c:showVal val="0"/>
          <c:showCatName val="0"/>
          <c:showSerName val="0"/>
          <c:showPercent val="0"/>
          <c:showBubbleSize val="0"/>
        </c:dLbls>
        <c:axId val="766995456"/>
        <c:axId val="769662976"/>
      </c:scatterChart>
      <c:catAx>
        <c:axId val="766995456"/>
        <c:scaling>
          <c:orientation val="minMax"/>
        </c:scaling>
        <c:delete val="0"/>
        <c:axPos val="b"/>
        <c:majorTickMark val="out"/>
        <c:minorTickMark val="none"/>
        <c:tickLblPos val="nextTo"/>
        <c:spPr>
          <a:ln>
            <a:noFill/>
          </a:ln>
        </c:spPr>
        <c:crossAx val="769662976"/>
        <c:crosses val="autoZero"/>
        <c:auto val="1"/>
        <c:lblAlgn val="ctr"/>
        <c:lblOffset val="100"/>
        <c:noMultiLvlLbl val="0"/>
      </c:catAx>
      <c:valAx>
        <c:axId val="769662976"/>
        <c:scaling>
          <c:orientation val="minMax"/>
        </c:scaling>
        <c:delete val="0"/>
        <c:axPos val="l"/>
        <c:numFmt formatCode="0.0%" sourceLinked="1"/>
        <c:majorTickMark val="out"/>
        <c:minorTickMark val="none"/>
        <c:tickLblPos val="nextTo"/>
        <c:spPr>
          <a:ln>
            <a:noFill/>
          </a:ln>
        </c:spPr>
        <c:crossAx val="766995456"/>
        <c:crosses val="autoZero"/>
        <c:crossBetween val="between"/>
      </c:valAx>
    </c:plotArea>
    <c:legend>
      <c:legendPos val="r"/>
      <c:layout>
        <c:manualLayout>
          <c:xMode val="edge"/>
          <c:yMode val="edge"/>
          <c:x val="6.8546916010498643E-2"/>
          <c:y val="5.5356716774039635E-3"/>
          <c:w val="0.91895308398950126"/>
          <c:h val="8.2093755566085613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250085587127689E-2"/>
          <c:y val="2.4239121272631618E-2"/>
          <c:w val="0.89722016179137032"/>
          <c:h val="0.70066009190711631"/>
        </c:manualLayout>
      </c:layout>
      <c:barChart>
        <c:barDir val="col"/>
        <c:grouping val="clustered"/>
        <c:varyColors val="0"/>
        <c:ser>
          <c:idx val="0"/>
          <c:order val="0"/>
          <c:tx>
            <c:strRef>
              <c:f>'Marital B'!$C$1</c:f>
              <c:strCache>
                <c:ptCount val="1"/>
                <c:pt idx="0">
                  <c:v>2020/21 BSUH Leavers (%)</c:v>
                </c:pt>
              </c:strCache>
            </c:strRef>
          </c:tx>
          <c:spPr>
            <a:solidFill>
              <a:srgbClr val="41B6E6"/>
            </a:solidFill>
          </c:spPr>
          <c:invertIfNegative val="0"/>
          <c:cat>
            <c:strRef>
              <c:f>'Marital B'!$A$2:$A$8</c:f>
              <c:strCache>
                <c:ptCount val="7"/>
                <c:pt idx="0">
                  <c:v>Civil Partnership</c:v>
                </c:pt>
                <c:pt idx="1">
                  <c:v>Divorced</c:v>
                </c:pt>
                <c:pt idx="2">
                  <c:v>Legally Separated</c:v>
                </c:pt>
                <c:pt idx="3">
                  <c:v>Married</c:v>
                </c:pt>
                <c:pt idx="4">
                  <c:v>Single</c:v>
                </c:pt>
                <c:pt idx="5">
                  <c:v>Widowed</c:v>
                </c:pt>
                <c:pt idx="6">
                  <c:v>Unknown</c:v>
                </c:pt>
              </c:strCache>
            </c:strRef>
          </c:cat>
          <c:val>
            <c:numRef>
              <c:f>'Marital B'!$C$2:$C$8</c:f>
              <c:numCache>
                <c:formatCode>0.0%</c:formatCode>
                <c:ptCount val="7"/>
                <c:pt idx="0">
                  <c:v>7.8585461689587421E-3</c:v>
                </c:pt>
                <c:pt idx="1">
                  <c:v>4.6496398166339228E-2</c:v>
                </c:pt>
                <c:pt idx="2">
                  <c:v>1.1787819253438114E-2</c:v>
                </c:pt>
                <c:pt idx="3">
                  <c:v>0.32874918140144072</c:v>
                </c:pt>
                <c:pt idx="4">
                  <c:v>0.53962017026850029</c:v>
                </c:pt>
                <c:pt idx="5">
                  <c:v>1.0478061558611657E-2</c:v>
                </c:pt>
                <c:pt idx="6">
                  <c:v>5.50098231827112E-2</c:v>
                </c:pt>
              </c:numCache>
            </c:numRef>
          </c:val>
        </c:ser>
        <c:ser>
          <c:idx val="1"/>
          <c:order val="1"/>
          <c:tx>
            <c:strRef>
              <c:f>'Marital B'!$E$1</c:f>
              <c:strCache>
                <c:ptCount val="1"/>
                <c:pt idx="0">
                  <c:v>% in Workforce</c:v>
                </c:pt>
              </c:strCache>
            </c:strRef>
          </c:tx>
          <c:spPr>
            <a:solidFill>
              <a:srgbClr val="FFB81C"/>
            </a:solidFill>
          </c:spPr>
          <c:invertIfNegative val="0"/>
          <c:cat>
            <c:strRef>
              <c:f>'Marital B'!$A$2:$A$8</c:f>
              <c:strCache>
                <c:ptCount val="7"/>
                <c:pt idx="0">
                  <c:v>Civil Partnership</c:v>
                </c:pt>
                <c:pt idx="1">
                  <c:v>Divorced</c:v>
                </c:pt>
                <c:pt idx="2">
                  <c:v>Legally Separated</c:v>
                </c:pt>
                <c:pt idx="3">
                  <c:v>Married</c:v>
                </c:pt>
                <c:pt idx="4">
                  <c:v>Single</c:v>
                </c:pt>
                <c:pt idx="5">
                  <c:v>Widowed</c:v>
                </c:pt>
                <c:pt idx="6">
                  <c:v>Unknown</c:v>
                </c:pt>
              </c:strCache>
            </c:strRef>
          </c:cat>
          <c:val>
            <c:numRef>
              <c:f>'Marital B'!$E$2:$E$8</c:f>
              <c:numCache>
                <c:formatCode>0.0%</c:formatCode>
                <c:ptCount val="7"/>
                <c:pt idx="0">
                  <c:v>1.8821142792742027E-2</c:v>
                </c:pt>
                <c:pt idx="1">
                  <c:v>4.9250535331905779E-2</c:v>
                </c:pt>
                <c:pt idx="2">
                  <c:v>1.115744393102671E-2</c:v>
                </c:pt>
                <c:pt idx="3">
                  <c:v>0.41767158796348475</c:v>
                </c:pt>
                <c:pt idx="4">
                  <c:v>0.44798827904879973</c:v>
                </c:pt>
                <c:pt idx="5">
                  <c:v>6.4239828693790149E-3</c:v>
                </c:pt>
                <c:pt idx="6">
                  <c:v>4.8687028062662008E-2</c:v>
                </c:pt>
              </c:numCache>
            </c:numRef>
          </c:val>
        </c:ser>
        <c:dLbls>
          <c:showLegendKey val="0"/>
          <c:showVal val="0"/>
          <c:showCatName val="0"/>
          <c:showSerName val="0"/>
          <c:showPercent val="0"/>
          <c:showBubbleSize val="0"/>
        </c:dLbls>
        <c:gapWidth val="150"/>
        <c:axId val="769623552"/>
        <c:axId val="769664704"/>
      </c:barChart>
      <c:catAx>
        <c:axId val="769623552"/>
        <c:scaling>
          <c:orientation val="minMax"/>
        </c:scaling>
        <c:delete val="0"/>
        <c:axPos val="b"/>
        <c:majorTickMark val="out"/>
        <c:minorTickMark val="none"/>
        <c:tickLblPos val="nextTo"/>
        <c:crossAx val="769664704"/>
        <c:crosses val="autoZero"/>
        <c:auto val="1"/>
        <c:lblAlgn val="ctr"/>
        <c:lblOffset val="100"/>
        <c:noMultiLvlLbl val="0"/>
      </c:catAx>
      <c:valAx>
        <c:axId val="769664704"/>
        <c:scaling>
          <c:orientation val="minMax"/>
        </c:scaling>
        <c:delete val="0"/>
        <c:axPos val="l"/>
        <c:numFmt formatCode="0.0%" sourceLinked="1"/>
        <c:majorTickMark val="out"/>
        <c:minorTickMark val="none"/>
        <c:tickLblPos val="nextTo"/>
        <c:spPr>
          <a:ln>
            <a:noFill/>
          </a:ln>
        </c:spPr>
        <c:crossAx val="769623552"/>
        <c:crosses val="autoZero"/>
        <c:crossBetween val="between"/>
      </c:valAx>
    </c:plotArea>
    <c:legend>
      <c:legendPos val="r"/>
      <c:layout>
        <c:manualLayout>
          <c:xMode val="edge"/>
          <c:yMode val="edge"/>
          <c:x val="0.751534862490015"/>
          <c:y val="0.13431809395918534"/>
          <c:w val="0.2323620779286647"/>
          <c:h val="0.21486318056396797"/>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09957494251272"/>
          <c:y val="3.5557537806833232E-2"/>
          <c:w val="0.89722016179137032"/>
          <c:h val="0.70066009190711631"/>
        </c:manualLayout>
      </c:layout>
      <c:barChart>
        <c:barDir val="col"/>
        <c:grouping val="clustered"/>
        <c:varyColors val="0"/>
        <c:ser>
          <c:idx val="0"/>
          <c:order val="0"/>
          <c:tx>
            <c:strRef>
              <c:f>'Marital W'!$C$1</c:f>
              <c:strCache>
                <c:ptCount val="1"/>
                <c:pt idx="0">
                  <c:v>2020/21 WSHT Leavers (%)</c:v>
                </c:pt>
              </c:strCache>
            </c:strRef>
          </c:tx>
          <c:spPr>
            <a:solidFill>
              <a:srgbClr val="009639"/>
            </a:solidFill>
          </c:spPr>
          <c:invertIfNegative val="0"/>
          <c:cat>
            <c:strRef>
              <c:f>'Marital W'!$A$2:$A$8</c:f>
              <c:strCache>
                <c:ptCount val="7"/>
                <c:pt idx="0">
                  <c:v>Civil Partnership</c:v>
                </c:pt>
                <c:pt idx="1">
                  <c:v>Divorced</c:v>
                </c:pt>
                <c:pt idx="2">
                  <c:v>Legally Separated</c:v>
                </c:pt>
                <c:pt idx="3">
                  <c:v>Married</c:v>
                </c:pt>
                <c:pt idx="4">
                  <c:v>Single</c:v>
                </c:pt>
                <c:pt idx="5">
                  <c:v>Widowed</c:v>
                </c:pt>
                <c:pt idx="6">
                  <c:v>Unknown</c:v>
                </c:pt>
              </c:strCache>
            </c:strRef>
          </c:cat>
          <c:val>
            <c:numRef>
              <c:f>'Marital W'!$C$2:$C$8</c:f>
              <c:numCache>
                <c:formatCode>0.0%</c:formatCode>
                <c:ptCount val="7"/>
                <c:pt idx="0">
                  <c:v>4.3988269794721412E-3</c:v>
                </c:pt>
                <c:pt idx="1">
                  <c:v>6.4516129032258063E-2</c:v>
                </c:pt>
                <c:pt idx="2">
                  <c:v>1.3196480938416423E-2</c:v>
                </c:pt>
                <c:pt idx="3">
                  <c:v>0.42668621700879766</c:v>
                </c:pt>
                <c:pt idx="4">
                  <c:v>0.44574780058651026</c:v>
                </c:pt>
                <c:pt idx="5">
                  <c:v>1.1730205278592375E-2</c:v>
                </c:pt>
                <c:pt idx="6">
                  <c:v>3.3724340175953077E-2</c:v>
                </c:pt>
              </c:numCache>
            </c:numRef>
          </c:val>
        </c:ser>
        <c:ser>
          <c:idx val="1"/>
          <c:order val="1"/>
          <c:tx>
            <c:strRef>
              <c:f>'Marital W'!$E$1</c:f>
              <c:strCache>
                <c:ptCount val="1"/>
                <c:pt idx="0">
                  <c:v>% in Workforce</c:v>
                </c:pt>
              </c:strCache>
            </c:strRef>
          </c:tx>
          <c:spPr>
            <a:solidFill>
              <a:srgbClr val="FFB81C"/>
            </a:solidFill>
          </c:spPr>
          <c:invertIfNegative val="0"/>
          <c:cat>
            <c:strRef>
              <c:f>'Marital W'!$A$2:$A$8</c:f>
              <c:strCache>
                <c:ptCount val="7"/>
                <c:pt idx="0">
                  <c:v>Civil Partnership</c:v>
                </c:pt>
                <c:pt idx="1">
                  <c:v>Divorced</c:v>
                </c:pt>
                <c:pt idx="2">
                  <c:v>Legally Separated</c:v>
                </c:pt>
                <c:pt idx="3">
                  <c:v>Married</c:v>
                </c:pt>
                <c:pt idx="4">
                  <c:v>Single</c:v>
                </c:pt>
                <c:pt idx="5">
                  <c:v>Widowed</c:v>
                </c:pt>
                <c:pt idx="6">
                  <c:v>Unknown</c:v>
                </c:pt>
              </c:strCache>
            </c:strRef>
          </c:cat>
          <c:val>
            <c:numRef>
              <c:f>'Marital W'!$E$2:$E$8</c:f>
              <c:numCache>
                <c:formatCode>0.0%</c:formatCode>
                <c:ptCount val="7"/>
                <c:pt idx="0">
                  <c:v>1.0506716318659397E-2</c:v>
                </c:pt>
                <c:pt idx="1">
                  <c:v>6.1843330230083787E-2</c:v>
                </c:pt>
                <c:pt idx="2">
                  <c:v>1.2235669636919803E-2</c:v>
                </c:pt>
                <c:pt idx="3">
                  <c:v>0.51203617502327436</c:v>
                </c:pt>
                <c:pt idx="4">
                  <c:v>0.36534113578933369</c:v>
                </c:pt>
                <c:pt idx="5">
                  <c:v>1.0905705545950259E-2</c:v>
                </c:pt>
                <c:pt idx="6">
                  <c:v>2.7131267455778693E-2</c:v>
                </c:pt>
              </c:numCache>
            </c:numRef>
          </c:val>
        </c:ser>
        <c:dLbls>
          <c:showLegendKey val="0"/>
          <c:showVal val="0"/>
          <c:showCatName val="0"/>
          <c:showSerName val="0"/>
          <c:showPercent val="0"/>
          <c:showBubbleSize val="0"/>
        </c:dLbls>
        <c:gapWidth val="150"/>
        <c:axId val="769625600"/>
        <c:axId val="769665856"/>
      </c:barChart>
      <c:catAx>
        <c:axId val="769625600"/>
        <c:scaling>
          <c:orientation val="minMax"/>
        </c:scaling>
        <c:delete val="0"/>
        <c:axPos val="b"/>
        <c:majorTickMark val="out"/>
        <c:minorTickMark val="none"/>
        <c:tickLblPos val="nextTo"/>
        <c:crossAx val="769665856"/>
        <c:crosses val="autoZero"/>
        <c:auto val="1"/>
        <c:lblAlgn val="ctr"/>
        <c:lblOffset val="100"/>
        <c:noMultiLvlLbl val="0"/>
      </c:catAx>
      <c:valAx>
        <c:axId val="769665856"/>
        <c:scaling>
          <c:orientation val="minMax"/>
        </c:scaling>
        <c:delete val="0"/>
        <c:axPos val="l"/>
        <c:numFmt formatCode="0.0%" sourceLinked="1"/>
        <c:majorTickMark val="out"/>
        <c:minorTickMark val="none"/>
        <c:tickLblPos val="nextTo"/>
        <c:spPr>
          <a:ln>
            <a:noFill/>
          </a:ln>
        </c:spPr>
        <c:crossAx val="769625600"/>
        <c:crosses val="autoZero"/>
        <c:crossBetween val="between"/>
      </c:valAx>
    </c:plotArea>
    <c:legend>
      <c:legendPos val="r"/>
      <c:layout>
        <c:manualLayout>
          <c:xMode val="edge"/>
          <c:yMode val="edge"/>
          <c:x val="0.71650006968155533"/>
          <c:y val="3.2851270896369425E-2"/>
          <c:w val="0.28067125667262605"/>
          <c:h val="0.20124733655564414"/>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502061419051487E-2"/>
          <c:y val="3.6124794745484398E-2"/>
          <c:w val="0.88532142867432462"/>
          <c:h val="0.66761310008662711"/>
        </c:manualLayout>
      </c:layout>
      <c:barChart>
        <c:barDir val="col"/>
        <c:grouping val="clustered"/>
        <c:varyColors val="0"/>
        <c:ser>
          <c:idx val="1"/>
          <c:order val="0"/>
          <c:tx>
            <c:strRef>
              <c:f>'Religion or Belief'!$A$18</c:f>
              <c:strCache>
                <c:ptCount val="1"/>
                <c:pt idx="0">
                  <c:v>2020/21 (BSUH)</c:v>
                </c:pt>
              </c:strCache>
            </c:strRef>
          </c:tx>
          <c:spPr>
            <a:solidFill>
              <a:srgbClr val="41B6E6"/>
            </a:solidFill>
            <a:ln w="28575">
              <a:noFill/>
            </a:ln>
          </c:spPr>
          <c:invertIfNegative val="0"/>
          <c:cat>
            <c:strRef>
              <c:f>'Religion or Belief'!$B$16:$L$16</c:f>
              <c:strCache>
                <c:ptCount val="11"/>
                <c:pt idx="0">
                  <c:v>Atheism</c:v>
                </c:pt>
                <c:pt idx="1">
                  <c:v>Buddhism</c:v>
                </c:pt>
                <c:pt idx="2">
                  <c:v>Christianity</c:v>
                </c:pt>
                <c:pt idx="3">
                  <c:v>Hinduism</c:v>
                </c:pt>
                <c:pt idx="4">
                  <c:v>Islam</c:v>
                </c:pt>
                <c:pt idx="5">
                  <c:v>Jainism</c:v>
                </c:pt>
                <c:pt idx="6">
                  <c:v>Judaism</c:v>
                </c:pt>
                <c:pt idx="7">
                  <c:v>Other</c:v>
                </c:pt>
                <c:pt idx="8">
                  <c:v>Sikhism</c:v>
                </c:pt>
                <c:pt idx="9">
                  <c:v>Declined to Specify</c:v>
                </c:pt>
                <c:pt idx="10">
                  <c:v>Unknown</c:v>
                </c:pt>
              </c:strCache>
            </c:strRef>
          </c:cat>
          <c:val>
            <c:numRef>
              <c:f>'Religion or Belief'!$B$18:$L$18</c:f>
              <c:numCache>
                <c:formatCode>0.0%</c:formatCode>
                <c:ptCount val="11"/>
                <c:pt idx="0">
                  <c:v>0.20804688380480107</c:v>
                </c:pt>
                <c:pt idx="1">
                  <c:v>9.4669221232953904E-3</c:v>
                </c:pt>
                <c:pt idx="2">
                  <c:v>0.37642285585484053</c:v>
                </c:pt>
                <c:pt idx="3">
                  <c:v>1.8483038431195763E-2</c:v>
                </c:pt>
                <c:pt idx="4">
                  <c:v>2.1751380592809646E-2</c:v>
                </c:pt>
                <c:pt idx="5">
                  <c:v>3.3810436154626394E-4</c:v>
                </c:pt>
                <c:pt idx="6">
                  <c:v>2.0286261692775837E-3</c:v>
                </c:pt>
                <c:pt idx="7">
                  <c:v>9.8050264848416543E-2</c:v>
                </c:pt>
                <c:pt idx="8">
                  <c:v>1.2397159923363012E-3</c:v>
                </c:pt>
                <c:pt idx="9">
                  <c:v>0.16893947931928321</c:v>
                </c:pt>
                <c:pt idx="10">
                  <c:v>9.5232728502197675E-2</c:v>
                </c:pt>
              </c:numCache>
            </c:numRef>
          </c:val>
        </c:ser>
        <c:ser>
          <c:idx val="2"/>
          <c:order val="1"/>
          <c:tx>
            <c:strRef>
              <c:f>'Religion or Belief'!$A$20</c:f>
              <c:strCache>
                <c:ptCount val="1"/>
                <c:pt idx="0">
                  <c:v>2020/21 (WSHT)</c:v>
                </c:pt>
              </c:strCache>
            </c:strRef>
          </c:tx>
          <c:spPr>
            <a:solidFill>
              <a:srgbClr val="009639"/>
            </a:solidFill>
            <a:ln w="28575">
              <a:noFill/>
            </a:ln>
          </c:spPr>
          <c:invertIfNegative val="0"/>
          <c:cat>
            <c:strRef>
              <c:f>'Religion or Belief'!$B$16:$L$16</c:f>
              <c:strCache>
                <c:ptCount val="11"/>
                <c:pt idx="0">
                  <c:v>Atheism</c:v>
                </c:pt>
                <c:pt idx="1">
                  <c:v>Buddhism</c:v>
                </c:pt>
                <c:pt idx="2">
                  <c:v>Christianity</c:v>
                </c:pt>
                <c:pt idx="3">
                  <c:v>Hinduism</c:v>
                </c:pt>
                <c:pt idx="4">
                  <c:v>Islam</c:v>
                </c:pt>
                <c:pt idx="5">
                  <c:v>Jainism</c:v>
                </c:pt>
                <c:pt idx="6">
                  <c:v>Judaism</c:v>
                </c:pt>
                <c:pt idx="7">
                  <c:v>Other</c:v>
                </c:pt>
                <c:pt idx="8">
                  <c:v>Sikhism</c:v>
                </c:pt>
                <c:pt idx="9">
                  <c:v>Declined to Specify</c:v>
                </c:pt>
                <c:pt idx="10">
                  <c:v>Unknown</c:v>
                </c:pt>
              </c:strCache>
            </c:strRef>
          </c:cat>
          <c:val>
            <c:numRef>
              <c:f>'Religion or Belief'!$B$20:$L$20</c:f>
              <c:numCache>
                <c:formatCode>0.0%</c:formatCode>
                <c:ptCount val="11"/>
                <c:pt idx="0">
                  <c:v>0.15427583455246707</c:v>
                </c:pt>
                <c:pt idx="1">
                  <c:v>6.7828168639446733E-3</c:v>
                </c:pt>
                <c:pt idx="2">
                  <c:v>0.47798909429445408</c:v>
                </c:pt>
                <c:pt idx="3">
                  <c:v>1.728953318260407E-2</c:v>
                </c:pt>
                <c:pt idx="4">
                  <c:v>1.6225561909828434E-2</c:v>
                </c:pt>
                <c:pt idx="5">
                  <c:v>0</c:v>
                </c:pt>
                <c:pt idx="6">
                  <c:v>1.5959569091634526E-3</c:v>
                </c:pt>
                <c:pt idx="7">
                  <c:v>0.13791727623354169</c:v>
                </c:pt>
                <c:pt idx="8">
                  <c:v>1.8619497273573613E-3</c:v>
                </c:pt>
                <c:pt idx="9">
                  <c:v>0.17967814868998538</c:v>
                </c:pt>
                <c:pt idx="10">
                  <c:v>6.3838276366538103E-3</c:v>
                </c:pt>
              </c:numCache>
            </c:numRef>
          </c:val>
        </c:ser>
        <c:dLbls>
          <c:showLegendKey val="0"/>
          <c:showVal val="0"/>
          <c:showCatName val="0"/>
          <c:showSerName val="0"/>
          <c:showPercent val="0"/>
          <c:showBubbleSize val="0"/>
        </c:dLbls>
        <c:gapWidth val="150"/>
        <c:axId val="769789952"/>
        <c:axId val="769667008"/>
      </c:barChart>
      <c:scatterChart>
        <c:scatterStyle val="lineMarker"/>
        <c:varyColors val="0"/>
        <c:ser>
          <c:idx val="3"/>
          <c:order val="2"/>
          <c:tx>
            <c:strRef>
              <c:f>'Religion or Belief'!$A$21</c:f>
              <c:strCache>
                <c:ptCount val="1"/>
                <c:pt idx="0">
                  <c:v>Census 2011 (SE England)</c:v>
                </c:pt>
              </c:strCache>
            </c:strRef>
          </c:tx>
          <c:spPr>
            <a:ln w="28575">
              <a:noFill/>
            </a:ln>
          </c:spPr>
          <c:marker>
            <c:symbol val="dash"/>
            <c:size val="15"/>
            <c:spPr>
              <a:solidFill>
                <a:srgbClr val="FFB81C"/>
              </a:solidFill>
              <a:ln>
                <a:solidFill>
                  <a:schemeClr val="bg1"/>
                </a:solidFill>
              </a:ln>
            </c:spPr>
          </c:marker>
          <c:xVal>
            <c:strRef>
              <c:f>'Religion or Belief'!$B$16:$L$16</c:f>
              <c:strCache>
                <c:ptCount val="11"/>
                <c:pt idx="0">
                  <c:v>Atheism</c:v>
                </c:pt>
                <c:pt idx="1">
                  <c:v>Buddhism</c:v>
                </c:pt>
                <c:pt idx="2">
                  <c:v>Christianity</c:v>
                </c:pt>
                <c:pt idx="3">
                  <c:v>Hinduism</c:v>
                </c:pt>
                <c:pt idx="4">
                  <c:v>Islam</c:v>
                </c:pt>
                <c:pt idx="5">
                  <c:v>Jainism</c:v>
                </c:pt>
                <c:pt idx="6">
                  <c:v>Judaism</c:v>
                </c:pt>
                <c:pt idx="7">
                  <c:v>Other</c:v>
                </c:pt>
                <c:pt idx="8">
                  <c:v>Sikhism</c:v>
                </c:pt>
                <c:pt idx="9">
                  <c:v>Declined to Specify</c:v>
                </c:pt>
                <c:pt idx="10">
                  <c:v>Unknown</c:v>
                </c:pt>
              </c:strCache>
            </c:strRef>
          </c:xVal>
          <c:yVal>
            <c:numRef>
              <c:f>'Religion or Belief'!$B$21:$L$21</c:f>
              <c:numCache>
                <c:formatCode>0.0%</c:formatCode>
                <c:ptCount val="11"/>
                <c:pt idx="0">
                  <c:v>0.27600000000000002</c:v>
                </c:pt>
                <c:pt idx="1">
                  <c:v>5.0000000000000001E-3</c:v>
                </c:pt>
                <c:pt idx="2">
                  <c:v>0.59699999999999998</c:v>
                </c:pt>
                <c:pt idx="3">
                  <c:v>1.2E-2</c:v>
                </c:pt>
                <c:pt idx="4">
                  <c:v>2.3E-2</c:v>
                </c:pt>
                <c:pt idx="6">
                  <c:v>2E-3</c:v>
                </c:pt>
                <c:pt idx="7">
                  <c:v>5.0000000000000001E-3</c:v>
                </c:pt>
                <c:pt idx="8">
                  <c:v>6.4000000000000003E-3</c:v>
                </c:pt>
                <c:pt idx="10">
                  <c:v>7.3999999999999996E-2</c:v>
                </c:pt>
              </c:numCache>
            </c:numRef>
          </c:yVal>
          <c:smooth val="0"/>
        </c:ser>
        <c:dLbls>
          <c:showLegendKey val="0"/>
          <c:showVal val="0"/>
          <c:showCatName val="0"/>
          <c:showSerName val="0"/>
          <c:showPercent val="0"/>
          <c:showBubbleSize val="0"/>
        </c:dLbls>
        <c:axId val="769789952"/>
        <c:axId val="769667008"/>
      </c:scatterChart>
      <c:catAx>
        <c:axId val="769789952"/>
        <c:scaling>
          <c:orientation val="minMax"/>
        </c:scaling>
        <c:delete val="0"/>
        <c:axPos val="b"/>
        <c:majorTickMark val="out"/>
        <c:minorTickMark val="none"/>
        <c:tickLblPos val="nextTo"/>
        <c:crossAx val="769667008"/>
        <c:crosses val="autoZero"/>
        <c:auto val="1"/>
        <c:lblAlgn val="ctr"/>
        <c:lblOffset val="100"/>
        <c:noMultiLvlLbl val="0"/>
      </c:catAx>
      <c:valAx>
        <c:axId val="769667008"/>
        <c:scaling>
          <c:orientation val="minMax"/>
        </c:scaling>
        <c:delete val="0"/>
        <c:axPos val="l"/>
        <c:numFmt formatCode="0.0%" sourceLinked="1"/>
        <c:majorTickMark val="out"/>
        <c:minorTickMark val="none"/>
        <c:tickLblPos val="nextTo"/>
        <c:crossAx val="769789952"/>
        <c:crosses val="autoZero"/>
        <c:crossBetween val="between"/>
      </c:valAx>
    </c:plotArea>
    <c:legend>
      <c:legendPos val="r"/>
      <c:layout>
        <c:manualLayout>
          <c:xMode val="edge"/>
          <c:yMode val="edge"/>
          <c:x val="0.76723841874321153"/>
          <c:y val="0.28786574092031597"/>
          <c:w val="0.23276158125678856"/>
          <c:h val="0.1681106241030216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57961504811901E-2"/>
          <c:y val="5.1400554097404488E-2"/>
          <c:w val="0.89006736657917773"/>
          <c:h val="0.53420859532265774"/>
        </c:manualLayout>
      </c:layout>
      <c:barChart>
        <c:barDir val="col"/>
        <c:grouping val="clustered"/>
        <c:varyColors val="0"/>
        <c:ser>
          <c:idx val="0"/>
          <c:order val="0"/>
          <c:tx>
            <c:strRef>
              <c:f>RorB!$B$17</c:f>
              <c:strCache>
                <c:ptCount val="1"/>
                <c:pt idx="0">
                  <c:v>BSUH Applications</c:v>
                </c:pt>
              </c:strCache>
            </c:strRef>
          </c:tx>
          <c:invertIfNegative val="0"/>
          <c:cat>
            <c:strRef>
              <c:f>RorB!$A$18:$A$28</c:f>
              <c:strCache>
                <c:ptCount val="11"/>
                <c:pt idx="0">
                  <c:v>Atheism</c:v>
                </c:pt>
                <c:pt idx="1">
                  <c:v>Buddhism</c:v>
                </c:pt>
                <c:pt idx="2">
                  <c:v>Christianity</c:v>
                </c:pt>
                <c:pt idx="3">
                  <c:v>Hinduism</c:v>
                </c:pt>
                <c:pt idx="4">
                  <c:v>Islam</c:v>
                </c:pt>
                <c:pt idx="5">
                  <c:v>Jainism</c:v>
                </c:pt>
                <c:pt idx="6">
                  <c:v>Judaism</c:v>
                </c:pt>
                <c:pt idx="7">
                  <c:v>Other</c:v>
                </c:pt>
                <c:pt idx="8">
                  <c:v>Sikhism</c:v>
                </c:pt>
                <c:pt idx="9">
                  <c:v>I do not wish to disclose my religion/belief</c:v>
                </c:pt>
                <c:pt idx="10">
                  <c:v>Not stated</c:v>
                </c:pt>
              </c:strCache>
            </c:strRef>
          </c:cat>
          <c:val>
            <c:numRef>
              <c:f>RorB!$B$18:$B$28</c:f>
              <c:numCache>
                <c:formatCode>0.0%</c:formatCode>
                <c:ptCount val="11"/>
                <c:pt idx="0">
                  <c:v>0.18760966392225673</c:v>
                </c:pt>
                <c:pt idx="1">
                  <c:v>1.3800782831691186E-2</c:v>
                </c:pt>
                <c:pt idx="2">
                  <c:v>0.41824132811445541</c:v>
                </c:pt>
                <c:pt idx="3">
                  <c:v>4.6261303819678766E-2</c:v>
                </c:pt>
                <c:pt idx="4">
                  <c:v>0.11992171683088136</c:v>
                </c:pt>
                <c:pt idx="5">
                  <c:v>4.0491294371710083E-4</c:v>
                </c:pt>
                <c:pt idx="6">
                  <c:v>1.9908219732757458E-3</c:v>
                </c:pt>
                <c:pt idx="7">
                  <c:v>9.3096234309623424E-2</c:v>
                </c:pt>
                <c:pt idx="8">
                  <c:v>2.0583074638952626E-3</c:v>
                </c:pt>
                <c:pt idx="9">
                  <c:v>9.4378458631394255E-2</c:v>
                </c:pt>
                <c:pt idx="10">
                  <c:v>2.2236469159130787E-2</c:v>
                </c:pt>
              </c:numCache>
            </c:numRef>
          </c:val>
        </c:ser>
        <c:ser>
          <c:idx val="1"/>
          <c:order val="1"/>
          <c:tx>
            <c:strRef>
              <c:f>RorB!$C$17</c:f>
              <c:strCache>
                <c:ptCount val="1"/>
                <c:pt idx="0">
                  <c:v>BSUH Shortlisted</c:v>
                </c:pt>
              </c:strCache>
            </c:strRef>
          </c:tx>
          <c:invertIfNegative val="0"/>
          <c:cat>
            <c:strRef>
              <c:f>RorB!$A$18:$A$28</c:f>
              <c:strCache>
                <c:ptCount val="11"/>
                <c:pt idx="0">
                  <c:v>Atheism</c:v>
                </c:pt>
                <c:pt idx="1">
                  <c:v>Buddhism</c:v>
                </c:pt>
                <c:pt idx="2">
                  <c:v>Christianity</c:v>
                </c:pt>
                <c:pt idx="3">
                  <c:v>Hinduism</c:v>
                </c:pt>
                <c:pt idx="4">
                  <c:v>Islam</c:v>
                </c:pt>
                <c:pt idx="5">
                  <c:v>Jainism</c:v>
                </c:pt>
                <c:pt idx="6">
                  <c:v>Judaism</c:v>
                </c:pt>
                <c:pt idx="7">
                  <c:v>Other</c:v>
                </c:pt>
                <c:pt idx="8">
                  <c:v>Sikhism</c:v>
                </c:pt>
                <c:pt idx="9">
                  <c:v>I do not wish to disclose my religion/belief</c:v>
                </c:pt>
                <c:pt idx="10">
                  <c:v>Not stated</c:v>
                </c:pt>
              </c:strCache>
            </c:strRef>
          </c:cat>
          <c:val>
            <c:numRef>
              <c:f>RorB!$C$18:$C$28</c:f>
              <c:numCache>
                <c:formatCode>0.0%</c:formatCode>
                <c:ptCount val="11"/>
                <c:pt idx="0">
                  <c:v>0.22978915323035293</c:v>
                </c:pt>
                <c:pt idx="1">
                  <c:v>1.522155823655429E-2</c:v>
                </c:pt>
                <c:pt idx="2">
                  <c:v>0.37546510316833914</c:v>
                </c:pt>
                <c:pt idx="3">
                  <c:v>2.424174089525313E-2</c:v>
                </c:pt>
                <c:pt idx="4">
                  <c:v>5.1302288871349647E-2</c:v>
                </c:pt>
                <c:pt idx="5">
                  <c:v>1.1275228323373548E-4</c:v>
                </c:pt>
                <c:pt idx="6">
                  <c:v>2.2550456646747096E-3</c:v>
                </c:pt>
                <c:pt idx="7">
                  <c:v>0.11748787912955237</c:v>
                </c:pt>
                <c:pt idx="8">
                  <c:v>1.0147705491036193E-3</c:v>
                </c:pt>
                <c:pt idx="9">
                  <c:v>0.10959521930319088</c:v>
                </c:pt>
                <c:pt idx="10">
                  <c:v>7.3514488668395536E-2</c:v>
                </c:pt>
              </c:numCache>
            </c:numRef>
          </c:val>
        </c:ser>
        <c:ser>
          <c:idx val="2"/>
          <c:order val="2"/>
          <c:tx>
            <c:strRef>
              <c:f>RorB!$D$17</c:f>
              <c:strCache>
                <c:ptCount val="1"/>
                <c:pt idx="0">
                  <c:v>BSUH Appointed</c:v>
                </c:pt>
              </c:strCache>
            </c:strRef>
          </c:tx>
          <c:invertIfNegative val="0"/>
          <c:cat>
            <c:strRef>
              <c:f>RorB!$A$18:$A$28</c:f>
              <c:strCache>
                <c:ptCount val="11"/>
                <c:pt idx="0">
                  <c:v>Atheism</c:v>
                </c:pt>
                <c:pt idx="1">
                  <c:v>Buddhism</c:v>
                </c:pt>
                <c:pt idx="2">
                  <c:v>Christianity</c:v>
                </c:pt>
                <c:pt idx="3">
                  <c:v>Hinduism</c:v>
                </c:pt>
                <c:pt idx="4">
                  <c:v>Islam</c:v>
                </c:pt>
                <c:pt idx="5">
                  <c:v>Jainism</c:v>
                </c:pt>
                <c:pt idx="6">
                  <c:v>Judaism</c:v>
                </c:pt>
                <c:pt idx="7">
                  <c:v>Other</c:v>
                </c:pt>
                <c:pt idx="8">
                  <c:v>Sikhism</c:v>
                </c:pt>
                <c:pt idx="9">
                  <c:v>I do not wish to disclose my religion/belief</c:v>
                </c:pt>
                <c:pt idx="10">
                  <c:v>Not stated</c:v>
                </c:pt>
              </c:strCache>
            </c:strRef>
          </c:cat>
          <c:val>
            <c:numRef>
              <c:f>RorB!$D$18:$D$28</c:f>
              <c:numCache>
                <c:formatCode>0.0%</c:formatCode>
                <c:ptCount val="11"/>
                <c:pt idx="0">
                  <c:v>0.24305555555555555</c:v>
                </c:pt>
                <c:pt idx="1">
                  <c:v>1.3257575757575758E-2</c:v>
                </c:pt>
                <c:pt idx="2">
                  <c:v>0.30176767676767674</c:v>
                </c:pt>
                <c:pt idx="3">
                  <c:v>1.5782828282828284E-2</c:v>
                </c:pt>
                <c:pt idx="4">
                  <c:v>2.3989898989898988E-2</c:v>
                </c:pt>
                <c:pt idx="5">
                  <c:v>0</c:v>
                </c:pt>
                <c:pt idx="6">
                  <c:v>2.5252525252525255E-3</c:v>
                </c:pt>
                <c:pt idx="7">
                  <c:v>9.5328282828282832E-2</c:v>
                </c:pt>
                <c:pt idx="8">
                  <c:v>0</c:v>
                </c:pt>
                <c:pt idx="9">
                  <c:v>7.5126262626262624E-2</c:v>
                </c:pt>
                <c:pt idx="10">
                  <c:v>0.22916666666666666</c:v>
                </c:pt>
              </c:numCache>
            </c:numRef>
          </c:val>
        </c:ser>
        <c:dLbls>
          <c:showLegendKey val="0"/>
          <c:showVal val="0"/>
          <c:showCatName val="0"/>
          <c:showSerName val="0"/>
          <c:showPercent val="0"/>
          <c:showBubbleSize val="0"/>
        </c:dLbls>
        <c:gapWidth val="150"/>
        <c:axId val="769790464"/>
        <c:axId val="769668736"/>
      </c:barChart>
      <c:scatterChart>
        <c:scatterStyle val="lineMarker"/>
        <c:varyColors val="0"/>
        <c:ser>
          <c:idx val="3"/>
          <c:order val="3"/>
          <c:tx>
            <c:strRef>
              <c:f>RorB!$E$17</c:f>
              <c:strCache>
                <c:ptCount val="1"/>
                <c:pt idx="0">
                  <c:v>BSUH Workforce</c:v>
                </c:pt>
              </c:strCache>
            </c:strRef>
          </c:tx>
          <c:spPr>
            <a:ln w="28575">
              <a:noFill/>
            </a:ln>
          </c:spPr>
          <c:marker>
            <c:symbol val="circle"/>
            <c:size val="5"/>
            <c:spPr>
              <a:solidFill>
                <a:schemeClr val="accent4"/>
              </a:solidFill>
              <a:ln w="15875">
                <a:solidFill>
                  <a:schemeClr val="bg1"/>
                </a:solidFill>
              </a:ln>
            </c:spPr>
          </c:marker>
          <c:xVal>
            <c:strRef>
              <c:f>RorB!$A$18:$A$28</c:f>
              <c:strCache>
                <c:ptCount val="11"/>
                <c:pt idx="0">
                  <c:v>Atheism</c:v>
                </c:pt>
                <c:pt idx="1">
                  <c:v>Buddhism</c:v>
                </c:pt>
                <c:pt idx="2">
                  <c:v>Christianity</c:v>
                </c:pt>
                <c:pt idx="3">
                  <c:v>Hinduism</c:v>
                </c:pt>
                <c:pt idx="4">
                  <c:v>Islam</c:v>
                </c:pt>
                <c:pt idx="5">
                  <c:v>Jainism</c:v>
                </c:pt>
                <c:pt idx="6">
                  <c:v>Judaism</c:v>
                </c:pt>
                <c:pt idx="7">
                  <c:v>Other</c:v>
                </c:pt>
                <c:pt idx="8">
                  <c:v>Sikhism</c:v>
                </c:pt>
                <c:pt idx="9">
                  <c:v>I do not wish to disclose my religion/belief</c:v>
                </c:pt>
                <c:pt idx="10">
                  <c:v>Not stated</c:v>
                </c:pt>
              </c:strCache>
            </c:strRef>
          </c:xVal>
          <c:yVal>
            <c:numRef>
              <c:f>RorB!$E$18:$E$28</c:f>
              <c:numCache>
                <c:formatCode>0.0%</c:formatCode>
                <c:ptCount val="11"/>
                <c:pt idx="0">
                  <c:v>0.20804688380480107</c:v>
                </c:pt>
                <c:pt idx="1">
                  <c:v>9.4669221232953904E-3</c:v>
                </c:pt>
                <c:pt idx="2">
                  <c:v>0.37642285585484053</c:v>
                </c:pt>
                <c:pt idx="3">
                  <c:v>1.8483038431195763E-2</c:v>
                </c:pt>
                <c:pt idx="4">
                  <c:v>2.1751380592809646E-2</c:v>
                </c:pt>
                <c:pt idx="5">
                  <c:v>3.3810436154626394E-4</c:v>
                </c:pt>
                <c:pt idx="6">
                  <c:v>2.0286261692775837E-3</c:v>
                </c:pt>
                <c:pt idx="7">
                  <c:v>9.8050264848416543E-2</c:v>
                </c:pt>
                <c:pt idx="8">
                  <c:v>1.2397159923363012E-3</c:v>
                </c:pt>
                <c:pt idx="9">
                  <c:v>0.16893947931928321</c:v>
                </c:pt>
                <c:pt idx="10">
                  <c:v>9.5232728502197675E-2</c:v>
                </c:pt>
              </c:numCache>
            </c:numRef>
          </c:yVal>
          <c:smooth val="0"/>
        </c:ser>
        <c:dLbls>
          <c:showLegendKey val="0"/>
          <c:showVal val="0"/>
          <c:showCatName val="0"/>
          <c:showSerName val="0"/>
          <c:showPercent val="0"/>
          <c:showBubbleSize val="0"/>
        </c:dLbls>
        <c:axId val="769790464"/>
        <c:axId val="769668736"/>
      </c:scatterChart>
      <c:catAx>
        <c:axId val="769790464"/>
        <c:scaling>
          <c:orientation val="minMax"/>
        </c:scaling>
        <c:delete val="0"/>
        <c:axPos val="b"/>
        <c:majorTickMark val="out"/>
        <c:minorTickMark val="none"/>
        <c:tickLblPos val="nextTo"/>
        <c:crossAx val="769668736"/>
        <c:crosses val="autoZero"/>
        <c:auto val="1"/>
        <c:lblAlgn val="ctr"/>
        <c:lblOffset val="100"/>
        <c:noMultiLvlLbl val="0"/>
      </c:catAx>
      <c:valAx>
        <c:axId val="769668736"/>
        <c:scaling>
          <c:orientation val="minMax"/>
        </c:scaling>
        <c:delete val="0"/>
        <c:axPos val="l"/>
        <c:numFmt formatCode="0.0%" sourceLinked="1"/>
        <c:majorTickMark val="out"/>
        <c:minorTickMark val="none"/>
        <c:tickLblPos val="nextTo"/>
        <c:spPr>
          <a:ln>
            <a:noFill/>
          </a:ln>
        </c:spPr>
        <c:crossAx val="769790464"/>
        <c:crosses val="autoZero"/>
        <c:crossBetween val="between"/>
      </c:valAx>
    </c:plotArea>
    <c:legend>
      <c:legendPos val="r"/>
      <c:layout>
        <c:manualLayout>
          <c:xMode val="edge"/>
          <c:yMode val="edge"/>
          <c:x val="0.72245866141732296"/>
          <c:y val="4.0898950131233604E-2"/>
          <c:w val="0.21844302545623778"/>
          <c:h val="0.3159857101195683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91466621290699"/>
          <c:y val="4.4632413372570845E-2"/>
          <c:w val="0.89006736657917773"/>
          <c:h val="0.4637344726052629"/>
        </c:manualLayout>
      </c:layout>
      <c:barChart>
        <c:barDir val="col"/>
        <c:grouping val="clustered"/>
        <c:varyColors val="0"/>
        <c:ser>
          <c:idx val="0"/>
          <c:order val="0"/>
          <c:tx>
            <c:strRef>
              <c:f>RorB!$B$50</c:f>
              <c:strCache>
                <c:ptCount val="1"/>
                <c:pt idx="0">
                  <c:v>WSHT Applications</c:v>
                </c:pt>
              </c:strCache>
            </c:strRef>
          </c:tx>
          <c:invertIfNegative val="0"/>
          <c:cat>
            <c:strRef>
              <c:f>RorB!$A$51:$A$61</c:f>
              <c:strCache>
                <c:ptCount val="11"/>
                <c:pt idx="0">
                  <c:v>Atheism</c:v>
                </c:pt>
                <c:pt idx="1">
                  <c:v>Buddhism</c:v>
                </c:pt>
                <c:pt idx="2">
                  <c:v>Christianity</c:v>
                </c:pt>
                <c:pt idx="3">
                  <c:v>Hinduism</c:v>
                </c:pt>
                <c:pt idx="4">
                  <c:v>Islam</c:v>
                </c:pt>
                <c:pt idx="5">
                  <c:v>Jainism</c:v>
                </c:pt>
                <c:pt idx="6">
                  <c:v>Judaism</c:v>
                </c:pt>
                <c:pt idx="7">
                  <c:v>Sikhism</c:v>
                </c:pt>
                <c:pt idx="8">
                  <c:v>Other</c:v>
                </c:pt>
                <c:pt idx="9">
                  <c:v>I do not wish to disclose my religion/belief</c:v>
                </c:pt>
                <c:pt idx="10">
                  <c:v>Not stated</c:v>
                </c:pt>
              </c:strCache>
            </c:strRef>
          </c:cat>
          <c:val>
            <c:numRef>
              <c:f>RorB!$B$51:$B$61</c:f>
              <c:numCache>
                <c:formatCode>0.0%</c:formatCode>
                <c:ptCount val="11"/>
                <c:pt idx="0">
                  <c:v>0.14267713482601532</c:v>
                </c:pt>
                <c:pt idx="1">
                  <c:v>1.1049723756906077E-2</c:v>
                </c:pt>
                <c:pt idx="2">
                  <c:v>0.49573519433943974</c:v>
                </c:pt>
                <c:pt idx="3">
                  <c:v>4.5022777939323445E-2</c:v>
                </c:pt>
                <c:pt idx="4">
                  <c:v>0.12930115343607637</c:v>
                </c:pt>
                <c:pt idx="5">
                  <c:v>5.8156440825821458E-4</c:v>
                </c:pt>
                <c:pt idx="6">
                  <c:v>1.1631288165164292E-3</c:v>
                </c:pt>
                <c:pt idx="7">
                  <c:v>2.907822041291073E-3</c:v>
                </c:pt>
                <c:pt idx="8">
                  <c:v>7.9044295822429E-2</c:v>
                </c:pt>
                <c:pt idx="9">
                  <c:v>8.8397790055248615E-2</c:v>
                </c:pt>
                <c:pt idx="10">
                  <c:v>4.1194145584956864E-3</c:v>
                </c:pt>
              </c:numCache>
            </c:numRef>
          </c:val>
        </c:ser>
        <c:ser>
          <c:idx val="1"/>
          <c:order val="1"/>
          <c:tx>
            <c:strRef>
              <c:f>RorB!$C$50</c:f>
              <c:strCache>
                <c:ptCount val="1"/>
                <c:pt idx="0">
                  <c:v>WSHT Shortlisted</c:v>
                </c:pt>
              </c:strCache>
            </c:strRef>
          </c:tx>
          <c:invertIfNegative val="0"/>
          <c:cat>
            <c:strRef>
              <c:f>RorB!$A$51:$A$61</c:f>
              <c:strCache>
                <c:ptCount val="11"/>
                <c:pt idx="0">
                  <c:v>Atheism</c:v>
                </c:pt>
                <c:pt idx="1">
                  <c:v>Buddhism</c:v>
                </c:pt>
                <c:pt idx="2">
                  <c:v>Christianity</c:v>
                </c:pt>
                <c:pt idx="3">
                  <c:v>Hinduism</c:v>
                </c:pt>
                <c:pt idx="4">
                  <c:v>Islam</c:v>
                </c:pt>
                <c:pt idx="5">
                  <c:v>Jainism</c:v>
                </c:pt>
                <c:pt idx="6">
                  <c:v>Judaism</c:v>
                </c:pt>
                <c:pt idx="7">
                  <c:v>Sikhism</c:v>
                </c:pt>
                <c:pt idx="8">
                  <c:v>Other</c:v>
                </c:pt>
                <c:pt idx="9">
                  <c:v>I do not wish to disclose my religion/belief</c:v>
                </c:pt>
                <c:pt idx="10">
                  <c:v>Not stated</c:v>
                </c:pt>
              </c:strCache>
            </c:strRef>
          </c:cat>
          <c:val>
            <c:numRef>
              <c:f>RorB!$C$51:$C$61</c:f>
              <c:numCache>
                <c:formatCode>0.0%</c:formatCode>
                <c:ptCount val="11"/>
                <c:pt idx="0">
                  <c:v>0.22065313327449249</c:v>
                </c:pt>
                <c:pt idx="1">
                  <c:v>9.3556928508384818E-3</c:v>
                </c:pt>
                <c:pt idx="2">
                  <c:v>0.46090026478375995</c:v>
                </c:pt>
                <c:pt idx="3">
                  <c:v>2.436010591350397E-2</c:v>
                </c:pt>
                <c:pt idx="4">
                  <c:v>4.1306266548984998E-2</c:v>
                </c:pt>
                <c:pt idx="5">
                  <c:v>3.5304501323918798E-4</c:v>
                </c:pt>
                <c:pt idx="6">
                  <c:v>1.2356575463371581E-3</c:v>
                </c:pt>
                <c:pt idx="7">
                  <c:v>3.7069726390114742E-3</c:v>
                </c:pt>
                <c:pt idx="8">
                  <c:v>0.10556045895851721</c:v>
                </c:pt>
                <c:pt idx="9">
                  <c:v>0.11756398940864961</c:v>
                </c:pt>
                <c:pt idx="10">
                  <c:v>1.500441306266549E-2</c:v>
                </c:pt>
              </c:numCache>
            </c:numRef>
          </c:val>
        </c:ser>
        <c:ser>
          <c:idx val="2"/>
          <c:order val="2"/>
          <c:tx>
            <c:strRef>
              <c:f>RorB!$D$50</c:f>
              <c:strCache>
                <c:ptCount val="1"/>
                <c:pt idx="0">
                  <c:v>WSHT Appointed</c:v>
                </c:pt>
              </c:strCache>
            </c:strRef>
          </c:tx>
          <c:invertIfNegative val="0"/>
          <c:cat>
            <c:strRef>
              <c:f>RorB!$A$51:$A$61</c:f>
              <c:strCache>
                <c:ptCount val="11"/>
                <c:pt idx="0">
                  <c:v>Atheism</c:v>
                </c:pt>
                <c:pt idx="1">
                  <c:v>Buddhism</c:v>
                </c:pt>
                <c:pt idx="2">
                  <c:v>Christianity</c:v>
                </c:pt>
                <c:pt idx="3">
                  <c:v>Hinduism</c:v>
                </c:pt>
                <c:pt idx="4">
                  <c:v>Islam</c:v>
                </c:pt>
                <c:pt idx="5">
                  <c:v>Jainism</c:v>
                </c:pt>
                <c:pt idx="6">
                  <c:v>Judaism</c:v>
                </c:pt>
                <c:pt idx="7">
                  <c:v>Sikhism</c:v>
                </c:pt>
                <c:pt idx="8">
                  <c:v>Other</c:v>
                </c:pt>
                <c:pt idx="9">
                  <c:v>I do not wish to disclose my religion/belief</c:v>
                </c:pt>
                <c:pt idx="10">
                  <c:v>Not stated</c:v>
                </c:pt>
              </c:strCache>
            </c:strRef>
          </c:cat>
          <c:val>
            <c:numRef>
              <c:f>RorB!$D$51:$D$61</c:f>
              <c:numCache>
                <c:formatCode>0.0%</c:formatCode>
                <c:ptCount val="11"/>
                <c:pt idx="0">
                  <c:v>0.27906976744186046</c:v>
                </c:pt>
                <c:pt idx="1">
                  <c:v>7.1556350626118068E-3</c:v>
                </c:pt>
                <c:pt idx="2">
                  <c:v>0.42933810375670839</c:v>
                </c:pt>
                <c:pt idx="3">
                  <c:v>2.1466905187835419E-2</c:v>
                </c:pt>
                <c:pt idx="4">
                  <c:v>1.2522361359570662E-2</c:v>
                </c:pt>
                <c:pt idx="5">
                  <c:v>0</c:v>
                </c:pt>
                <c:pt idx="6">
                  <c:v>1.7889087656529517E-3</c:v>
                </c:pt>
                <c:pt idx="7">
                  <c:v>3.5778175313059034E-3</c:v>
                </c:pt>
                <c:pt idx="8">
                  <c:v>0.10196779964221825</c:v>
                </c:pt>
                <c:pt idx="9">
                  <c:v>0.1037567084078712</c:v>
                </c:pt>
                <c:pt idx="10">
                  <c:v>3.9355992844364938E-2</c:v>
                </c:pt>
              </c:numCache>
            </c:numRef>
          </c:val>
        </c:ser>
        <c:dLbls>
          <c:showLegendKey val="0"/>
          <c:showVal val="0"/>
          <c:showCatName val="0"/>
          <c:showSerName val="0"/>
          <c:showPercent val="0"/>
          <c:showBubbleSize val="0"/>
        </c:dLbls>
        <c:gapWidth val="150"/>
        <c:axId val="769625088"/>
        <c:axId val="769670464"/>
      </c:barChart>
      <c:scatterChart>
        <c:scatterStyle val="lineMarker"/>
        <c:varyColors val="0"/>
        <c:ser>
          <c:idx val="3"/>
          <c:order val="3"/>
          <c:tx>
            <c:strRef>
              <c:f>RorB!$E$50</c:f>
              <c:strCache>
                <c:ptCount val="1"/>
                <c:pt idx="0">
                  <c:v>WSHT Workforce</c:v>
                </c:pt>
              </c:strCache>
            </c:strRef>
          </c:tx>
          <c:spPr>
            <a:ln w="28575">
              <a:noFill/>
            </a:ln>
          </c:spPr>
          <c:marker>
            <c:symbol val="circle"/>
            <c:size val="5"/>
            <c:spPr>
              <a:solidFill>
                <a:schemeClr val="accent4"/>
              </a:solidFill>
              <a:ln w="15875">
                <a:solidFill>
                  <a:schemeClr val="bg1"/>
                </a:solidFill>
              </a:ln>
            </c:spPr>
          </c:marker>
          <c:xVal>
            <c:strRef>
              <c:f>RorB!$A$51:$A$61</c:f>
              <c:strCache>
                <c:ptCount val="11"/>
                <c:pt idx="0">
                  <c:v>Atheism</c:v>
                </c:pt>
                <c:pt idx="1">
                  <c:v>Buddhism</c:v>
                </c:pt>
                <c:pt idx="2">
                  <c:v>Christianity</c:v>
                </c:pt>
                <c:pt idx="3">
                  <c:v>Hinduism</c:v>
                </c:pt>
                <c:pt idx="4">
                  <c:v>Islam</c:v>
                </c:pt>
                <c:pt idx="5">
                  <c:v>Jainism</c:v>
                </c:pt>
                <c:pt idx="6">
                  <c:v>Judaism</c:v>
                </c:pt>
                <c:pt idx="7">
                  <c:v>Sikhism</c:v>
                </c:pt>
                <c:pt idx="8">
                  <c:v>Other</c:v>
                </c:pt>
                <c:pt idx="9">
                  <c:v>I do not wish to disclose my religion/belief</c:v>
                </c:pt>
                <c:pt idx="10">
                  <c:v>Not stated</c:v>
                </c:pt>
              </c:strCache>
            </c:strRef>
          </c:xVal>
          <c:yVal>
            <c:numRef>
              <c:f>RorB!$E$51:$E$61</c:f>
              <c:numCache>
                <c:formatCode>0.0%</c:formatCode>
                <c:ptCount val="11"/>
                <c:pt idx="0">
                  <c:v>0.15427583455246707</c:v>
                </c:pt>
                <c:pt idx="1">
                  <c:v>6.7828168639446733E-3</c:v>
                </c:pt>
                <c:pt idx="2">
                  <c:v>0.47798909429445408</c:v>
                </c:pt>
                <c:pt idx="3">
                  <c:v>1.728953318260407E-2</c:v>
                </c:pt>
                <c:pt idx="4">
                  <c:v>1.6225561909828434E-2</c:v>
                </c:pt>
                <c:pt idx="5">
                  <c:v>0</c:v>
                </c:pt>
                <c:pt idx="6">
                  <c:v>1.5959569091634526E-3</c:v>
                </c:pt>
                <c:pt idx="7">
                  <c:v>1.8619497273573613E-3</c:v>
                </c:pt>
                <c:pt idx="8">
                  <c:v>0.13791727623354169</c:v>
                </c:pt>
                <c:pt idx="9">
                  <c:v>0.17967814868998538</c:v>
                </c:pt>
                <c:pt idx="10">
                  <c:v>6.3838276366538103E-3</c:v>
                </c:pt>
              </c:numCache>
            </c:numRef>
          </c:yVal>
          <c:smooth val="0"/>
        </c:ser>
        <c:dLbls>
          <c:showLegendKey val="0"/>
          <c:showVal val="0"/>
          <c:showCatName val="0"/>
          <c:showSerName val="0"/>
          <c:showPercent val="0"/>
          <c:showBubbleSize val="0"/>
        </c:dLbls>
        <c:axId val="769625088"/>
        <c:axId val="769670464"/>
      </c:scatterChart>
      <c:catAx>
        <c:axId val="769625088"/>
        <c:scaling>
          <c:orientation val="minMax"/>
        </c:scaling>
        <c:delete val="0"/>
        <c:axPos val="b"/>
        <c:majorTickMark val="out"/>
        <c:minorTickMark val="none"/>
        <c:tickLblPos val="nextTo"/>
        <c:crossAx val="769670464"/>
        <c:crosses val="autoZero"/>
        <c:auto val="1"/>
        <c:lblAlgn val="ctr"/>
        <c:lblOffset val="100"/>
        <c:noMultiLvlLbl val="0"/>
      </c:catAx>
      <c:valAx>
        <c:axId val="769670464"/>
        <c:scaling>
          <c:orientation val="minMax"/>
        </c:scaling>
        <c:delete val="0"/>
        <c:axPos val="l"/>
        <c:numFmt formatCode="0.0%" sourceLinked="1"/>
        <c:majorTickMark val="out"/>
        <c:minorTickMark val="none"/>
        <c:tickLblPos val="nextTo"/>
        <c:spPr>
          <a:ln>
            <a:noFill/>
          </a:ln>
        </c:spPr>
        <c:crossAx val="769625088"/>
        <c:crosses val="autoZero"/>
        <c:crossBetween val="between"/>
      </c:valAx>
    </c:plotArea>
    <c:legend>
      <c:legendPos val="r"/>
      <c:layout>
        <c:manualLayout>
          <c:xMode val="edge"/>
          <c:yMode val="edge"/>
          <c:x val="0.72245866141732296"/>
          <c:y val="4.0898950131233604E-2"/>
          <c:w val="0.21844302545623778"/>
          <c:h val="0.3159857101195683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'B RorB'!$A$2</c:f>
              <c:strCache>
                <c:ptCount val="1"/>
                <c:pt idx="0">
                  <c:v>Atheism</c:v>
                </c:pt>
              </c:strCache>
            </c:strRef>
          </c:tx>
          <c:invertIfNegative val="0"/>
          <c:cat>
            <c:strRef>
              <c:f>'B RorB'!$B$1</c:f>
              <c:strCache>
                <c:ptCount val="1"/>
                <c:pt idx="0">
                  <c:v>Number of staff attending training</c:v>
                </c:pt>
              </c:strCache>
            </c:strRef>
          </c:cat>
          <c:val>
            <c:numRef>
              <c:f>'B RorB'!$B$2</c:f>
              <c:numCache>
                <c:formatCode>General</c:formatCode>
                <c:ptCount val="1"/>
                <c:pt idx="0">
                  <c:v>94</c:v>
                </c:pt>
              </c:numCache>
            </c:numRef>
          </c:val>
        </c:ser>
        <c:ser>
          <c:idx val="1"/>
          <c:order val="1"/>
          <c:tx>
            <c:strRef>
              <c:f>'B RorB'!$A$3</c:f>
              <c:strCache>
                <c:ptCount val="1"/>
                <c:pt idx="0">
                  <c:v>Buddhism</c:v>
                </c:pt>
              </c:strCache>
            </c:strRef>
          </c:tx>
          <c:invertIfNegative val="0"/>
          <c:cat>
            <c:strRef>
              <c:f>'B RorB'!$B$1</c:f>
              <c:strCache>
                <c:ptCount val="1"/>
                <c:pt idx="0">
                  <c:v>Number of staff attending training</c:v>
                </c:pt>
              </c:strCache>
            </c:strRef>
          </c:cat>
          <c:val>
            <c:numRef>
              <c:f>'B RorB'!$B$3</c:f>
              <c:numCache>
                <c:formatCode>General</c:formatCode>
                <c:ptCount val="1"/>
                <c:pt idx="0">
                  <c:v>2</c:v>
                </c:pt>
              </c:numCache>
            </c:numRef>
          </c:val>
        </c:ser>
        <c:ser>
          <c:idx val="2"/>
          <c:order val="2"/>
          <c:tx>
            <c:strRef>
              <c:f>'B RorB'!$A$4</c:f>
              <c:strCache>
                <c:ptCount val="1"/>
                <c:pt idx="0">
                  <c:v>Christian</c:v>
                </c:pt>
              </c:strCache>
            </c:strRef>
          </c:tx>
          <c:invertIfNegative val="0"/>
          <c:cat>
            <c:strRef>
              <c:f>'B RorB'!$B$1</c:f>
              <c:strCache>
                <c:ptCount val="1"/>
                <c:pt idx="0">
                  <c:v>Number of staff attending training</c:v>
                </c:pt>
              </c:strCache>
            </c:strRef>
          </c:cat>
          <c:val>
            <c:numRef>
              <c:f>'B RorB'!$B$4</c:f>
              <c:numCache>
                <c:formatCode>General</c:formatCode>
                <c:ptCount val="1"/>
                <c:pt idx="0">
                  <c:v>166</c:v>
                </c:pt>
              </c:numCache>
            </c:numRef>
          </c:val>
        </c:ser>
        <c:ser>
          <c:idx val="3"/>
          <c:order val="3"/>
          <c:tx>
            <c:strRef>
              <c:f>'B RorB'!$A$5</c:f>
              <c:strCache>
                <c:ptCount val="1"/>
                <c:pt idx="0">
                  <c:v>Hinduism</c:v>
                </c:pt>
              </c:strCache>
            </c:strRef>
          </c:tx>
          <c:invertIfNegative val="0"/>
          <c:cat>
            <c:strRef>
              <c:f>'B RorB'!$B$1</c:f>
              <c:strCache>
                <c:ptCount val="1"/>
                <c:pt idx="0">
                  <c:v>Number of staff attending training</c:v>
                </c:pt>
              </c:strCache>
            </c:strRef>
          </c:cat>
          <c:val>
            <c:numRef>
              <c:f>'B RorB'!$B$5</c:f>
              <c:numCache>
                <c:formatCode>General</c:formatCode>
                <c:ptCount val="1"/>
                <c:pt idx="0">
                  <c:v>5</c:v>
                </c:pt>
              </c:numCache>
            </c:numRef>
          </c:val>
        </c:ser>
        <c:ser>
          <c:idx val="4"/>
          <c:order val="4"/>
          <c:tx>
            <c:strRef>
              <c:f>'B RorB'!$A$6</c:f>
              <c:strCache>
                <c:ptCount val="1"/>
                <c:pt idx="0">
                  <c:v>Islam</c:v>
                </c:pt>
              </c:strCache>
            </c:strRef>
          </c:tx>
          <c:invertIfNegative val="0"/>
          <c:cat>
            <c:strRef>
              <c:f>'B RorB'!$B$1</c:f>
              <c:strCache>
                <c:ptCount val="1"/>
                <c:pt idx="0">
                  <c:v>Number of staff attending training</c:v>
                </c:pt>
              </c:strCache>
            </c:strRef>
          </c:cat>
          <c:val>
            <c:numRef>
              <c:f>'B RorB'!$B$6</c:f>
              <c:numCache>
                <c:formatCode>General</c:formatCode>
                <c:ptCount val="1"/>
                <c:pt idx="0">
                  <c:v>2</c:v>
                </c:pt>
              </c:numCache>
            </c:numRef>
          </c:val>
        </c:ser>
        <c:ser>
          <c:idx val="5"/>
          <c:order val="5"/>
          <c:tx>
            <c:strRef>
              <c:f>'B RorB'!$A$9</c:f>
              <c:strCache>
                <c:ptCount val="1"/>
                <c:pt idx="0">
                  <c:v>Other</c:v>
                </c:pt>
              </c:strCache>
            </c:strRef>
          </c:tx>
          <c:invertIfNegative val="0"/>
          <c:cat>
            <c:strRef>
              <c:f>'B RorB'!$B$1</c:f>
              <c:strCache>
                <c:ptCount val="1"/>
                <c:pt idx="0">
                  <c:v>Number of staff attending training</c:v>
                </c:pt>
              </c:strCache>
            </c:strRef>
          </c:cat>
          <c:val>
            <c:numRef>
              <c:f>'B RorB'!$B$9</c:f>
              <c:numCache>
                <c:formatCode>General</c:formatCode>
                <c:ptCount val="1"/>
                <c:pt idx="0">
                  <c:v>29</c:v>
                </c:pt>
              </c:numCache>
            </c:numRef>
          </c:val>
        </c:ser>
        <c:ser>
          <c:idx val="6"/>
          <c:order val="6"/>
          <c:tx>
            <c:strRef>
              <c:f>'B RorB'!$A$11</c:f>
              <c:strCache>
                <c:ptCount val="1"/>
                <c:pt idx="0">
                  <c:v>Prefer not to say</c:v>
                </c:pt>
              </c:strCache>
            </c:strRef>
          </c:tx>
          <c:invertIfNegative val="0"/>
          <c:cat>
            <c:strRef>
              <c:f>'B RorB'!$B$1</c:f>
              <c:strCache>
                <c:ptCount val="1"/>
                <c:pt idx="0">
                  <c:v>Number of staff attending training</c:v>
                </c:pt>
              </c:strCache>
            </c:strRef>
          </c:cat>
          <c:val>
            <c:numRef>
              <c:f>'B RorB'!$B$11</c:f>
              <c:numCache>
                <c:formatCode>General</c:formatCode>
                <c:ptCount val="1"/>
                <c:pt idx="0">
                  <c:v>36</c:v>
                </c:pt>
              </c:numCache>
            </c:numRef>
          </c:val>
        </c:ser>
        <c:dLbls>
          <c:showLegendKey val="0"/>
          <c:showVal val="0"/>
          <c:showCatName val="0"/>
          <c:showSerName val="0"/>
          <c:showPercent val="0"/>
          <c:showBubbleSize val="0"/>
        </c:dLbls>
        <c:gapWidth val="100"/>
        <c:overlap val="100"/>
        <c:axId val="769793536"/>
        <c:axId val="793011328"/>
      </c:barChart>
      <c:valAx>
        <c:axId val="793011328"/>
        <c:scaling>
          <c:orientation val="minMax"/>
        </c:scaling>
        <c:delete val="0"/>
        <c:axPos val="b"/>
        <c:numFmt formatCode="0%" sourceLinked="1"/>
        <c:majorTickMark val="out"/>
        <c:minorTickMark val="none"/>
        <c:tickLblPos val="nextTo"/>
        <c:spPr>
          <a:ln>
            <a:noFill/>
          </a:ln>
        </c:spPr>
        <c:crossAx val="769793536"/>
        <c:crosses val="autoZero"/>
        <c:crossBetween val="between"/>
      </c:valAx>
      <c:catAx>
        <c:axId val="769793536"/>
        <c:scaling>
          <c:orientation val="minMax"/>
        </c:scaling>
        <c:delete val="1"/>
        <c:axPos val="l"/>
        <c:majorTickMark val="out"/>
        <c:minorTickMark val="none"/>
        <c:tickLblPos val="nextTo"/>
        <c:crossAx val="793011328"/>
        <c:crosses val="autoZero"/>
        <c:auto val="1"/>
        <c:lblAlgn val="ctr"/>
        <c:lblOffset val="100"/>
        <c:noMultiLvlLbl val="0"/>
      </c:catAx>
    </c:plotArea>
    <c:legend>
      <c:legendPos val="r"/>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'B Age'!$C$1</c:f>
              <c:strCache>
                <c:ptCount val="1"/>
                <c:pt idx="0">
                  <c:v>Capability (Non-UHR) %</c:v>
                </c:pt>
              </c:strCache>
            </c:strRef>
          </c:tx>
          <c:spPr>
            <a:solidFill>
              <a:schemeClr val="tx2">
                <a:lumMod val="40000"/>
                <a:lumOff val="60000"/>
              </a:schemeClr>
            </a:solidFill>
          </c:spPr>
          <c:invertIfNegative val="0"/>
          <c:cat>
            <c:strRef>
              <c:f>'B Age'!$A$2:$A$10</c:f>
              <c:strCache>
                <c:ptCount val="9"/>
                <c:pt idx="0">
                  <c:v>26 - 30</c:v>
                </c:pt>
                <c:pt idx="1">
                  <c:v>31 - 35</c:v>
                </c:pt>
                <c:pt idx="2">
                  <c:v>36 - 40</c:v>
                </c:pt>
                <c:pt idx="3">
                  <c:v>41 - 45</c:v>
                </c:pt>
                <c:pt idx="4">
                  <c:v>46 - 50</c:v>
                </c:pt>
                <c:pt idx="5">
                  <c:v>51 - 55</c:v>
                </c:pt>
                <c:pt idx="6">
                  <c:v>56 - 60</c:v>
                </c:pt>
                <c:pt idx="7">
                  <c:v>61 - 65</c:v>
                </c:pt>
                <c:pt idx="8">
                  <c:v>66 - 70</c:v>
                </c:pt>
              </c:strCache>
            </c:strRef>
          </c:cat>
          <c:val>
            <c:numRef>
              <c:f>'B Age'!$C$2:$C$10</c:f>
              <c:numCache>
                <c:formatCode>0.0%</c:formatCode>
                <c:ptCount val="9"/>
                <c:pt idx="0">
                  <c:v>0</c:v>
                </c:pt>
                <c:pt idx="1">
                  <c:v>9.375E-2</c:v>
                </c:pt>
                <c:pt idx="2">
                  <c:v>9.375E-2</c:v>
                </c:pt>
                <c:pt idx="3">
                  <c:v>0</c:v>
                </c:pt>
                <c:pt idx="4">
                  <c:v>0.1875</c:v>
                </c:pt>
                <c:pt idx="5">
                  <c:v>0.28125</c:v>
                </c:pt>
                <c:pt idx="6">
                  <c:v>0.21875</c:v>
                </c:pt>
                <c:pt idx="7">
                  <c:v>9.375E-2</c:v>
                </c:pt>
                <c:pt idx="8">
                  <c:v>3.125E-2</c:v>
                </c:pt>
              </c:numCache>
            </c:numRef>
          </c:val>
        </c:ser>
        <c:ser>
          <c:idx val="1"/>
          <c:order val="1"/>
          <c:tx>
            <c:strRef>
              <c:f>'B Age'!$E$1</c:f>
              <c:strCache>
                <c:ptCount val="1"/>
                <c:pt idx="0">
                  <c:v>Capability (UHR) %</c:v>
                </c:pt>
              </c:strCache>
            </c:strRef>
          </c:tx>
          <c:spPr>
            <a:solidFill>
              <a:schemeClr val="accent2">
                <a:lumMod val="40000"/>
                <a:lumOff val="60000"/>
              </a:schemeClr>
            </a:solidFill>
          </c:spPr>
          <c:invertIfNegative val="0"/>
          <c:cat>
            <c:strRef>
              <c:f>'B Age'!$A$2:$A$10</c:f>
              <c:strCache>
                <c:ptCount val="9"/>
                <c:pt idx="0">
                  <c:v>26 - 30</c:v>
                </c:pt>
                <c:pt idx="1">
                  <c:v>31 - 35</c:v>
                </c:pt>
                <c:pt idx="2">
                  <c:v>36 - 40</c:v>
                </c:pt>
                <c:pt idx="3">
                  <c:v>41 - 45</c:v>
                </c:pt>
                <c:pt idx="4">
                  <c:v>46 - 50</c:v>
                </c:pt>
                <c:pt idx="5">
                  <c:v>51 - 55</c:v>
                </c:pt>
                <c:pt idx="6">
                  <c:v>56 - 60</c:v>
                </c:pt>
                <c:pt idx="7">
                  <c:v>61 - 65</c:v>
                </c:pt>
                <c:pt idx="8">
                  <c:v>66 - 70</c:v>
                </c:pt>
              </c:strCache>
            </c:strRef>
          </c:cat>
          <c:val>
            <c:numRef>
              <c:f>'B Age'!$E$2:$E$10</c:f>
              <c:numCache>
                <c:formatCode>0.0%</c:formatCode>
                <c:ptCount val="9"/>
                <c:pt idx="0">
                  <c:v>0.25</c:v>
                </c:pt>
                <c:pt idx="1">
                  <c:v>0</c:v>
                </c:pt>
                <c:pt idx="2">
                  <c:v>0.125</c:v>
                </c:pt>
                <c:pt idx="3">
                  <c:v>0.25</c:v>
                </c:pt>
                <c:pt idx="4">
                  <c:v>0.125</c:v>
                </c:pt>
                <c:pt idx="5">
                  <c:v>0.125</c:v>
                </c:pt>
                <c:pt idx="6">
                  <c:v>0.125</c:v>
                </c:pt>
                <c:pt idx="7">
                  <c:v>0</c:v>
                </c:pt>
                <c:pt idx="8">
                  <c:v>0</c:v>
                </c:pt>
              </c:numCache>
            </c:numRef>
          </c:val>
        </c:ser>
        <c:dLbls>
          <c:showLegendKey val="0"/>
          <c:showVal val="0"/>
          <c:showCatName val="0"/>
          <c:showSerName val="0"/>
          <c:showPercent val="0"/>
          <c:showBubbleSize val="0"/>
        </c:dLbls>
        <c:gapWidth val="150"/>
        <c:axId val="168782848"/>
        <c:axId val="169984576"/>
      </c:barChart>
      <c:scatterChart>
        <c:scatterStyle val="lineMarker"/>
        <c:varyColors val="0"/>
        <c:ser>
          <c:idx val="2"/>
          <c:order val="2"/>
          <c:tx>
            <c:strRef>
              <c:f>'B Age'!$F$1</c:f>
              <c:strCache>
                <c:ptCount val="1"/>
                <c:pt idx="0">
                  <c:v>Workforce Represenation %</c:v>
                </c:pt>
              </c:strCache>
            </c:strRef>
          </c:tx>
          <c:spPr>
            <a:ln w="28575">
              <a:noFill/>
            </a:ln>
          </c:spPr>
          <c:marker>
            <c:symbol val="dash"/>
            <c:size val="12"/>
            <c:spPr>
              <a:solidFill>
                <a:srgbClr val="41B6E6"/>
              </a:solidFill>
              <a:ln>
                <a:solidFill>
                  <a:schemeClr val="bg1"/>
                </a:solidFill>
              </a:ln>
            </c:spPr>
          </c:marker>
          <c:xVal>
            <c:strRef>
              <c:f>'B Age'!$A$2:$A$10</c:f>
              <c:strCache>
                <c:ptCount val="9"/>
                <c:pt idx="0">
                  <c:v>26 - 30</c:v>
                </c:pt>
                <c:pt idx="1">
                  <c:v>31 - 35</c:v>
                </c:pt>
                <c:pt idx="2">
                  <c:v>36 - 40</c:v>
                </c:pt>
                <c:pt idx="3">
                  <c:v>41 - 45</c:v>
                </c:pt>
                <c:pt idx="4">
                  <c:v>46 - 50</c:v>
                </c:pt>
                <c:pt idx="5">
                  <c:v>51 - 55</c:v>
                </c:pt>
                <c:pt idx="6">
                  <c:v>56 - 60</c:v>
                </c:pt>
                <c:pt idx="7">
                  <c:v>61 - 65</c:v>
                </c:pt>
                <c:pt idx="8">
                  <c:v>66 - 70</c:v>
                </c:pt>
              </c:strCache>
            </c:strRef>
          </c:xVal>
          <c:yVal>
            <c:numRef>
              <c:f>'B Age'!$F$2:$F$10</c:f>
              <c:numCache>
                <c:formatCode>0.0%</c:formatCode>
                <c:ptCount val="9"/>
                <c:pt idx="0">
                  <c:v>0.13264961117998422</c:v>
                </c:pt>
                <c:pt idx="1">
                  <c:v>0.14234193621097713</c:v>
                </c:pt>
                <c:pt idx="2">
                  <c:v>0.12126676434126001</c:v>
                </c:pt>
                <c:pt idx="3">
                  <c:v>0.12261918178744506</c:v>
                </c:pt>
                <c:pt idx="4">
                  <c:v>0.12814155302603403</c:v>
                </c:pt>
                <c:pt idx="5">
                  <c:v>0.11878733235658739</c:v>
                </c:pt>
                <c:pt idx="6">
                  <c:v>9.4781922686802661E-2</c:v>
                </c:pt>
                <c:pt idx="7">
                  <c:v>5.4660205116646002E-2</c:v>
                </c:pt>
                <c:pt idx="8">
                  <c:v>1.1720951200270483E-2</c:v>
                </c:pt>
              </c:numCache>
            </c:numRef>
          </c:yVal>
          <c:smooth val="0"/>
        </c:ser>
        <c:dLbls>
          <c:showLegendKey val="0"/>
          <c:showVal val="0"/>
          <c:showCatName val="0"/>
          <c:showSerName val="0"/>
          <c:showPercent val="0"/>
          <c:showBubbleSize val="0"/>
        </c:dLbls>
        <c:axId val="168782848"/>
        <c:axId val="169984576"/>
      </c:scatterChart>
      <c:catAx>
        <c:axId val="168782848"/>
        <c:scaling>
          <c:orientation val="minMax"/>
        </c:scaling>
        <c:delete val="0"/>
        <c:axPos val="b"/>
        <c:majorTickMark val="out"/>
        <c:minorTickMark val="none"/>
        <c:tickLblPos val="nextTo"/>
        <c:spPr>
          <a:ln>
            <a:noFill/>
          </a:ln>
        </c:spPr>
        <c:crossAx val="169984576"/>
        <c:crosses val="autoZero"/>
        <c:auto val="1"/>
        <c:lblAlgn val="ctr"/>
        <c:lblOffset val="100"/>
        <c:noMultiLvlLbl val="0"/>
      </c:catAx>
      <c:valAx>
        <c:axId val="169984576"/>
        <c:scaling>
          <c:orientation val="minMax"/>
        </c:scaling>
        <c:delete val="0"/>
        <c:axPos val="l"/>
        <c:numFmt formatCode="0.0%" sourceLinked="1"/>
        <c:majorTickMark val="out"/>
        <c:minorTickMark val="none"/>
        <c:tickLblPos val="nextTo"/>
        <c:spPr>
          <a:ln>
            <a:noFill/>
          </a:ln>
        </c:spPr>
        <c:crossAx val="168782848"/>
        <c:crosses val="autoZero"/>
        <c:crossBetween val="between"/>
      </c:valAx>
    </c:plotArea>
    <c:legend>
      <c:legendPos val="r"/>
      <c:layout>
        <c:manualLayout>
          <c:xMode val="edge"/>
          <c:yMode val="edge"/>
          <c:x val="8.1046916010498654E-2"/>
          <c:y val="2.6875801643303252E-2"/>
          <c:w val="0.90645308398950131"/>
          <c:h val="7.7825723129039084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 RorB'!$A$2</c:f>
              <c:strCache>
                <c:ptCount val="1"/>
                <c:pt idx="0">
                  <c:v>Atheism</c:v>
                </c:pt>
              </c:strCache>
            </c:strRef>
          </c:tx>
          <c:invertIfNegative val="0"/>
          <c:cat>
            <c:strRef>
              <c:f>'W RorB'!$B$1</c:f>
              <c:strCache>
                <c:ptCount val="1"/>
                <c:pt idx="0">
                  <c:v>No. of staff attending training</c:v>
                </c:pt>
              </c:strCache>
            </c:strRef>
          </c:cat>
          <c:val>
            <c:numRef>
              <c:f>'W RorB'!$B$2</c:f>
              <c:numCache>
                <c:formatCode>General</c:formatCode>
                <c:ptCount val="1"/>
                <c:pt idx="0">
                  <c:v>474</c:v>
                </c:pt>
              </c:numCache>
            </c:numRef>
          </c:val>
        </c:ser>
        <c:ser>
          <c:idx val="1"/>
          <c:order val="1"/>
          <c:tx>
            <c:strRef>
              <c:f>'W RorB'!$A$3</c:f>
              <c:strCache>
                <c:ptCount val="1"/>
                <c:pt idx="0">
                  <c:v>Buddhism</c:v>
                </c:pt>
              </c:strCache>
            </c:strRef>
          </c:tx>
          <c:invertIfNegative val="0"/>
          <c:cat>
            <c:strRef>
              <c:f>'W RorB'!$B$1</c:f>
              <c:strCache>
                <c:ptCount val="1"/>
                <c:pt idx="0">
                  <c:v>No. of staff attending training</c:v>
                </c:pt>
              </c:strCache>
            </c:strRef>
          </c:cat>
          <c:val>
            <c:numRef>
              <c:f>'W RorB'!$B$3</c:f>
              <c:numCache>
                <c:formatCode>General</c:formatCode>
                <c:ptCount val="1"/>
                <c:pt idx="0">
                  <c:v>20</c:v>
                </c:pt>
              </c:numCache>
            </c:numRef>
          </c:val>
        </c:ser>
        <c:ser>
          <c:idx val="2"/>
          <c:order val="2"/>
          <c:tx>
            <c:strRef>
              <c:f>'W RorB'!$A$4</c:f>
              <c:strCache>
                <c:ptCount val="1"/>
                <c:pt idx="0">
                  <c:v>Christian</c:v>
                </c:pt>
              </c:strCache>
            </c:strRef>
          </c:tx>
          <c:invertIfNegative val="0"/>
          <c:cat>
            <c:strRef>
              <c:f>'W RorB'!$B$1</c:f>
              <c:strCache>
                <c:ptCount val="1"/>
                <c:pt idx="0">
                  <c:v>No. of staff attending training</c:v>
                </c:pt>
              </c:strCache>
            </c:strRef>
          </c:cat>
          <c:val>
            <c:numRef>
              <c:f>'W RorB'!$B$4</c:f>
              <c:numCache>
                <c:formatCode>General</c:formatCode>
                <c:ptCount val="1"/>
                <c:pt idx="0">
                  <c:v>1290</c:v>
                </c:pt>
              </c:numCache>
            </c:numRef>
          </c:val>
        </c:ser>
        <c:ser>
          <c:idx val="3"/>
          <c:order val="3"/>
          <c:tx>
            <c:strRef>
              <c:f>'W RorB'!$A$5</c:f>
              <c:strCache>
                <c:ptCount val="1"/>
                <c:pt idx="0">
                  <c:v>Hinduism</c:v>
                </c:pt>
              </c:strCache>
            </c:strRef>
          </c:tx>
          <c:invertIfNegative val="0"/>
          <c:cat>
            <c:strRef>
              <c:f>'W RorB'!$B$1</c:f>
              <c:strCache>
                <c:ptCount val="1"/>
                <c:pt idx="0">
                  <c:v>No. of staff attending training</c:v>
                </c:pt>
              </c:strCache>
            </c:strRef>
          </c:cat>
          <c:val>
            <c:numRef>
              <c:f>'W RorB'!$B$5</c:f>
              <c:numCache>
                <c:formatCode>General</c:formatCode>
                <c:ptCount val="1"/>
                <c:pt idx="0">
                  <c:v>53</c:v>
                </c:pt>
              </c:numCache>
            </c:numRef>
          </c:val>
        </c:ser>
        <c:ser>
          <c:idx val="4"/>
          <c:order val="4"/>
          <c:tx>
            <c:strRef>
              <c:f>'W RorB'!$A$6</c:f>
              <c:strCache>
                <c:ptCount val="1"/>
                <c:pt idx="0">
                  <c:v>Islam</c:v>
                </c:pt>
              </c:strCache>
            </c:strRef>
          </c:tx>
          <c:invertIfNegative val="0"/>
          <c:cat>
            <c:strRef>
              <c:f>'W RorB'!$B$1</c:f>
              <c:strCache>
                <c:ptCount val="1"/>
                <c:pt idx="0">
                  <c:v>No. of staff attending training</c:v>
                </c:pt>
              </c:strCache>
            </c:strRef>
          </c:cat>
          <c:val>
            <c:numRef>
              <c:f>'W RorB'!$B$6</c:f>
              <c:numCache>
                <c:formatCode>General</c:formatCode>
                <c:ptCount val="1"/>
                <c:pt idx="0">
                  <c:v>33</c:v>
                </c:pt>
              </c:numCache>
            </c:numRef>
          </c:val>
        </c:ser>
        <c:ser>
          <c:idx val="5"/>
          <c:order val="5"/>
          <c:tx>
            <c:strRef>
              <c:f>'W RorB'!$A$7</c:f>
              <c:strCache>
                <c:ptCount val="1"/>
                <c:pt idx="0">
                  <c:v>Jainism</c:v>
                </c:pt>
              </c:strCache>
            </c:strRef>
          </c:tx>
          <c:invertIfNegative val="0"/>
          <c:cat>
            <c:strRef>
              <c:f>'W RorB'!$B$1</c:f>
              <c:strCache>
                <c:ptCount val="1"/>
                <c:pt idx="0">
                  <c:v>No. of staff attending training</c:v>
                </c:pt>
              </c:strCache>
            </c:strRef>
          </c:cat>
          <c:val>
            <c:numRef>
              <c:f>'W RorB'!$B$7</c:f>
              <c:numCache>
                <c:formatCode>General</c:formatCode>
                <c:ptCount val="1"/>
                <c:pt idx="0">
                  <c:v>1</c:v>
                </c:pt>
              </c:numCache>
            </c:numRef>
          </c:val>
        </c:ser>
        <c:ser>
          <c:idx val="6"/>
          <c:order val="6"/>
          <c:tx>
            <c:strRef>
              <c:f>'W RorB'!$A$8</c:f>
              <c:strCache>
                <c:ptCount val="1"/>
                <c:pt idx="0">
                  <c:v>Judaism</c:v>
                </c:pt>
              </c:strCache>
            </c:strRef>
          </c:tx>
          <c:invertIfNegative val="0"/>
          <c:cat>
            <c:strRef>
              <c:f>'W RorB'!$B$1</c:f>
              <c:strCache>
                <c:ptCount val="1"/>
                <c:pt idx="0">
                  <c:v>No. of staff attending training</c:v>
                </c:pt>
              </c:strCache>
            </c:strRef>
          </c:cat>
          <c:val>
            <c:numRef>
              <c:f>'W RorB'!$B$8</c:f>
              <c:numCache>
                <c:formatCode>General</c:formatCode>
                <c:ptCount val="1"/>
                <c:pt idx="0">
                  <c:v>5</c:v>
                </c:pt>
              </c:numCache>
            </c:numRef>
          </c:val>
        </c:ser>
        <c:ser>
          <c:idx val="7"/>
          <c:order val="7"/>
          <c:tx>
            <c:strRef>
              <c:f>'W RorB'!$A$9</c:f>
              <c:strCache>
                <c:ptCount val="1"/>
                <c:pt idx="0">
                  <c:v>Other</c:v>
                </c:pt>
              </c:strCache>
            </c:strRef>
          </c:tx>
          <c:invertIfNegative val="0"/>
          <c:cat>
            <c:strRef>
              <c:f>'W RorB'!$B$1</c:f>
              <c:strCache>
                <c:ptCount val="1"/>
                <c:pt idx="0">
                  <c:v>No. of staff attending training</c:v>
                </c:pt>
              </c:strCache>
            </c:strRef>
          </c:cat>
          <c:val>
            <c:numRef>
              <c:f>'W RorB'!$B$9</c:f>
              <c:numCache>
                <c:formatCode>General</c:formatCode>
                <c:ptCount val="1"/>
                <c:pt idx="0">
                  <c:v>429</c:v>
                </c:pt>
              </c:numCache>
            </c:numRef>
          </c:val>
        </c:ser>
        <c:ser>
          <c:idx val="8"/>
          <c:order val="8"/>
          <c:tx>
            <c:strRef>
              <c:f>'W RorB'!$A$10</c:f>
              <c:strCache>
                <c:ptCount val="1"/>
                <c:pt idx="0">
                  <c:v>Sikhism</c:v>
                </c:pt>
              </c:strCache>
            </c:strRef>
          </c:tx>
          <c:invertIfNegative val="0"/>
          <c:cat>
            <c:strRef>
              <c:f>'W RorB'!$B$1</c:f>
              <c:strCache>
                <c:ptCount val="1"/>
                <c:pt idx="0">
                  <c:v>No. of staff attending training</c:v>
                </c:pt>
              </c:strCache>
            </c:strRef>
          </c:cat>
          <c:val>
            <c:numRef>
              <c:f>'W RorB'!$B$10</c:f>
              <c:numCache>
                <c:formatCode>General</c:formatCode>
                <c:ptCount val="1"/>
                <c:pt idx="0">
                  <c:v>4</c:v>
                </c:pt>
              </c:numCache>
            </c:numRef>
          </c:val>
        </c:ser>
        <c:ser>
          <c:idx val="9"/>
          <c:order val="9"/>
          <c:tx>
            <c:strRef>
              <c:f>'W RorB'!$A$11</c:f>
              <c:strCache>
                <c:ptCount val="1"/>
                <c:pt idx="0">
                  <c:v>Prefer not to say</c:v>
                </c:pt>
              </c:strCache>
            </c:strRef>
          </c:tx>
          <c:invertIfNegative val="0"/>
          <c:cat>
            <c:strRef>
              <c:f>'W RorB'!$B$1</c:f>
              <c:strCache>
                <c:ptCount val="1"/>
                <c:pt idx="0">
                  <c:v>No. of staff attending training</c:v>
                </c:pt>
              </c:strCache>
            </c:strRef>
          </c:cat>
          <c:val>
            <c:numRef>
              <c:f>'W RorB'!$B$11</c:f>
              <c:numCache>
                <c:formatCode>General</c:formatCode>
                <c:ptCount val="1"/>
                <c:pt idx="0">
                  <c:v>419</c:v>
                </c:pt>
              </c:numCache>
            </c:numRef>
          </c:val>
        </c:ser>
        <c:ser>
          <c:idx val="10"/>
          <c:order val="10"/>
          <c:tx>
            <c:strRef>
              <c:f>'W RorB'!$A$12</c:f>
              <c:strCache>
                <c:ptCount val="1"/>
                <c:pt idx="0">
                  <c:v>Unknown</c:v>
                </c:pt>
              </c:strCache>
            </c:strRef>
          </c:tx>
          <c:invertIfNegative val="0"/>
          <c:cat>
            <c:strRef>
              <c:f>'W RorB'!$B$1</c:f>
              <c:strCache>
                <c:ptCount val="1"/>
                <c:pt idx="0">
                  <c:v>No. of staff attending training</c:v>
                </c:pt>
              </c:strCache>
            </c:strRef>
          </c:cat>
          <c:val>
            <c:numRef>
              <c:f>'W RorB'!$B$12</c:f>
              <c:numCache>
                <c:formatCode>General</c:formatCode>
                <c:ptCount val="1"/>
                <c:pt idx="0">
                  <c:v>13</c:v>
                </c:pt>
              </c:numCache>
            </c:numRef>
          </c:val>
        </c:ser>
        <c:dLbls>
          <c:showLegendKey val="0"/>
          <c:showVal val="0"/>
          <c:showCatName val="0"/>
          <c:showSerName val="0"/>
          <c:showPercent val="0"/>
          <c:showBubbleSize val="0"/>
        </c:dLbls>
        <c:gapWidth val="100"/>
        <c:overlap val="100"/>
        <c:axId val="769520128"/>
        <c:axId val="793013056"/>
      </c:barChart>
      <c:valAx>
        <c:axId val="793013056"/>
        <c:scaling>
          <c:orientation val="minMax"/>
        </c:scaling>
        <c:delete val="0"/>
        <c:axPos val="b"/>
        <c:numFmt formatCode="0%" sourceLinked="1"/>
        <c:majorTickMark val="out"/>
        <c:minorTickMark val="none"/>
        <c:tickLblPos val="nextTo"/>
        <c:spPr>
          <a:ln>
            <a:noFill/>
          </a:ln>
        </c:spPr>
        <c:crossAx val="769520128"/>
        <c:crosses val="autoZero"/>
        <c:crossBetween val="between"/>
      </c:valAx>
      <c:catAx>
        <c:axId val="769520128"/>
        <c:scaling>
          <c:orientation val="minMax"/>
        </c:scaling>
        <c:delete val="1"/>
        <c:axPos val="l"/>
        <c:majorTickMark val="out"/>
        <c:minorTickMark val="none"/>
        <c:tickLblPos val="nextTo"/>
        <c:crossAx val="793013056"/>
        <c:crosses val="autoZero"/>
        <c:auto val="1"/>
        <c:lblAlgn val="ctr"/>
        <c:lblOffset val="100"/>
        <c:noMultiLvlLbl val="0"/>
      </c:catAx>
    </c:plotArea>
    <c:legend>
      <c:legendPos val="r"/>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'B RorB'!$C$1</c:f>
              <c:strCache>
                <c:ptCount val="1"/>
                <c:pt idx="0">
                  <c:v>Capability (Non-UHR) %</c:v>
                </c:pt>
              </c:strCache>
            </c:strRef>
          </c:tx>
          <c:spPr>
            <a:solidFill>
              <a:schemeClr val="tx2">
                <a:lumMod val="40000"/>
                <a:lumOff val="60000"/>
              </a:schemeClr>
            </a:solidFill>
          </c:spPr>
          <c:invertIfNegative val="0"/>
          <c:cat>
            <c:strRef>
              <c:f>'B RorB'!$A$2:$A$5</c:f>
              <c:strCache>
                <c:ptCount val="4"/>
                <c:pt idx="0">
                  <c:v>Atheism</c:v>
                </c:pt>
                <c:pt idx="1">
                  <c:v>Christianity</c:v>
                </c:pt>
                <c:pt idx="2">
                  <c:v>Other</c:v>
                </c:pt>
                <c:pt idx="3">
                  <c:v>Prefer not to say</c:v>
                </c:pt>
              </c:strCache>
            </c:strRef>
          </c:cat>
          <c:val>
            <c:numRef>
              <c:f>'B RorB'!$C$2:$C$5</c:f>
              <c:numCache>
                <c:formatCode>0%</c:formatCode>
                <c:ptCount val="4"/>
                <c:pt idx="0">
                  <c:v>0.20833333333333334</c:v>
                </c:pt>
                <c:pt idx="1">
                  <c:v>0.625</c:v>
                </c:pt>
                <c:pt idx="2">
                  <c:v>0.16666666666666666</c:v>
                </c:pt>
                <c:pt idx="3">
                  <c:v>0.33333333333333331</c:v>
                </c:pt>
              </c:numCache>
            </c:numRef>
          </c:val>
        </c:ser>
        <c:ser>
          <c:idx val="1"/>
          <c:order val="1"/>
          <c:tx>
            <c:strRef>
              <c:f>'B RorB'!$E$1</c:f>
              <c:strCache>
                <c:ptCount val="1"/>
                <c:pt idx="0">
                  <c:v>Capability (UHR) %</c:v>
                </c:pt>
              </c:strCache>
            </c:strRef>
          </c:tx>
          <c:spPr>
            <a:solidFill>
              <a:schemeClr val="accent2">
                <a:lumMod val="40000"/>
                <a:lumOff val="60000"/>
              </a:schemeClr>
            </a:solidFill>
          </c:spPr>
          <c:invertIfNegative val="0"/>
          <c:cat>
            <c:strRef>
              <c:f>'B RorB'!$A$2:$A$5</c:f>
              <c:strCache>
                <c:ptCount val="4"/>
                <c:pt idx="0">
                  <c:v>Atheism</c:v>
                </c:pt>
                <c:pt idx="1">
                  <c:v>Christianity</c:v>
                </c:pt>
                <c:pt idx="2">
                  <c:v>Other</c:v>
                </c:pt>
                <c:pt idx="3">
                  <c:v>Prefer not to say</c:v>
                </c:pt>
              </c:strCache>
            </c:strRef>
          </c:cat>
          <c:val>
            <c:numRef>
              <c:f>'B RorB'!$E$2:$E$5</c:f>
              <c:numCache>
                <c:formatCode>0%</c:formatCode>
                <c:ptCount val="4"/>
                <c:pt idx="0">
                  <c:v>0</c:v>
                </c:pt>
                <c:pt idx="1">
                  <c:v>1</c:v>
                </c:pt>
                <c:pt idx="2">
                  <c:v>0</c:v>
                </c:pt>
                <c:pt idx="3">
                  <c:v>0.6</c:v>
                </c:pt>
              </c:numCache>
            </c:numRef>
          </c:val>
        </c:ser>
        <c:dLbls>
          <c:showLegendKey val="0"/>
          <c:showVal val="0"/>
          <c:showCatName val="0"/>
          <c:showSerName val="0"/>
          <c:showPercent val="0"/>
          <c:showBubbleSize val="0"/>
        </c:dLbls>
        <c:gapWidth val="150"/>
        <c:axId val="769519616"/>
        <c:axId val="793014784"/>
      </c:barChart>
      <c:scatterChart>
        <c:scatterStyle val="lineMarker"/>
        <c:varyColors val="0"/>
        <c:ser>
          <c:idx val="2"/>
          <c:order val="2"/>
          <c:tx>
            <c:strRef>
              <c:f>'B RorB'!$F$1</c:f>
              <c:strCache>
                <c:ptCount val="1"/>
                <c:pt idx="0">
                  <c:v>Workforce Represenation %</c:v>
                </c:pt>
              </c:strCache>
            </c:strRef>
          </c:tx>
          <c:spPr>
            <a:ln w="28575">
              <a:noFill/>
            </a:ln>
          </c:spPr>
          <c:marker>
            <c:symbol val="dash"/>
            <c:size val="27"/>
            <c:spPr>
              <a:solidFill>
                <a:srgbClr val="41B6E6"/>
              </a:solidFill>
              <a:ln w="22225">
                <a:solidFill>
                  <a:schemeClr val="bg1"/>
                </a:solidFill>
              </a:ln>
            </c:spPr>
          </c:marker>
          <c:xVal>
            <c:strRef>
              <c:f>'B RorB'!$A$2:$A$5</c:f>
              <c:strCache>
                <c:ptCount val="4"/>
                <c:pt idx="0">
                  <c:v>Atheism</c:v>
                </c:pt>
                <c:pt idx="1">
                  <c:v>Christianity</c:v>
                </c:pt>
                <c:pt idx="2">
                  <c:v>Other</c:v>
                </c:pt>
                <c:pt idx="3">
                  <c:v>Prefer not to say</c:v>
                </c:pt>
              </c:strCache>
            </c:strRef>
          </c:xVal>
          <c:yVal>
            <c:numRef>
              <c:f>'B RorB'!$F$2:$F$5</c:f>
              <c:numCache>
                <c:formatCode>0.0%</c:formatCode>
                <c:ptCount val="4"/>
                <c:pt idx="0">
                  <c:v>0.20804688380480107</c:v>
                </c:pt>
                <c:pt idx="1">
                  <c:v>0.37642285585484053</c:v>
                </c:pt>
                <c:pt idx="2">
                  <c:v>9.8050264848416543E-2</c:v>
                </c:pt>
                <c:pt idx="3">
                  <c:v>0.16893947931928321</c:v>
                </c:pt>
              </c:numCache>
            </c:numRef>
          </c:yVal>
          <c:smooth val="0"/>
        </c:ser>
        <c:dLbls>
          <c:showLegendKey val="0"/>
          <c:showVal val="0"/>
          <c:showCatName val="0"/>
          <c:showSerName val="0"/>
          <c:showPercent val="0"/>
          <c:showBubbleSize val="0"/>
        </c:dLbls>
        <c:axId val="769519616"/>
        <c:axId val="793014784"/>
      </c:scatterChart>
      <c:catAx>
        <c:axId val="769519616"/>
        <c:scaling>
          <c:orientation val="minMax"/>
        </c:scaling>
        <c:delete val="0"/>
        <c:axPos val="b"/>
        <c:majorTickMark val="out"/>
        <c:minorTickMark val="none"/>
        <c:tickLblPos val="nextTo"/>
        <c:spPr>
          <a:ln>
            <a:noFill/>
          </a:ln>
        </c:spPr>
        <c:crossAx val="793014784"/>
        <c:crosses val="autoZero"/>
        <c:auto val="1"/>
        <c:lblAlgn val="ctr"/>
        <c:lblOffset val="100"/>
        <c:noMultiLvlLbl val="0"/>
      </c:catAx>
      <c:valAx>
        <c:axId val="793014784"/>
        <c:scaling>
          <c:orientation val="minMax"/>
        </c:scaling>
        <c:delete val="0"/>
        <c:axPos val="l"/>
        <c:numFmt formatCode="0%" sourceLinked="1"/>
        <c:majorTickMark val="out"/>
        <c:minorTickMark val="none"/>
        <c:tickLblPos val="nextTo"/>
        <c:spPr>
          <a:ln>
            <a:noFill/>
          </a:ln>
        </c:spPr>
        <c:crossAx val="769519616"/>
        <c:crosses val="autoZero"/>
        <c:crossBetween val="between"/>
      </c:valAx>
    </c:plotArea>
    <c:legend>
      <c:legendPos val="r"/>
      <c:layout>
        <c:manualLayout>
          <c:xMode val="edge"/>
          <c:yMode val="edge"/>
          <c:x val="5.8130249343831986E-2"/>
          <c:y val="1.2676392403574411E-3"/>
          <c:w val="0.93561975065616798"/>
          <c:h val="0.17599046918110905"/>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76511506425037434"/>
          <c:h val="0.84593105954964687"/>
        </c:manualLayout>
      </c:layout>
      <c:barChart>
        <c:barDir val="col"/>
        <c:grouping val="clustered"/>
        <c:varyColors val="0"/>
        <c:ser>
          <c:idx val="0"/>
          <c:order val="0"/>
          <c:tx>
            <c:strRef>
              <c:f>'B RorB'!$C$25</c:f>
              <c:strCache>
                <c:ptCount val="1"/>
                <c:pt idx="0">
                  <c:v>Harassment Cases %</c:v>
                </c:pt>
              </c:strCache>
            </c:strRef>
          </c:tx>
          <c:spPr>
            <a:solidFill>
              <a:schemeClr val="tx2">
                <a:lumMod val="40000"/>
                <a:lumOff val="60000"/>
              </a:schemeClr>
            </a:solidFill>
          </c:spPr>
          <c:invertIfNegative val="0"/>
          <c:cat>
            <c:strRef>
              <c:f>'B RorB'!$A$26:$A$31</c:f>
              <c:strCache>
                <c:ptCount val="6"/>
                <c:pt idx="0">
                  <c:v>Atheism</c:v>
                </c:pt>
                <c:pt idx="1">
                  <c:v>Christianity</c:v>
                </c:pt>
                <c:pt idx="2">
                  <c:v>Hinduism</c:v>
                </c:pt>
                <c:pt idx="3">
                  <c:v>Islam</c:v>
                </c:pt>
                <c:pt idx="4">
                  <c:v>Other</c:v>
                </c:pt>
                <c:pt idx="5">
                  <c:v>Prefer not to say</c:v>
                </c:pt>
              </c:strCache>
            </c:strRef>
          </c:cat>
          <c:val>
            <c:numRef>
              <c:f>'B RorB'!$C$26:$C$31</c:f>
              <c:numCache>
                <c:formatCode>0.0%</c:formatCode>
                <c:ptCount val="6"/>
                <c:pt idx="0">
                  <c:v>0</c:v>
                </c:pt>
                <c:pt idx="1">
                  <c:v>1</c:v>
                </c:pt>
                <c:pt idx="2">
                  <c:v>0</c:v>
                </c:pt>
                <c:pt idx="3">
                  <c:v>0</c:v>
                </c:pt>
                <c:pt idx="4">
                  <c:v>0</c:v>
                </c:pt>
                <c:pt idx="5">
                  <c:v>0</c:v>
                </c:pt>
              </c:numCache>
            </c:numRef>
          </c:val>
        </c:ser>
        <c:ser>
          <c:idx val="1"/>
          <c:order val="1"/>
          <c:tx>
            <c:strRef>
              <c:f>'B RorB'!$E$25</c:f>
              <c:strCache>
                <c:ptCount val="1"/>
                <c:pt idx="0">
                  <c:v>Grievance Cases %</c:v>
                </c:pt>
              </c:strCache>
            </c:strRef>
          </c:tx>
          <c:spPr>
            <a:solidFill>
              <a:schemeClr val="accent2">
                <a:lumMod val="40000"/>
                <a:lumOff val="60000"/>
              </a:schemeClr>
            </a:solidFill>
          </c:spPr>
          <c:invertIfNegative val="0"/>
          <c:cat>
            <c:strRef>
              <c:f>'B RorB'!$A$26:$A$31</c:f>
              <c:strCache>
                <c:ptCount val="6"/>
                <c:pt idx="0">
                  <c:v>Atheism</c:v>
                </c:pt>
                <c:pt idx="1">
                  <c:v>Christianity</c:v>
                </c:pt>
                <c:pt idx="2">
                  <c:v>Hinduism</c:v>
                </c:pt>
                <c:pt idx="3">
                  <c:v>Islam</c:v>
                </c:pt>
                <c:pt idx="4">
                  <c:v>Other</c:v>
                </c:pt>
                <c:pt idx="5">
                  <c:v>Prefer not to say</c:v>
                </c:pt>
              </c:strCache>
            </c:strRef>
          </c:cat>
          <c:val>
            <c:numRef>
              <c:f>'B RorB'!$E$26:$E$31</c:f>
              <c:numCache>
                <c:formatCode>0.0%</c:formatCode>
                <c:ptCount val="6"/>
                <c:pt idx="0">
                  <c:v>0.1111111111111111</c:v>
                </c:pt>
                <c:pt idx="1">
                  <c:v>0.33333333333333331</c:v>
                </c:pt>
                <c:pt idx="2">
                  <c:v>0.1111111111111111</c:v>
                </c:pt>
                <c:pt idx="3">
                  <c:v>0</c:v>
                </c:pt>
                <c:pt idx="4">
                  <c:v>0.1111111111111111</c:v>
                </c:pt>
                <c:pt idx="5">
                  <c:v>0.33333333333333331</c:v>
                </c:pt>
              </c:numCache>
            </c:numRef>
          </c:val>
        </c:ser>
        <c:ser>
          <c:idx val="2"/>
          <c:order val="2"/>
          <c:tx>
            <c:strRef>
              <c:f>'B RorB'!$G$25</c:f>
              <c:strCache>
                <c:ptCount val="1"/>
                <c:pt idx="0">
                  <c:v>Disciplinary Cases %</c:v>
                </c:pt>
              </c:strCache>
            </c:strRef>
          </c:tx>
          <c:spPr>
            <a:solidFill>
              <a:schemeClr val="accent3">
                <a:lumMod val="40000"/>
                <a:lumOff val="60000"/>
              </a:schemeClr>
            </a:solidFill>
            <a:ln w="28575">
              <a:noFill/>
            </a:ln>
          </c:spPr>
          <c:invertIfNegative val="0"/>
          <c:cat>
            <c:strRef>
              <c:f>'B RorB'!$A$26:$A$31</c:f>
              <c:strCache>
                <c:ptCount val="6"/>
                <c:pt idx="0">
                  <c:v>Atheism</c:v>
                </c:pt>
                <c:pt idx="1">
                  <c:v>Christianity</c:v>
                </c:pt>
                <c:pt idx="2">
                  <c:v>Hinduism</c:v>
                </c:pt>
                <c:pt idx="3">
                  <c:v>Islam</c:v>
                </c:pt>
                <c:pt idx="4">
                  <c:v>Other</c:v>
                </c:pt>
                <c:pt idx="5">
                  <c:v>Prefer not to say</c:v>
                </c:pt>
              </c:strCache>
            </c:strRef>
          </c:cat>
          <c:val>
            <c:numRef>
              <c:f>'B RorB'!$G$26:$G$31</c:f>
              <c:numCache>
                <c:formatCode>0.0%</c:formatCode>
                <c:ptCount val="6"/>
                <c:pt idx="0">
                  <c:v>0.17391304347826086</c:v>
                </c:pt>
                <c:pt idx="1">
                  <c:v>0.34782608695652173</c:v>
                </c:pt>
                <c:pt idx="2">
                  <c:v>0</c:v>
                </c:pt>
                <c:pt idx="3">
                  <c:v>4.3478260869565216E-2</c:v>
                </c:pt>
                <c:pt idx="4">
                  <c:v>8.6956521739130432E-2</c:v>
                </c:pt>
                <c:pt idx="5">
                  <c:v>0.34782608695652173</c:v>
                </c:pt>
              </c:numCache>
            </c:numRef>
          </c:val>
        </c:ser>
        <c:dLbls>
          <c:showLegendKey val="0"/>
          <c:showVal val="0"/>
          <c:showCatName val="0"/>
          <c:showSerName val="0"/>
          <c:showPercent val="0"/>
          <c:showBubbleSize val="0"/>
        </c:dLbls>
        <c:gapWidth val="150"/>
        <c:axId val="769521152"/>
        <c:axId val="793016512"/>
      </c:barChart>
      <c:scatterChart>
        <c:scatterStyle val="lineMarker"/>
        <c:varyColors val="0"/>
        <c:ser>
          <c:idx val="3"/>
          <c:order val="3"/>
          <c:tx>
            <c:strRef>
              <c:f>'B RorB'!$H$25</c:f>
              <c:strCache>
                <c:ptCount val="1"/>
                <c:pt idx="0">
                  <c:v>Workforce Represenation %</c:v>
                </c:pt>
              </c:strCache>
            </c:strRef>
          </c:tx>
          <c:spPr>
            <a:ln w="28575">
              <a:noFill/>
            </a:ln>
          </c:spPr>
          <c:marker>
            <c:symbol val="dash"/>
            <c:size val="23"/>
            <c:spPr>
              <a:solidFill>
                <a:srgbClr val="41B6E6"/>
              </a:solidFill>
              <a:ln w="22225">
                <a:solidFill>
                  <a:schemeClr val="bg1"/>
                </a:solidFill>
              </a:ln>
            </c:spPr>
          </c:marker>
          <c:xVal>
            <c:strRef>
              <c:f>'B RorB'!$A$26:$A$31</c:f>
              <c:strCache>
                <c:ptCount val="6"/>
                <c:pt idx="0">
                  <c:v>Atheism</c:v>
                </c:pt>
                <c:pt idx="1">
                  <c:v>Christianity</c:v>
                </c:pt>
                <c:pt idx="2">
                  <c:v>Hinduism</c:v>
                </c:pt>
                <c:pt idx="3">
                  <c:v>Islam</c:v>
                </c:pt>
                <c:pt idx="4">
                  <c:v>Other</c:v>
                </c:pt>
                <c:pt idx="5">
                  <c:v>Prefer not to say</c:v>
                </c:pt>
              </c:strCache>
            </c:strRef>
          </c:xVal>
          <c:yVal>
            <c:numRef>
              <c:f>'B RorB'!$H$26:$H$31</c:f>
              <c:numCache>
                <c:formatCode>0.0%</c:formatCode>
                <c:ptCount val="6"/>
                <c:pt idx="0">
                  <c:v>0.20804688380480107</c:v>
                </c:pt>
                <c:pt idx="1">
                  <c:v>0.37642285585484053</c:v>
                </c:pt>
                <c:pt idx="2">
                  <c:v>1.8483038431195763E-2</c:v>
                </c:pt>
                <c:pt idx="3">
                  <c:v>2.1751380592809646E-2</c:v>
                </c:pt>
                <c:pt idx="4">
                  <c:v>9.8050264848416543E-2</c:v>
                </c:pt>
                <c:pt idx="5">
                  <c:v>0.16893947931928321</c:v>
                </c:pt>
              </c:numCache>
            </c:numRef>
          </c:yVal>
          <c:smooth val="0"/>
        </c:ser>
        <c:dLbls>
          <c:showLegendKey val="0"/>
          <c:showVal val="0"/>
          <c:showCatName val="0"/>
          <c:showSerName val="0"/>
          <c:showPercent val="0"/>
          <c:showBubbleSize val="0"/>
        </c:dLbls>
        <c:axId val="769521152"/>
        <c:axId val="793016512"/>
      </c:scatterChart>
      <c:catAx>
        <c:axId val="769521152"/>
        <c:scaling>
          <c:orientation val="minMax"/>
        </c:scaling>
        <c:delete val="0"/>
        <c:axPos val="b"/>
        <c:majorTickMark val="out"/>
        <c:minorTickMark val="none"/>
        <c:tickLblPos val="nextTo"/>
        <c:spPr>
          <a:ln>
            <a:noFill/>
          </a:ln>
        </c:spPr>
        <c:crossAx val="793016512"/>
        <c:crosses val="autoZero"/>
        <c:auto val="1"/>
        <c:lblAlgn val="ctr"/>
        <c:lblOffset val="100"/>
        <c:noMultiLvlLbl val="0"/>
      </c:catAx>
      <c:valAx>
        <c:axId val="793016512"/>
        <c:scaling>
          <c:orientation val="minMax"/>
        </c:scaling>
        <c:delete val="0"/>
        <c:axPos val="l"/>
        <c:numFmt formatCode="0%" sourceLinked="0"/>
        <c:majorTickMark val="out"/>
        <c:minorTickMark val="none"/>
        <c:tickLblPos val="nextTo"/>
        <c:spPr>
          <a:ln>
            <a:noFill/>
          </a:ln>
        </c:spPr>
        <c:crossAx val="769521152"/>
        <c:crosses val="autoZero"/>
        <c:crossBetween val="between"/>
      </c:valAx>
    </c:plotArea>
    <c:legend>
      <c:legendPos val="r"/>
      <c:layout>
        <c:manualLayout>
          <c:xMode val="edge"/>
          <c:yMode val="edge"/>
          <c:x val="6.3679750172226324E-2"/>
          <c:y val="9.8037041144504854E-3"/>
          <c:w val="0.93105083664975719"/>
          <c:h val="0.1651604208884900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'B RorB'!$C$51</c:f>
              <c:strCache>
                <c:ptCount val="1"/>
                <c:pt idx="0">
                  <c:v>All Dismissals</c:v>
                </c:pt>
              </c:strCache>
            </c:strRef>
          </c:tx>
          <c:spPr>
            <a:solidFill>
              <a:schemeClr val="tx2">
                <a:lumMod val="40000"/>
                <a:lumOff val="60000"/>
              </a:schemeClr>
            </a:solidFill>
          </c:spPr>
          <c:invertIfNegative val="0"/>
          <c:cat>
            <c:strRef>
              <c:f>'B RorB'!$A$52:$A$55</c:f>
              <c:strCache>
                <c:ptCount val="4"/>
                <c:pt idx="0">
                  <c:v>Atheism</c:v>
                </c:pt>
                <c:pt idx="1">
                  <c:v>Christianity</c:v>
                </c:pt>
                <c:pt idx="2">
                  <c:v>Other</c:v>
                </c:pt>
                <c:pt idx="3">
                  <c:v>Prefer not to say</c:v>
                </c:pt>
              </c:strCache>
            </c:strRef>
          </c:cat>
          <c:val>
            <c:numRef>
              <c:f>'B RorB'!$C$52:$C$55</c:f>
              <c:numCache>
                <c:formatCode>0.0%</c:formatCode>
                <c:ptCount val="4"/>
                <c:pt idx="0">
                  <c:v>0.11764705882352941</c:v>
                </c:pt>
                <c:pt idx="1">
                  <c:v>0.58823529411764708</c:v>
                </c:pt>
                <c:pt idx="2">
                  <c:v>0.11764705882352941</c:v>
                </c:pt>
                <c:pt idx="3">
                  <c:v>0.17647058823529413</c:v>
                </c:pt>
              </c:numCache>
            </c:numRef>
          </c:val>
        </c:ser>
        <c:ser>
          <c:idx val="1"/>
          <c:order val="1"/>
          <c:tx>
            <c:strRef>
              <c:f>'B RorB'!$E$51</c:f>
              <c:strCache>
                <c:ptCount val="1"/>
                <c:pt idx="0">
                  <c:v>Dismissals (Sickness only) %</c:v>
                </c:pt>
              </c:strCache>
            </c:strRef>
          </c:tx>
          <c:spPr>
            <a:solidFill>
              <a:schemeClr val="accent2">
                <a:lumMod val="40000"/>
                <a:lumOff val="60000"/>
              </a:schemeClr>
            </a:solidFill>
          </c:spPr>
          <c:invertIfNegative val="0"/>
          <c:cat>
            <c:strRef>
              <c:f>'B RorB'!$A$52:$A$55</c:f>
              <c:strCache>
                <c:ptCount val="4"/>
                <c:pt idx="0">
                  <c:v>Atheism</c:v>
                </c:pt>
                <c:pt idx="1">
                  <c:v>Christianity</c:v>
                </c:pt>
                <c:pt idx="2">
                  <c:v>Other</c:v>
                </c:pt>
                <c:pt idx="3">
                  <c:v>Prefer not to say</c:v>
                </c:pt>
              </c:strCache>
            </c:strRef>
          </c:cat>
          <c:val>
            <c:numRef>
              <c:f>'B RorB'!$E$52:$E$55</c:f>
              <c:numCache>
                <c:formatCode>0.0%</c:formatCode>
                <c:ptCount val="4"/>
                <c:pt idx="0">
                  <c:v>7.6923076923076927E-2</c:v>
                </c:pt>
                <c:pt idx="1">
                  <c:v>0.61538461538461542</c:v>
                </c:pt>
                <c:pt idx="2">
                  <c:v>0.15384615384615385</c:v>
                </c:pt>
                <c:pt idx="3">
                  <c:v>0.15384615384615385</c:v>
                </c:pt>
              </c:numCache>
            </c:numRef>
          </c:val>
        </c:ser>
        <c:dLbls>
          <c:showLegendKey val="0"/>
          <c:showVal val="0"/>
          <c:showCatName val="0"/>
          <c:showSerName val="0"/>
          <c:showPercent val="0"/>
          <c:showBubbleSize val="0"/>
        </c:dLbls>
        <c:gapWidth val="150"/>
        <c:axId val="769521664"/>
        <c:axId val="793518080"/>
      </c:barChart>
      <c:scatterChart>
        <c:scatterStyle val="lineMarker"/>
        <c:varyColors val="0"/>
        <c:ser>
          <c:idx val="2"/>
          <c:order val="2"/>
          <c:tx>
            <c:strRef>
              <c:f>'B RorB'!$F$51</c:f>
              <c:strCache>
                <c:ptCount val="1"/>
                <c:pt idx="0">
                  <c:v>Workforce Represenation %</c:v>
                </c:pt>
              </c:strCache>
            </c:strRef>
          </c:tx>
          <c:spPr>
            <a:ln w="28575">
              <a:noFill/>
            </a:ln>
          </c:spPr>
          <c:marker>
            <c:symbol val="dash"/>
            <c:size val="27"/>
            <c:spPr>
              <a:solidFill>
                <a:srgbClr val="41B6E6"/>
              </a:solidFill>
              <a:ln w="22225">
                <a:solidFill>
                  <a:schemeClr val="bg1"/>
                </a:solidFill>
              </a:ln>
            </c:spPr>
          </c:marker>
          <c:xVal>
            <c:strRef>
              <c:f>'B RorB'!$A$52:$A$55</c:f>
              <c:strCache>
                <c:ptCount val="4"/>
                <c:pt idx="0">
                  <c:v>Atheism</c:v>
                </c:pt>
                <c:pt idx="1">
                  <c:v>Christianity</c:v>
                </c:pt>
                <c:pt idx="2">
                  <c:v>Other</c:v>
                </c:pt>
                <c:pt idx="3">
                  <c:v>Prefer not to say</c:v>
                </c:pt>
              </c:strCache>
            </c:strRef>
          </c:xVal>
          <c:yVal>
            <c:numRef>
              <c:f>'B RorB'!$F$52:$F$55</c:f>
              <c:numCache>
                <c:formatCode>0.0%</c:formatCode>
                <c:ptCount val="4"/>
                <c:pt idx="0">
                  <c:v>0.20804688380480107</c:v>
                </c:pt>
                <c:pt idx="1">
                  <c:v>0.37642285585484053</c:v>
                </c:pt>
                <c:pt idx="2">
                  <c:v>9.8050264848416543E-2</c:v>
                </c:pt>
                <c:pt idx="3">
                  <c:v>0.16893947931928321</c:v>
                </c:pt>
              </c:numCache>
            </c:numRef>
          </c:yVal>
          <c:smooth val="0"/>
        </c:ser>
        <c:dLbls>
          <c:showLegendKey val="0"/>
          <c:showVal val="0"/>
          <c:showCatName val="0"/>
          <c:showSerName val="0"/>
          <c:showPercent val="0"/>
          <c:showBubbleSize val="0"/>
        </c:dLbls>
        <c:axId val="769521664"/>
        <c:axId val="793518080"/>
      </c:scatterChart>
      <c:catAx>
        <c:axId val="769521664"/>
        <c:scaling>
          <c:orientation val="minMax"/>
        </c:scaling>
        <c:delete val="0"/>
        <c:axPos val="b"/>
        <c:majorTickMark val="out"/>
        <c:minorTickMark val="none"/>
        <c:tickLblPos val="nextTo"/>
        <c:spPr>
          <a:ln>
            <a:noFill/>
          </a:ln>
        </c:spPr>
        <c:crossAx val="793518080"/>
        <c:crosses val="autoZero"/>
        <c:auto val="1"/>
        <c:lblAlgn val="ctr"/>
        <c:lblOffset val="100"/>
        <c:noMultiLvlLbl val="0"/>
      </c:catAx>
      <c:valAx>
        <c:axId val="793518080"/>
        <c:scaling>
          <c:orientation val="minMax"/>
        </c:scaling>
        <c:delete val="0"/>
        <c:axPos val="l"/>
        <c:numFmt formatCode="0.0%" sourceLinked="1"/>
        <c:majorTickMark val="out"/>
        <c:minorTickMark val="none"/>
        <c:tickLblPos val="nextTo"/>
        <c:spPr>
          <a:ln>
            <a:noFill/>
          </a:ln>
        </c:spPr>
        <c:crossAx val="769521664"/>
        <c:crosses val="autoZero"/>
        <c:crossBetween val="between"/>
      </c:valAx>
    </c:plotArea>
    <c:legend>
      <c:legendPos val="r"/>
      <c:layout>
        <c:manualLayout>
          <c:xMode val="edge"/>
          <c:yMode val="edge"/>
          <c:x val="6.0213582677165318E-2"/>
          <c:y val="9.8037041144504854E-3"/>
          <c:w val="0.92728641732283468"/>
          <c:h val="0.12306350630627"/>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'W RorB'!$C$1</c:f>
              <c:strCache>
                <c:ptCount val="1"/>
                <c:pt idx="0">
                  <c:v>Grievance Cases %</c:v>
                </c:pt>
              </c:strCache>
            </c:strRef>
          </c:tx>
          <c:spPr>
            <a:solidFill>
              <a:schemeClr val="tx2">
                <a:lumMod val="40000"/>
                <a:lumOff val="60000"/>
              </a:schemeClr>
            </a:solidFill>
          </c:spPr>
          <c:invertIfNegative val="0"/>
          <c:cat>
            <c:strRef>
              <c:f>'W RorB'!$A$2:$A$8</c:f>
              <c:strCache>
                <c:ptCount val="7"/>
                <c:pt idx="0">
                  <c:v>Atheism</c:v>
                </c:pt>
                <c:pt idx="1">
                  <c:v>Christianity</c:v>
                </c:pt>
                <c:pt idx="2">
                  <c:v>Islam</c:v>
                </c:pt>
                <c:pt idx="3">
                  <c:v>Judaism</c:v>
                </c:pt>
                <c:pt idx="4">
                  <c:v>Other</c:v>
                </c:pt>
                <c:pt idx="5">
                  <c:v>Declined to specify</c:v>
                </c:pt>
                <c:pt idx="6">
                  <c:v>Unknown</c:v>
                </c:pt>
              </c:strCache>
            </c:strRef>
          </c:cat>
          <c:val>
            <c:numRef>
              <c:f>'W RorB'!$C$2:$C$8</c:f>
              <c:numCache>
                <c:formatCode>General</c:formatCode>
                <c:ptCount val="7"/>
                <c:pt idx="0" formatCode="0.0%">
                  <c:v>7.1428571428571425E-2</c:v>
                </c:pt>
                <c:pt idx="2" formatCode="0.0%">
                  <c:v>7.1428571428571425E-2</c:v>
                </c:pt>
                <c:pt idx="3" formatCode="0.0%">
                  <c:v>3.5714285714285712E-2</c:v>
                </c:pt>
                <c:pt idx="4" formatCode="0.0%">
                  <c:v>0.10714285714285714</c:v>
                </c:pt>
                <c:pt idx="5" formatCode="0.0%">
                  <c:v>0.32142857142857145</c:v>
                </c:pt>
                <c:pt idx="6" formatCode="0.0%">
                  <c:v>0</c:v>
                </c:pt>
              </c:numCache>
            </c:numRef>
          </c:val>
        </c:ser>
        <c:ser>
          <c:idx val="1"/>
          <c:order val="1"/>
          <c:tx>
            <c:strRef>
              <c:f>'W RorB'!$E$1</c:f>
              <c:strCache>
                <c:ptCount val="1"/>
                <c:pt idx="0">
                  <c:v>Disciplinary Cases %</c:v>
                </c:pt>
              </c:strCache>
            </c:strRef>
          </c:tx>
          <c:spPr>
            <a:solidFill>
              <a:schemeClr val="accent2">
                <a:lumMod val="40000"/>
                <a:lumOff val="60000"/>
              </a:schemeClr>
            </a:solidFill>
          </c:spPr>
          <c:invertIfNegative val="0"/>
          <c:cat>
            <c:strRef>
              <c:f>'W RorB'!$A$2:$A$8</c:f>
              <c:strCache>
                <c:ptCount val="7"/>
                <c:pt idx="0">
                  <c:v>Atheism</c:v>
                </c:pt>
                <c:pt idx="1">
                  <c:v>Christianity</c:v>
                </c:pt>
                <c:pt idx="2">
                  <c:v>Islam</c:v>
                </c:pt>
                <c:pt idx="3">
                  <c:v>Judaism</c:v>
                </c:pt>
                <c:pt idx="4">
                  <c:v>Other</c:v>
                </c:pt>
                <c:pt idx="5">
                  <c:v>Declined to specify</c:v>
                </c:pt>
                <c:pt idx="6">
                  <c:v>Unknown</c:v>
                </c:pt>
              </c:strCache>
            </c:strRef>
          </c:cat>
          <c:val>
            <c:numRef>
              <c:f>'W RorB'!$E$2:$E$8</c:f>
              <c:numCache>
                <c:formatCode>0.0%</c:formatCode>
                <c:ptCount val="7"/>
                <c:pt idx="0">
                  <c:v>0.15094339622641509</c:v>
                </c:pt>
                <c:pt idx="1">
                  <c:v>0.49056603773584906</c:v>
                </c:pt>
                <c:pt idx="2">
                  <c:v>1.8867924528301886E-2</c:v>
                </c:pt>
                <c:pt idx="3">
                  <c:v>0</c:v>
                </c:pt>
                <c:pt idx="4">
                  <c:v>9.4339622641509441E-2</c:v>
                </c:pt>
                <c:pt idx="5">
                  <c:v>0.16981132075471697</c:v>
                </c:pt>
                <c:pt idx="6">
                  <c:v>7.5471698113207544E-2</c:v>
                </c:pt>
              </c:numCache>
            </c:numRef>
          </c:val>
        </c:ser>
        <c:dLbls>
          <c:showLegendKey val="0"/>
          <c:showVal val="0"/>
          <c:showCatName val="0"/>
          <c:showSerName val="0"/>
          <c:showPercent val="0"/>
          <c:showBubbleSize val="0"/>
        </c:dLbls>
        <c:gapWidth val="150"/>
        <c:axId val="730099712"/>
        <c:axId val="793519808"/>
      </c:barChart>
      <c:scatterChart>
        <c:scatterStyle val="lineMarker"/>
        <c:varyColors val="0"/>
        <c:ser>
          <c:idx val="2"/>
          <c:order val="2"/>
          <c:tx>
            <c:strRef>
              <c:f>'W RorB'!$F$1</c:f>
              <c:strCache>
                <c:ptCount val="1"/>
                <c:pt idx="0">
                  <c:v>Workforce Represenation %</c:v>
                </c:pt>
              </c:strCache>
            </c:strRef>
          </c:tx>
          <c:spPr>
            <a:ln w="28575">
              <a:noFill/>
            </a:ln>
          </c:spPr>
          <c:marker>
            <c:symbol val="dash"/>
            <c:size val="12"/>
            <c:spPr>
              <a:solidFill>
                <a:srgbClr val="41B6E6"/>
              </a:solidFill>
              <a:ln>
                <a:solidFill>
                  <a:schemeClr val="bg1"/>
                </a:solidFill>
              </a:ln>
            </c:spPr>
          </c:marker>
          <c:xVal>
            <c:strRef>
              <c:f>'W RorB'!$A$2:$A$8</c:f>
              <c:strCache>
                <c:ptCount val="7"/>
                <c:pt idx="0">
                  <c:v>Atheism</c:v>
                </c:pt>
                <c:pt idx="1">
                  <c:v>Christianity</c:v>
                </c:pt>
                <c:pt idx="2">
                  <c:v>Islam</c:v>
                </c:pt>
                <c:pt idx="3">
                  <c:v>Judaism</c:v>
                </c:pt>
                <c:pt idx="4">
                  <c:v>Other</c:v>
                </c:pt>
                <c:pt idx="5">
                  <c:v>Declined to specify</c:v>
                </c:pt>
                <c:pt idx="6">
                  <c:v>Unknown</c:v>
                </c:pt>
              </c:strCache>
            </c:strRef>
          </c:xVal>
          <c:yVal>
            <c:numRef>
              <c:f>'W RorB'!$F$2:$F$8</c:f>
              <c:numCache>
                <c:formatCode>0.0%</c:formatCode>
                <c:ptCount val="7"/>
                <c:pt idx="0">
                  <c:v>0.15427583455246707</c:v>
                </c:pt>
                <c:pt idx="1">
                  <c:v>0.47798909429445408</c:v>
                </c:pt>
                <c:pt idx="2">
                  <c:v>1.6225561909828434E-2</c:v>
                </c:pt>
                <c:pt idx="3">
                  <c:v>1.5959569091634526E-3</c:v>
                </c:pt>
                <c:pt idx="4">
                  <c:v>0.13791727623354169</c:v>
                </c:pt>
                <c:pt idx="5">
                  <c:v>0.17967814868998538</c:v>
                </c:pt>
                <c:pt idx="6">
                  <c:v>6.3838276366538103E-3</c:v>
                </c:pt>
              </c:numCache>
            </c:numRef>
          </c:yVal>
          <c:smooth val="0"/>
        </c:ser>
        <c:dLbls>
          <c:showLegendKey val="0"/>
          <c:showVal val="0"/>
          <c:showCatName val="0"/>
          <c:showSerName val="0"/>
          <c:showPercent val="0"/>
          <c:showBubbleSize val="0"/>
        </c:dLbls>
        <c:axId val="730099712"/>
        <c:axId val="793519808"/>
      </c:scatterChart>
      <c:catAx>
        <c:axId val="730099712"/>
        <c:scaling>
          <c:orientation val="minMax"/>
        </c:scaling>
        <c:delete val="0"/>
        <c:axPos val="b"/>
        <c:majorTickMark val="out"/>
        <c:minorTickMark val="none"/>
        <c:tickLblPos val="nextTo"/>
        <c:spPr>
          <a:ln>
            <a:noFill/>
          </a:ln>
        </c:spPr>
        <c:crossAx val="793519808"/>
        <c:crosses val="autoZero"/>
        <c:auto val="1"/>
        <c:lblAlgn val="ctr"/>
        <c:lblOffset val="100"/>
        <c:noMultiLvlLbl val="0"/>
      </c:catAx>
      <c:valAx>
        <c:axId val="793519808"/>
        <c:scaling>
          <c:orientation val="minMax"/>
        </c:scaling>
        <c:delete val="0"/>
        <c:axPos val="l"/>
        <c:numFmt formatCode="0.0%" sourceLinked="1"/>
        <c:majorTickMark val="out"/>
        <c:minorTickMark val="none"/>
        <c:tickLblPos val="nextTo"/>
        <c:spPr>
          <a:ln>
            <a:noFill/>
          </a:ln>
        </c:spPr>
        <c:crossAx val="730099712"/>
        <c:crosses val="autoZero"/>
        <c:crossBetween val="between"/>
      </c:valAx>
    </c:plotArea>
    <c:legend>
      <c:legendPos val="r"/>
      <c:layout>
        <c:manualLayout>
          <c:xMode val="edge"/>
          <c:yMode val="edge"/>
          <c:x val="6.8546916010498643E-2"/>
          <c:y val="2.6875801643303252E-2"/>
          <c:w val="0.91895308398950126"/>
          <c:h val="0.15465030699587645"/>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250085587127689E-2"/>
          <c:y val="2.4239121272631618E-2"/>
          <c:w val="0.89722016179137032"/>
          <c:h val="0.70066009190711631"/>
        </c:manualLayout>
      </c:layout>
      <c:barChart>
        <c:barDir val="col"/>
        <c:grouping val="clustered"/>
        <c:varyColors val="0"/>
        <c:ser>
          <c:idx val="0"/>
          <c:order val="0"/>
          <c:tx>
            <c:strRef>
              <c:f>'RorB B'!$C$1</c:f>
              <c:strCache>
                <c:ptCount val="1"/>
                <c:pt idx="0">
                  <c:v>2020/21 BSUH Leavers (%)</c:v>
                </c:pt>
              </c:strCache>
            </c:strRef>
          </c:tx>
          <c:spPr>
            <a:solidFill>
              <a:srgbClr val="41B6E6"/>
            </a:solidFill>
          </c:spPr>
          <c:invertIfNegative val="0"/>
          <c:cat>
            <c:strRef>
              <c:f>'RorB B'!$A$2:$A$12</c:f>
              <c:strCache>
                <c:ptCount val="11"/>
                <c:pt idx="0">
                  <c:v>Atheism</c:v>
                </c:pt>
                <c:pt idx="1">
                  <c:v>Buddhism</c:v>
                </c:pt>
                <c:pt idx="2">
                  <c:v>Christianity</c:v>
                </c:pt>
                <c:pt idx="3">
                  <c:v>Hinduism</c:v>
                </c:pt>
                <c:pt idx="4">
                  <c:v>Islam</c:v>
                </c:pt>
                <c:pt idx="5">
                  <c:v>Jainism</c:v>
                </c:pt>
                <c:pt idx="6">
                  <c:v>Judaism</c:v>
                </c:pt>
                <c:pt idx="7">
                  <c:v>Other</c:v>
                </c:pt>
                <c:pt idx="8">
                  <c:v>Sikhism</c:v>
                </c:pt>
                <c:pt idx="9">
                  <c:v>Prefer not to say</c:v>
                </c:pt>
                <c:pt idx="10">
                  <c:v>Unknown</c:v>
                </c:pt>
              </c:strCache>
            </c:strRef>
          </c:cat>
          <c:val>
            <c:numRef>
              <c:f>'RorB B'!$C$2:$C$12</c:f>
              <c:numCache>
                <c:formatCode>0.0%</c:formatCode>
                <c:ptCount val="11"/>
                <c:pt idx="0">
                  <c:v>0.24492468893254749</c:v>
                </c:pt>
                <c:pt idx="1">
                  <c:v>9.1683038637852005E-3</c:v>
                </c:pt>
                <c:pt idx="2">
                  <c:v>0.3005893909626719</c:v>
                </c:pt>
                <c:pt idx="3">
                  <c:v>1.8336607727570401E-2</c:v>
                </c:pt>
                <c:pt idx="4">
                  <c:v>3.4053700065487885E-2</c:v>
                </c:pt>
                <c:pt idx="5">
                  <c:v>1.3097576948264572E-3</c:v>
                </c:pt>
                <c:pt idx="6">
                  <c:v>3.929273084479371E-3</c:v>
                </c:pt>
                <c:pt idx="7">
                  <c:v>7.9895219384413879E-2</c:v>
                </c:pt>
                <c:pt idx="8">
                  <c:v>2.6195153896529143E-3</c:v>
                </c:pt>
                <c:pt idx="9">
                  <c:v>0.23248199083169613</c:v>
                </c:pt>
                <c:pt idx="10">
                  <c:v>7.269155206286837E-2</c:v>
                </c:pt>
              </c:numCache>
            </c:numRef>
          </c:val>
        </c:ser>
        <c:ser>
          <c:idx val="1"/>
          <c:order val="1"/>
          <c:tx>
            <c:strRef>
              <c:f>'RorB B'!$E$1</c:f>
              <c:strCache>
                <c:ptCount val="1"/>
                <c:pt idx="0">
                  <c:v>% in Workforce</c:v>
                </c:pt>
              </c:strCache>
            </c:strRef>
          </c:tx>
          <c:spPr>
            <a:solidFill>
              <a:srgbClr val="FFB81C"/>
            </a:solidFill>
          </c:spPr>
          <c:invertIfNegative val="0"/>
          <c:cat>
            <c:strRef>
              <c:f>'RorB B'!$A$2:$A$12</c:f>
              <c:strCache>
                <c:ptCount val="11"/>
                <c:pt idx="0">
                  <c:v>Atheism</c:v>
                </c:pt>
                <c:pt idx="1">
                  <c:v>Buddhism</c:v>
                </c:pt>
                <c:pt idx="2">
                  <c:v>Christianity</c:v>
                </c:pt>
                <c:pt idx="3">
                  <c:v>Hinduism</c:v>
                </c:pt>
                <c:pt idx="4">
                  <c:v>Islam</c:v>
                </c:pt>
                <c:pt idx="5">
                  <c:v>Jainism</c:v>
                </c:pt>
                <c:pt idx="6">
                  <c:v>Judaism</c:v>
                </c:pt>
                <c:pt idx="7">
                  <c:v>Other</c:v>
                </c:pt>
                <c:pt idx="8">
                  <c:v>Sikhism</c:v>
                </c:pt>
                <c:pt idx="9">
                  <c:v>Prefer not to say</c:v>
                </c:pt>
                <c:pt idx="10">
                  <c:v>Unknown</c:v>
                </c:pt>
              </c:strCache>
            </c:strRef>
          </c:cat>
          <c:val>
            <c:numRef>
              <c:f>'RorB B'!$E$2:$E$12</c:f>
              <c:numCache>
                <c:formatCode>0.0%</c:formatCode>
                <c:ptCount val="11"/>
                <c:pt idx="0">
                  <c:v>0.20804688380480107</c:v>
                </c:pt>
                <c:pt idx="1">
                  <c:v>9.4669221232953904E-3</c:v>
                </c:pt>
                <c:pt idx="2">
                  <c:v>0.37642285585484053</c:v>
                </c:pt>
                <c:pt idx="3">
                  <c:v>1.8483038431195763E-2</c:v>
                </c:pt>
                <c:pt idx="4">
                  <c:v>2.1751380592809646E-2</c:v>
                </c:pt>
                <c:pt idx="5">
                  <c:v>3.3810436154626394E-4</c:v>
                </c:pt>
                <c:pt idx="6">
                  <c:v>2.0286261692775837E-3</c:v>
                </c:pt>
                <c:pt idx="7">
                  <c:v>9.8050264848416543E-2</c:v>
                </c:pt>
                <c:pt idx="8">
                  <c:v>1.2397159923363012E-3</c:v>
                </c:pt>
                <c:pt idx="9">
                  <c:v>0.16893947931928321</c:v>
                </c:pt>
                <c:pt idx="10">
                  <c:v>9.5232728502197675E-2</c:v>
                </c:pt>
              </c:numCache>
            </c:numRef>
          </c:val>
        </c:ser>
        <c:dLbls>
          <c:showLegendKey val="0"/>
          <c:showVal val="0"/>
          <c:showCatName val="0"/>
          <c:showSerName val="0"/>
          <c:showPercent val="0"/>
          <c:showBubbleSize val="0"/>
        </c:dLbls>
        <c:gapWidth val="150"/>
        <c:axId val="730100224"/>
        <c:axId val="793521536"/>
      </c:barChart>
      <c:catAx>
        <c:axId val="730100224"/>
        <c:scaling>
          <c:orientation val="minMax"/>
        </c:scaling>
        <c:delete val="0"/>
        <c:axPos val="b"/>
        <c:majorTickMark val="out"/>
        <c:minorTickMark val="none"/>
        <c:tickLblPos val="nextTo"/>
        <c:crossAx val="793521536"/>
        <c:crosses val="autoZero"/>
        <c:auto val="1"/>
        <c:lblAlgn val="ctr"/>
        <c:lblOffset val="100"/>
        <c:noMultiLvlLbl val="0"/>
      </c:catAx>
      <c:valAx>
        <c:axId val="793521536"/>
        <c:scaling>
          <c:orientation val="minMax"/>
        </c:scaling>
        <c:delete val="0"/>
        <c:axPos val="l"/>
        <c:numFmt formatCode="0.0%" sourceLinked="1"/>
        <c:majorTickMark val="out"/>
        <c:minorTickMark val="none"/>
        <c:tickLblPos val="nextTo"/>
        <c:spPr>
          <a:ln>
            <a:noFill/>
          </a:ln>
        </c:spPr>
        <c:crossAx val="730100224"/>
        <c:crosses val="autoZero"/>
        <c:crossBetween val="between"/>
      </c:valAx>
    </c:plotArea>
    <c:legend>
      <c:legendPos val="r"/>
      <c:layout>
        <c:manualLayout>
          <c:xMode val="edge"/>
          <c:yMode val="edge"/>
          <c:x val="0.70322568374605343"/>
          <c:y val="0.13431809395918534"/>
          <c:w val="0.28067125667262605"/>
          <c:h val="0.1259743694828844"/>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250085587127689E-2"/>
          <c:y val="2.4239121272631618E-2"/>
          <c:w val="0.89722016179137032"/>
          <c:h val="0.71542568806806128"/>
        </c:manualLayout>
      </c:layout>
      <c:barChart>
        <c:barDir val="col"/>
        <c:grouping val="clustered"/>
        <c:varyColors val="0"/>
        <c:ser>
          <c:idx val="0"/>
          <c:order val="0"/>
          <c:tx>
            <c:strRef>
              <c:f>'RorB W'!$C$1</c:f>
              <c:strCache>
                <c:ptCount val="1"/>
                <c:pt idx="0">
                  <c:v>2020/21 WSHT Leavers (%)</c:v>
                </c:pt>
              </c:strCache>
            </c:strRef>
          </c:tx>
          <c:spPr>
            <a:solidFill>
              <a:srgbClr val="009639"/>
            </a:solidFill>
          </c:spPr>
          <c:invertIfNegative val="0"/>
          <c:cat>
            <c:strRef>
              <c:f>'RorB W'!$A$2:$A$12</c:f>
              <c:strCache>
                <c:ptCount val="11"/>
                <c:pt idx="0">
                  <c:v>Atheism</c:v>
                </c:pt>
                <c:pt idx="1">
                  <c:v>Buddhism</c:v>
                </c:pt>
                <c:pt idx="2">
                  <c:v>Christianity</c:v>
                </c:pt>
                <c:pt idx="3">
                  <c:v>Hinduism</c:v>
                </c:pt>
                <c:pt idx="4">
                  <c:v>Islam</c:v>
                </c:pt>
                <c:pt idx="5">
                  <c:v>Jainism</c:v>
                </c:pt>
                <c:pt idx="6">
                  <c:v>Judaism</c:v>
                </c:pt>
                <c:pt idx="7">
                  <c:v>Other</c:v>
                </c:pt>
                <c:pt idx="8">
                  <c:v>Sikhism</c:v>
                </c:pt>
                <c:pt idx="9">
                  <c:v>Prefer not to say</c:v>
                </c:pt>
                <c:pt idx="10">
                  <c:v>Unknown</c:v>
                </c:pt>
              </c:strCache>
            </c:strRef>
          </c:cat>
          <c:val>
            <c:numRef>
              <c:f>'RorB W'!$C$2:$C$12</c:f>
              <c:numCache>
                <c:formatCode>0.0%</c:formatCode>
                <c:ptCount val="11"/>
                <c:pt idx="0">
                  <c:v>0.17595307917888564</c:v>
                </c:pt>
                <c:pt idx="1">
                  <c:v>7.331378299120235E-3</c:v>
                </c:pt>
                <c:pt idx="2">
                  <c:v>0.42668621700879766</c:v>
                </c:pt>
                <c:pt idx="3">
                  <c:v>1.466275659824047E-2</c:v>
                </c:pt>
                <c:pt idx="4">
                  <c:v>3.3724340175953077E-2</c:v>
                </c:pt>
                <c:pt idx="5">
                  <c:v>1.4662756598240469E-3</c:v>
                </c:pt>
                <c:pt idx="6">
                  <c:v>2.9325513196480938E-3</c:v>
                </c:pt>
                <c:pt idx="7">
                  <c:v>0.16129032258064516</c:v>
                </c:pt>
                <c:pt idx="8">
                  <c:v>2.9325513196480938E-3</c:v>
                </c:pt>
                <c:pt idx="9">
                  <c:v>0.16568914956011729</c:v>
                </c:pt>
                <c:pt idx="10">
                  <c:v>7.331378299120235E-3</c:v>
                </c:pt>
              </c:numCache>
            </c:numRef>
          </c:val>
        </c:ser>
        <c:ser>
          <c:idx val="1"/>
          <c:order val="1"/>
          <c:tx>
            <c:strRef>
              <c:f>'RorB W'!$E$1</c:f>
              <c:strCache>
                <c:ptCount val="1"/>
                <c:pt idx="0">
                  <c:v>% in Workforce</c:v>
                </c:pt>
              </c:strCache>
            </c:strRef>
          </c:tx>
          <c:spPr>
            <a:solidFill>
              <a:srgbClr val="FFB81C"/>
            </a:solidFill>
          </c:spPr>
          <c:invertIfNegative val="0"/>
          <c:cat>
            <c:strRef>
              <c:f>'RorB W'!$A$2:$A$12</c:f>
              <c:strCache>
                <c:ptCount val="11"/>
                <c:pt idx="0">
                  <c:v>Atheism</c:v>
                </c:pt>
                <c:pt idx="1">
                  <c:v>Buddhism</c:v>
                </c:pt>
                <c:pt idx="2">
                  <c:v>Christianity</c:v>
                </c:pt>
                <c:pt idx="3">
                  <c:v>Hinduism</c:v>
                </c:pt>
                <c:pt idx="4">
                  <c:v>Islam</c:v>
                </c:pt>
                <c:pt idx="5">
                  <c:v>Jainism</c:v>
                </c:pt>
                <c:pt idx="6">
                  <c:v>Judaism</c:v>
                </c:pt>
                <c:pt idx="7">
                  <c:v>Other</c:v>
                </c:pt>
                <c:pt idx="8">
                  <c:v>Sikhism</c:v>
                </c:pt>
                <c:pt idx="9">
                  <c:v>Prefer not to say</c:v>
                </c:pt>
                <c:pt idx="10">
                  <c:v>Unknown</c:v>
                </c:pt>
              </c:strCache>
            </c:strRef>
          </c:cat>
          <c:val>
            <c:numRef>
              <c:f>'RorB W'!$E$2:$E$12</c:f>
              <c:numCache>
                <c:formatCode>0.0%</c:formatCode>
                <c:ptCount val="11"/>
                <c:pt idx="0">
                  <c:v>0.15427583455246707</c:v>
                </c:pt>
                <c:pt idx="1">
                  <c:v>6.7828168639446733E-3</c:v>
                </c:pt>
                <c:pt idx="2">
                  <c:v>0.47798909429445408</c:v>
                </c:pt>
                <c:pt idx="3">
                  <c:v>1.728953318260407E-2</c:v>
                </c:pt>
                <c:pt idx="4">
                  <c:v>1.6225561909828434E-2</c:v>
                </c:pt>
                <c:pt idx="5">
                  <c:v>0</c:v>
                </c:pt>
                <c:pt idx="6">
                  <c:v>1.5959569091634526E-3</c:v>
                </c:pt>
                <c:pt idx="7">
                  <c:v>0.13791727623354169</c:v>
                </c:pt>
                <c:pt idx="8">
                  <c:v>1.8619497273573613E-3</c:v>
                </c:pt>
                <c:pt idx="9">
                  <c:v>0.17967814868998538</c:v>
                </c:pt>
                <c:pt idx="10">
                  <c:v>6.3838276366538103E-3</c:v>
                </c:pt>
              </c:numCache>
            </c:numRef>
          </c:val>
        </c:ser>
        <c:dLbls>
          <c:showLegendKey val="0"/>
          <c:showVal val="0"/>
          <c:showCatName val="0"/>
          <c:showSerName val="0"/>
          <c:showPercent val="0"/>
          <c:showBubbleSize val="0"/>
        </c:dLbls>
        <c:gapWidth val="150"/>
        <c:axId val="769522688"/>
        <c:axId val="793523264"/>
      </c:barChart>
      <c:catAx>
        <c:axId val="769522688"/>
        <c:scaling>
          <c:orientation val="minMax"/>
        </c:scaling>
        <c:delete val="0"/>
        <c:axPos val="b"/>
        <c:majorTickMark val="out"/>
        <c:minorTickMark val="none"/>
        <c:tickLblPos val="nextTo"/>
        <c:crossAx val="793523264"/>
        <c:crosses val="autoZero"/>
        <c:auto val="1"/>
        <c:lblAlgn val="ctr"/>
        <c:lblOffset val="100"/>
        <c:noMultiLvlLbl val="0"/>
      </c:catAx>
      <c:valAx>
        <c:axId val="793523264"/>
        <c:scaling>
          <c:orientation val="minMax"/>
        </c:scaling>
        <c:delete val="0"/>
        <c:axPos val="l"/>
        <c:numFmt formatCode="0.0%" sourceLinked="1"/>
        <c:majorTickMark val="out"/>
        <c:minorTickMark val="none"/>
        <c:tickLblPos val="nextTo"/>
        <c:spPr>
          <a:ln>
            <a:noFill/>
          </a:ln>
        </c:spPr>
        <c:crossAx val="769522688"/>
        <c:crosses val="autoZero"/>
        <c:crossBetween val="between"/>
      </c:valAx>
    </c:plotArea>
    <c:legend>
      <c:legendPos val="r"/>
      <c:layout>
        <c:manualLayout>
          <c:xMode val="edge"/>
          <c:yMode val="edge"/>
          <c:x val="0.70322568374605343"/>
          <c:y val="0.13431809395918534"/>
          <c:w val="0.28067125667262605"/>
          <c:h val="0.1259743694828844"/>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502061419051487E-2"/>
          <c:y val="3.6124794745484398E-2"/>
          <c:w val="0.88532142867432462"/>
          <c:h val="0.66761310008662711"/>
        </c:manualLayout>
      </c:layout>
      <c:barChart>
        <c:barDir val="col"/>
        <c:grouping val="clustered"/>
        <c:varyColors val="0"/>
        <c:ser>
          <c:idx val="2"/>
          <c:order val="0"/>
          <c:tx>
            <c:strRef>
              <c:f>'Sexual Orientation'!$A$15</c:f>
              <c:strCache>
                <c:ptCount val="1"/>
                <c:pt idx="0">
                  <c:v>2020/21 (BSUH)</c:v>
                </c:pt>
              </c:strCache>
            </c:strRef>
          </c:tx>
          <c:spPr>
            <a:solidFill>
              <a:srgbClr val="41B6E6"/>
            </a:solidFill>
            <a:ln w="28575">
              <a:noFill/>
            </a:ln>
          </c:spPr>
          <c:invertIfNegative val="0"/>
          <c:cat>
            <c:strRef>
              <c:f>'Sexual Orientation'!$B$13:$H$13</c:f>
              <c:strCache>
                <c:ptCount val="7"/>
                <c:pt idx="0">
                  <c:v>Bisexual</c:v>
                </c:pt>
                <c:pt idx="1">
                  <c:v>Gay or Lesbian</c:v>
                </c:pt>
                <c:pt idx="2">
                  <c:v>Heterosexual or Straight</c:v>
                </c:pt>
                <c:pt idx="3">
                  <c:v>Other sexual orientation not listed</c:v>
                </c:pt>
                <c:pt idx="4">
                  <c:v>Undecided</c:v>
                </c:pt>
                <c:pt idx="5">
                  <c:v>Declined to Specify</c:v>
                </c:pt>
                <c:pt idx="6">
                  <c:v>Unknown</c:v>
                </c:pt>
              </c:strCache>
            </c:strRef>
          </c:cat>
          <c:val>
            <c:numRef>
              <c:f>'Sexual Orientation'!$B$15:$H$15</c:f>
              <c:numCache>
                <c:formatCode>0.0%</c:formatCode>
                <c:ptCount val="7"/>
                <c:pt idx="0">
                  <c:v>1.8821142792742027E-2</c:v>
                </c:pt>
                <c:pt idx="1">
                  <c:v>4.9588639693452043E-2</c:v>
                </c:pt>
                <c:pt idx="2">
                  <c:v>0.72816409331680376</c:v>
                </c:pt>
                <c:pt idx="3">
                  <c:v>2.1413276231263384E-3</c:v>
                </c:pt>
                <c:pt idx="4">
                  <c:v>1.0143130846387918E-3</c:v>
                </c:pt>
                <c:pt idx="5">
                  <c:v>0.12329539051053759</c:v>
                </c:pt>
                <c:pt idx="6">
                  <c:v>7.6975092978699422E-2</c:v>
                </c:pt>
              </c:numCache>
            </c:numRef>
          </c:val>
        </c:ser>
        <c:ser>
          <c:idx val="0"/>
          <c:order val="1"/>
          <c:tx>
            <c:strRef>
              <c:f>'Sexual Orientation'!$A$17</c:f>
              <c:strCache>
                <c:ptCount val="1"/>
                <c:pt idx="0">
                  <c:v>2020/21 (WSHT)</c:v>
                </c:pt>
              </c:strCache>
            </c:strRef>
          </c:tx>
          <c:spPr>
            <a:solidFill>
              <a:srgbClr val="009639"/>
            </a:solidFill>
            <a:ln w="28575">
              <a:noFill/>
            </a:ln>
          </c:spPr>
          <c:invertIfNegative val="0"/>
          <c:cat>
            <c:strRef>
              <c:f>'Sexual Orientation'!$B$13:$H$13</c:f>
              <c:strCache>
                <c:ptCount val="7"/>
                <c:pt idx="0">
                  <c:v>Bisexual</c:v>
                </c:pt>
                <c:pt idx="1">
                  <c:v>Gay or Lesbian</c:v>
                </c:pt>
                <c:pt idx="2">
                  <c:v>Heterosexual or Straight</c:v>
                </c:pt>
                <c:pt idx="3">
                  <c:v>Other sexual orientation not listed</c:v>
                </c:pt>
                <c:pt idx="4">
                  <c:v>Undecided</c:v>
                </c:pt>
                <c:pt idx="5">
                  <c:v>Declined to Specify</c:v>
                </c:pt>
                <c:pt idx="6">
                  <c:v>Unknown</c:v>
                </c:pt>
              </c:strCache>
            </c:strRef>
          </c:cat>
          <c:val>
            <c:numRef>
              <c:f>'Sexual Orientation'!$B$17:$H$17</c:f>
              <c:numCache>
                <c:formatCode>0.0%</c:formatCode>
                <c:ptCount val="7"/>
                <c:pt idx="0">
                  <c:v>8.9107594094959431E-3</c:v>
                </c:pt>
                <c:pt idx="1">
                  <c:v>1.6358558318925388E-2</c:v>
                </c:pt>
                <c:pt idx="2">
                  <c:v>0.76858624817129939</c:v>
                </c:pt>
                <c:pt idx="3">
                  <c:v>2.6599281819390878E-4</c:v>
                </c:pt>
                <c:pt idx="4">
                  <c:v>2.6599281819390878E-4</c:v>
                </c:pt>
                <c:pt idx="5">
                  <c:v>0.19882963159994679</c:v>
                </c:pt>
                <c:pt idx="6">
                  <c:v>6.7828168639446733E-3</c:v>
                </c:pt>
              </c:numCache>
            </c:numRef>
          </c:val>
        </c:ser>
        <c:dLbls>
          <c:showLegendKey val="0"/>
          <c:showVal val="0"/>
          <c:showCatName val="0"/>
          <c:showSerName val="0"/>
          <c:showPercent val="0"/>
          <c:showBubbleSize val="0"/>
        </c:dLbls>
        <c:gapWidth val="150"/>
        <c:axId val="730101248"/>
        <c:axId val="793525568"/>
      </c:barChart>
      <c:catAx>
        <c:axId val="730101248"/>
        <c:scaling>
          <c:orientation val="minMax"/>
        </c:scaling>
        <c:delete val="0"/>
        <c:axPos val="b"/>
        <c:majorTickMark val="out"/>
        <c:minorTickMark val="none"/>
        <c:tickLblPos val="nextTo"/>
        <c:crossAx val="793525568"/>
        <c:crosses val="autoZero"/>
        <c:auto val="1"/>
        <c:lblAlgn val="ctr"/>
        <c:lblOffset val="100"/>
        <c:noMultiLvlLbl val="0"/>
      </c:catAx>
      <c:valAx>
        <c:axId val="793525568"/>
        <c:scaling>
          <c:orientation val="minMax"/>
        </c:scaling>
        <c:delete val="0"/>
        <c:axPos val="l"/>
        <c:numFmt formatCode="0.0%" sourceLinked="1"/>
        <c:majorTickMark val="out"/>
        <c:minorTickMark val="none"/>
        <c:tickLblPos val="nextTo"/>
        <c:crossAx val="730101248"/>
        <c:crosses val="autoZero"/>
        <c:crossBetween val="between"/>
      </c:valAx>
    </c:plotArea>
    <c:legend>
      <c:legendPos val="r"/>
      <c:layout>
        <c:manualLayout>
          <c:xMode val="edge"/>
          <c:yMode val="edge"/>
          <c:x val="0.76723841874321153"/>
          <c:y val="0.28786574092031597"/>
          <c:w val="0.17780365955902055"/>
          <c:h val="0.1120737494020144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57961504811901E-2"/>
          <c:y val="5.1400554097404488E-2"/>
          <c:w val="0.89006736657917773"/>
          <c:h val="0.50294833760292934"/>
        </c:manualLayout>
      </c:layout>
      <c:barChart>
        <c:barDir val="col"/>
        <c:grouping val="clustered"/>
        <c:varyColors val="0"/>
        <c:ser>
          <c:idx val="0"/>
          <c:order val="0"/>
          <c:tx>
            <c:strRef>
              <c:f>SO!$B$25</c:f>
              <c:strCache>
                <c:ptCount val="1"/>
                <c:pt idx="0">
                  <c:v>BSUH Applications</c:v>
                </c:pt>
              </c:strCache>
            </c:strRef>
          </c:tx>
          <c:invertIfNegative val="0"/>
          <c:cat>
            <c:strRef>
              <c:f>SO!$A$26:$A$32</c:f>
              <c:strCache>
                <c:ptCount val="7"/>
                <c:pt idx="0">
                  <c:v>Heterosexual or Straight</c:v>
                </c:pt>
                <c:pt idx="1">
                  <c:v>Bisexual</c:v>
                </c:pt>
                <c:pt idx="2">
                  <c:v>Gay or Lesbian</c:v>
                </c:pt>
                <c:pt idx="3">
                  <c:v>Other sexual orientation not listed</c:v>
                </c:pt>
                <c:pt idx="4">
                  <c:v>Undecided</c:v>
                </c:pt>
                <c:pt idx="5">
                  <c:v>Prefer not to say</c:v>
                </c:pt>
                <c:pt idx="6">
                  <c:v>Unknown</c:v>
                </c:pt>
              </c:strCache>
            </c:strRef>
          </c:cat>
          <c:val>
            <c:numRef>
              <c:f>SO!$B$26:$B$32</c:f>
              <c:numCache>
                <c:formatCode>0.0%</c:formatCode>
                <c:ptCount val="7"/>
                <c:pt idx="0">
                  <c:v>0.84279254960183558</c:v>
                </c:pt>
                <c:pt idx="1">
                  <c:v>3.4991226886219466E-2</c:v>
                </c:pt>
                <c:pt idx="2">
                  <c:v>4.7037386961803214E-2</c:v>
                </c:pt>
                <c:pt idx="3">
                  <c:v>6.107436901066271E-3</c:v>
                </c:pt>
                <c:pt idx="4">
                  <c:v>7.2546902415980561E-3</c:v>
                </c:pt>
                <c:pt idx="5">
                  <c:v>3.9580240248346603E-2</c:v>
                </c:pt>
                <c:pt idx="6">
                  <c:v>2.2236469159130787E-2</c:v>
                </c:pt>
              </c:numCache>
            </c:numRef>
          </c:val>
        </c:ser>
        <c:ser>
          <c:idx val="1"/>
          <c:order val="1"/>
          <c:tx>
            <c:strRef>
              <c:f>SO!$C$25</c:f>
              <c:strCache>
                <c:ptCount val="1"/>
                <c:pt idx="0">
                  <c:v>BSUH Shortlisted</c:v>
                </c:pt>
              </c:strCache>
            </c:strRef>
          </c:tx>
          <c:invertIfNegative val="0"/>
          <c:cat>
            <c:strRef>
              <c:f>SO!$A$26:$A$32</c:f>
              <c:strCache>
                <c:ptCount val="7"/>
                <c:pt idx="0">
                  <c:v>Heterosexual or Straight</c:v>
                </c:pt>
                <c:pt idx="1">
                  <c:v>Bisexual</c:v>
                </c:pt>
                <c:pt idx="2">
                  <c:v>Gay or Lesbian</c:v>
                </c:pt>
                <c:pt idx="3">
                  <c:v>Other sexual orientation not listed</c:v>
                </c:pt>
                <c:pt idx="4">
                  <c:v>Undecided</c:v>
                </c:pt>
                <c:pt idx="5">
                  <c:v>Prefer not to say</c:v>
                </c:pt>
                <c:pt idx="6">
                  <c:v>Unknown</c:v>
                </c:pt>
              </c:strCache>
            </c:strRef>
          </c:cat>
          <c:val>
            <c:numRef>
              <c:f>SO!$C$26:$C$32</c:f>
              <c:numCache>
                <c:formatCode>0.0%</c:formatCode>
                <c:ptCount val="7"/>
                <c:pt idx="0">
                  <c:v>0.77472093809899656</c:v>
                </c:pt>
                <c:pt idx="1">
                  <c:v>3.5742473785094146E-2</c:v>
                </c:pt>
                <c:pt idx="2">
                  <c:v>5.8518434998308715E-2</c:v>
                </c:pt>
                <c:pt idx="3">
                  <c:v>6.0886232946217164E-3</c:v>
                </c:pt>
                <c:pt idx="4">
                  <c:v>5.9758710113879806E-3</c:v>
                </c:pt>
                <c:pt idx="5">
                  <c:v>4.5439170143195401E-2</c:v>
                </c:pt>
                <c:pt idx="6">
                  <c:v>7.3514488668395536E-2</c:v>
                </c:pt>
              </c:numCache>
            </c:numRef>
          </c:val>
        </c:ser>
        <c:ser>
          <c:idx val="2"/>
          <c:order val="2"/>
          <c:tx>
            <c:strRef>
              <c:f>SO!$D$25</c:f>
              <c:strCache>
                <c:ptCount val="1"/>
                <c:pt idx="0">
                  <c:v>BSUH Appointed</c:v>
                </c:pt>
              </c:strCache>
            </c:strRef>
          </c:tx>
          <c:invertIfNegative val="0"/>
          <c:cat>
            <c:strRef>
              <c:f>SO!$A$26:$A$32</c:f>
              <c:strCache>
                <c:ptCount val="7"/>
                <c:pt idx="0">
                  <c:v>Heterosexual or Straight</c:v>
                </c:pt>
                <c:pt idx="1">
                  <c:v>Bisexual</c:v>
                </c:pt>
                <c:pt idx="2">
                  <c:v>Gay or Lesbian</c:v>
                </c:pt>
                <c:pt idx="3">
                  <c:v>Other sexual orientation not listed</c:v>
                </c:pt>
                <c:pt idx="4">
                  <c:v>Undecided</c:v>
                </c:pt>
                <c:pt idx="5">
                  <c:v>Prefer not to say</c:v>
                </c:pt>
                <c:pt idx="6">
                  <c:v>Unknown</c:v>
                </c:pt>
              </c:strCache>
            </c:strRef>
          </c:cat>
          <c:val>
            <c:numRef>
              <c:f>SO!$D$26:$D$32</c:f>
              <c:numCache>
                <c:formatCode>0.0%</c:formatCode>
                <c:ptCount val="7"/>
                <c:pt idx="0">
                  <c:v>0.64393939393939392</c:v>
                </c:pt>
                <c:pt idx="1">
                  <c:v>2.1464646464646464E-2</c:v>
                </c:pt>
                <c:pt idx="2">
                  <c:v>5.9974747474747472E-2</c:v>
                </c:pt>
                <c:pt idx="3">
                  <c:v>6.9444444444444441E-3</c:v>
                </c:pt>
                <c:pt idx="4">
                  <c:v>1.2626262626262627E-3</c:v>
                </c:pt>
                <c:pt idx="5">
                  <c:v>3.7247474747474744E-2</c:v>
                </c:pt>
                <c:pt idx="6">
                  <c:v>0.22916666666666666</c:v>
                </c:pt>
              </c:numCache>
            </c:numRef>
          </c:val>
        </c:ser>
        <c:dLbls>
          <c:showLegendKey val="0"/>
          <c:showVal val="0"/>
          <c:showCatName val="0"/>
          <c:showSerName val="0"/>
          <c:showPercent val="0"/>
          <c:showBubbleSize val="0"/>
        </c:dLbls>
        <c:gapWidth val="150"/>
        <c:axId val="730101760"/>
        <c:axId val="730202688"/>
      </c:barChart>
      <c:scatterChart>
        <c:scatterStyle val="lineMarker"/>
        <c:varyColors val="0"/>
        <c:ser>
          <c:idx val="3"/>
          <c:order val="3"/>
          <c:tx>
            <c:strRef>
              <c:f>SO!$E$25</c:f>
              <c:strCache>
                <c:ptCount val="1"/>
                <c:pt idx="0">
                  <c:v>BSUH Workforce</c:v>
                </c:pt>
              </c:strCache>
            </c:strRef>
          </c:tx>
          <c:spPr>
            <a:ln w="28575">
              <a:noFill/>
            </a:ln>
          </c:spPr>
          <c:marker>
            <c:symbol val="circle"/>
            <c:size val="5"/>
            <c:spPr>
              <a:solidFill>
                <a:schemeClr val="accent4"/>
              </a:solidFill>
              <a:ln w="15875">
                <a:solidFill>
                  <a:schemeClr val="bg1"/>
                </a:solidFill>
              </a:ln>
            </c:spPr>
          </c:marker>
          <c:xVal>
            <c:strRef>
              <c:f>SO!$A$26:$A$32</c:f>
              <c:strCache>
                <c:ptCount val="7"/>
                <c:pt idx="0">
                  <c:v>Heterosexual or Straight</c:v>
                </c:pt>
                <c:pt idx="1">
                  <c:v>Bisexual</c:v>
                </c:pt>
                <c:pt idx="2">
                  <c:v>Gay or Lesbian</c:v>
                </c:pt>
                <c:pt idx="3">
                  <c:v>Other sexual orientation not listed</c:v>
                </c:pt>
                <c:pt idx="4">
                  <c:v>Undecided</c:v>
                </c:pt>
                <c:pt idx="5">
                  <c:v>Prefer not to say</c:v>
                </c:pt>
                <c:pt idx="6">
                  <c:v>Unknown</c:v>
                </c:pt>
              </c:strCache>
            </c:strRef>
          </c:xVal>
          <c:yVal>
            <c:numRef>
              <c:f>SO!$E$26:$E$32</c:f>
              <c:numCache>
                <c:formatCode>0.0%</c:formatCode>
                <c:ptCount val="7"/>
                <c:pt idx="0">
                  <c:v>0.72816409331680376</c:v>
                </c:pt>
                <c:pt idx="1">
                  <c:v>1.8821142792742027E-2</c:v>
                </c:pt>
                <c:pt idx="2">
                  <c:v>4.9588639693452043E-2</c:v>
                </c:pt>
                <c:pt idx="3">
                  <c:v>2.1413276231263384E-3</c:v>
                </c:pt>
                <c:pt idx="4">
                  <c:v>1.0143130846387918E-3</c:v>
                </c:pt>
                <c:pt idx="5">
                  <c:v>0.12329539051053759</c:v>
                </c:pt>
                <c:pt idx="6">
                  <c:v>7.6975092978699422E-2</c:v>
                </c:pt>
              </c:numCache>
            </c:numRef>
          </c:yVal>
          <c:smooth val="0"/>
        </c:ser>
        <c:dLbls>
          <c:showLegendKey val="0"/>
          <c:showVal val="0"/>
          <c:showCatName val="0"/>
          <c:showSerName val="0"/>
          <c:showPercent val="0"/>
          <c:showBubbleSize val="0"/>
        </c:dLbls>
        <c:axId val="730101760"/>
        <c:axId val="730202688"/>
      </c:scatterChart>
      <c:catAx>
        <c:axId val="730101760"/>
        <c:scaling>
          <c:orientation val="minMax"/>
        </c:scaling>
        <c:delete val="0"/>
        <c:axPos val="b"/>
        <c:majorTickMark val="out"/>
        <c:minorTickMark val="none"/>
        <c:tickLblPos val="nextTo"/>
        <c:crossAx val="730202688"/>
        <c:crosses val="autoZero"/>
        <c:auto val="1"/>
        <c:lblAlgn val="ctr"/>
        <c:lblOffset val="100"/>
        <c:noMultiLvlLbl val="0"/>
      </c:catAx>
      <c:valAx>
        <c:axId val="730202688"/>
        <c:scaling>
          <c:orientation val="minMax"/>
        </c:scaling>
        <c:delete val="0"/>
        <c:axPos val="l"/>
        <c:numFmt formatCode="0.0%" sourceLinked="1"/>
        <c:majorTickMark val="out"/>
        <c:minorTickMark val="none"/>
        <c:tickLblPos val="nextTo"/>
        <c:spPr>
          <a:ln>
            <a:noFill/>
          </a:ln>
        </c:spPr>
        <c:crossAx val="730101760"/>
        <c:crosses val="autoZero"/>
        <c:crossBetween val="between"/>
      </c:valAx>
    </c:plotArea>
    <c:legend>
      <c:legendPos val="r"/>
      <c:layout>
        <c:manualLayout>
          <c:xMode val="edge"/>
          <c:yMode val="edge"/>
          <c:x val="0.72245866141732296"/>
          <c:y val="4.0898950131233604E-2"/>
          <c:w val="0.21844302545623778"/>
          <c:h val="0.3159857101195683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57961504811901E-2"/>
          <c:y val="5.1400554097404488E-2"/>
          <c:w val="0.89006736657917773"/>
          <c:h val="0.67289256792740715"/>
        </c:manualLayout>
      </c:layout>
      <c:barChart>
        <c:barDir val="col"/>
        <c:grouping val="clustered"/>
        <c:varyColors val="0"/>
        <c:ser>
          <c:idx val="0"/>
          <c:order val="0"/>
          <c:tx>
            <c:strRef>
              <c:f>SO!$B$38</c:f>
              <c:strCache>
                <c:ptCount val="1"/>
                <c:pt idx="0">
                  <c:v>WSHT Applications</c:v>
                </c:pt>
              </c:strCache>
            </c:strRef>
          </c:tx>
          <c:invertIfNegative val="0"/>
          <c:cat>
            <c:strRef>
              <c:f>SO!$A$39:$A$45</c:f>
              <c:strCache>
                <c:ptCount val="7"/>
                <c:pt idx="0">
                  <c:v>Heterosexual or Straight</c:v>
                </c:pt>
                <c:pt idx="1">
                  <c:v>Bisexual</c:v>
                </c:pt>
                <c:pt idx="2">
                  <c:v>Gay or Lesbian</c:v>
                </c:pt>
                <c:pt idx="3">
                  <c:v>Other sexual orientation not listed</c:v>
                </c:pt>
                <c:pt idx="4">
                  <c:v>Undecided</c:v>
                </c:pt>
                <c:pt idx="5">
                  <c:v>Prefer not to say</c:v>
                </c:pt>
                <c:pt idx="6">
                  <c:v>Unknown</c:v>
                </c:pt>
              </c:strCache>
            </c:strRef>
          </c:cat>
          <c:val>
            <c:numRef>
              <c:f>SO!$B$39:$B$45</c:f>
              <c:numCache>
                <c:formatCode>0.0%</c:formatCode>
                <c:ptCount val="7"/>
                <c:pt idx="0">
                  <c:v>0.91935640205486091</c:v>
                </c:pt>
                <c:pt idx="1">
                  <c:v>1.7689250751187359E-2</c:v>
                </c:pt>
                <c:pt idx="2">
                  <c:v>2.2341766017253076E-2</c:v>
                </c:pt>
                <c:pt idx="3">
                  <c:v>3.0047494426674419E-3</c:v>
                </c:pt>
                <c:pt idx="4">
                  <c:v>4.410196762624794E-3</c:v>
                </c:pt>
                <c:pt idx="5">
                  <c:v>2.9126684113598915E-2</c:v>
                </c:pt>
                <c:pt idx="6">
                  <c:v>4.0709508578075024E-3</c:v>
                </c:pt>
              </c:numCache>
            </c:numRef>
          </c:val>
        </c:ser>
        <c:ser>
          <c:idx val="1"/>
          <c:order val="1"/>
          <c:tx>
            <c:strRef>
              <c:f>SO!$C$38</c:f>
              <c:strCache>
                <c:ptCount val="1"/>
                <c:pt idx="0">
                  <c:v>WSHT Shortlisted</c:v>
                </c:pt>
              </c:strCache>
            </c:strRef>
          </c:tx>
          <c:invertIfNegative val="0"/>
          <c:cat>
            <c:strRef>
              <c:f>SO!$A$39:$A$45</c:f>
              <c:strCache>
                <c:ptCount val="7"/>
                <c:pt idx="0">
                  <c:v>Heterosexual or Straight</c:v>
                </c:pt>
                <c:pt idx="1">
                  <c:v>Bisexual</c:v>
                </c:pt>
                <c:pt idx="2">
                  <c:v>Gay or Lesbian</c:v>
                </c:pt>
                <c:pt idx="3">
                  <c:v>Other sexual orientation not listed</c:v>
                </c:pt>
                <c:pt idx="4">
                  <c:v>Undecided</c:v>
                </c:pt>
                <c:pt idx="5">
                  <c:v>Prefer not to say</c:v>
                </c:pt>
                <c:pt idx="6">
                  <c:v>Unknown</c:v>
                </c:pt>
              </c:strCache>
            </c:strRef>
          </c:cat>
          <c:val>
            <c:numRef>
              <c:f>SO!$C$39:$C$45</c:f>
              <c:numCache>
                <c:formatCode>0.0%</c:formatCode>
                <c:ptCount val="7"/>
                <c:pt idx="0">
                  <c:v>0.89549867608120037</c:v>
                </c:pt>
                <c:pt idx="1">
                  <c:v>2.1888790820829656E-2</c:v>
                </c:pt>
                <c:pt idx="2">
                  <c:v>2.9302736098852603E-2</c:v>
                </c:pt>
                <c:pt idx="3">
                  <c:v>2.118270079435128E-3</c:v>
                </c:pt>
                <c:pt idx="4">
                  <c:v>2.6478375992939102E-3</c:v>
                </c:pt>
                <c:pt idx="5">
                  <c:v>3.3715798764342456E-2</c:v>
                </c:pt>
                <c:pt idx="6">
                  <c:v>1.4827890556045897E-2</c:v>
                </c:pt>
              </c:numCache>
            </c:numRef>
          </c:val>
        </c:ser>
        <c:ser>
          <c:idx val="2"/>
          <c:order val="2"/>
          <c:tx>
            <c:strRef>
              <c:f>SO!$D$38</c:f>
              <c:strCache>
                <c:ptCount val="1"/>
                <c:pt idx="0">
                  <c:v>WSHT Appointed</c:v>
                </c:pt>
              </c:strCache>
            </c:strRef>
          </c:tx>
          <c:invertIfNegative val="0"/>
          <c:cat>
            <c:strRef>
              <c:f>SO!$A$39:$A$45</c:f>
              <c:strCache>
                <c:ptCount val="7"/>
                <c:pt idx="0">
                  <c:v>Heterosexual or Straight</c:v>
                </c:pt>
                <c:pt idx="1">
                  <c:v>Bisexual</c:v>
                </c:pt>
                <c:pt idx="2">
                  <c:v>Gay or Lesbian</c:v>
                </c:pt>
                <c:pt idx="3">
                  <c:v>Other sexual orientation not listed</c:v>
                </c:pt>
                <c:pt idx="4">
                  <c:v>Undecided</c:v>
                </c:pt>
                <c:pt idx="5">
                  <c:v>Prefer not to say</c:v>
                </c:pt>
                <c:pt idx="6">
                  <c:v>Unknown</c:v>
                </c:pt>
              </c:strCache>
            </c:strRef>
          </c:cat>
          <c:val>
            <c:numRef>
              <c:f>SO!$D$39:$D$45</c:f>
              <c:numCache>
                <c:formatCode>0.0%</c:formatCode>
                <c:ptCount val="7"/>
                <c:pt idx="0">
                  <c:v>0.88908765652951705</c:v>
                </c:pt>
                <c:pt idx="1">
                  <c:v>1.9677996422182469E-2</c:v>
                </c:pt>
                <c:pt idx="2">
                  <c:v>2.3255813953488372E-2</c:v>
                </c:pt>
                <c:pt idx="3">
                  <c:v>0</c:v>
                </c:pt>
                <c:pt idx="4">
                  <c:v>1.7889087656529517E-3</c:v>
                </c:pt>
                <c:pt idx="5">
                  <c:v>2.6833631484794274E-2</c:v>
                </c:pt>
                <c:pt idx="6">
                  <c:v>3.9355992844364938E-2</c:v>
                </c:pt>
              </c:numCache>
            </c:numRef>
          </c:val>
        </c:ser>
        <c:dLbls>
          <c:showLegendKey val="0"/>
          <c:showVal val="0"/>
          <c:showCatName val="0"/>
          <c:showSerName val="0"/>
          <c:showPercent val="0"/>
          <c:showBubbleSize val="0"/>
        </c:dLbls>
        <c:gapWidth val="150"/>
        <c:axId val="730102272"/>
        <c:axId val="730204416"/>
      </c:barChart>
      <c:scatterChart>
        <c:scatterStyle val="lineMarker"/>
        <c:varyColors val="0"/>
        <c:ser>
          <c:idx val="3"/>
          <c:order val="3"/>
          <c:tx>
            <c:strRef>
              <c:f>SO!$E$38</c:f>
              <c:strCache>
                <c:ptCount val="1"/>
                <c:pt idx="0">
                  <c:v>WSHT Workforce</c:v>
                </c:pt>
              </c:strCache>
            </c:strRef>
          </c:tx>
          <c:spPr>
            <a:ln w="28575">
              <a:noFill/>
            </a:ln>
          </c:spPr>
          <c:marker>
            <c:symbol val="circle"/>
            <c:size val="5"/>
            <c:spPr>
              <a:solidFill>
                <a:schemeClr val="accent4"/>
              </a:solidFill>
              <a:ln w="15875">
                <a:solidFill>
                  <a:schemeClr val="bg1"/>
                </a:solidFill>
              </a:ln>
            </c:spPr>
          </c:marker>
          <c:xVal>
            <c:strRef>
              <c:f>SO!$A$39:$A$45</c:f>
              <c:strCache>
                <c:ptCount val="7"/>
                <c:pt idx="0">
                  <c:v>Heterosexual or Straight</c:v>
                </c:pt>
                <c:pt idx="1">
                  <c:v>Bisexual</c:v>
                </c:pt>
                <c:pt idx="2">
                  <c:v>Gay or Lesbian</c:v>
                </c:pt>
                <c:pt idx="3">
                  <c:v>Other sexual orientation not listed</c:v>
                </c:pt>
                <c:pt idx="4">
                  <c:v>Undecided</c:v>
                </c:pt>
                <c:pt idx="5">
                  <c:v>Prefer not to say</c:v>
                </c:pt>
                <c:pt idx="6">
                  <c:v>Unknown</c:v>
                </c:pt>
              </c:strCache>
            </c:strRef>
          </c:xVal>
          <c:yVal>
            <c:numRef>
              <c:f>SO!$E$39:$E$45</c:f>
              <c:numCache>
                <c:formatCode>0.0%</c:formatCode>
                <c:ptCount val="7"/>
                <c:pt idx="0">
                  <c:v>0.76858624817129939</c:v>
                </c:pt>
                <c:pt idx="1">
                  <c:v>8.9107594094959431E-3</c:v>
                </c:pt>
                <c:pt idx="2">
                  <c:v>1.6358558318925388E-2</c:v>
                </c:pt>
                <c:pt idx="3">
                  <c:v>2.6599281819390878E-4</c:v>
                </c:pt>
                <c:pt idx="4">
                  <c:v>2.6599281819390878E-4</c:v>
                </c:pt>
                <c:pt idx="5">
                  <c:v>0.19882963159994679</c:v>
                </c:pt>
                <c:pt idx="6">
                  <c:v>6.7828168639446733E-3</c:v>
                </c:pt>
              </c:numCache>
            </c:numRef>
          </c:yVal>
          <c:smooth val="0"/>
        </c:ser>
        <c:dLbls>
          <c:showLegendKey val="0"/>
          <c:showVal val="0"/>
          <c:showCatName val="0"/>
          <c:showSerName val="0"/>
          <c:showPercent val="0"/>
          <c:showBubbleSize val="0"/>
        </c:dLbls>
        <c:axId val="730102272"/>
        <c:axId val="730204416"/>
      </c:scatterChart>
      <c:catAx>
        <c:axId val="730102272"/>
        <c:scaling>
          <c:orientation val="minMax"/>
        </c:scaling>
        <c:delete val="0"/>
        <c:axPos val="b"/>
        <c:majorTickMark val="out"/>
        <c:minorTickMark val="none"/>
        <c:tickLblPos val="nextTo"/>
        <c:crossAx val="730204416"/>
        <c:crosses val="autoZero"/>
        <c:auto val="1"/>
        <c:lblAlgn val="ctr"/>
        <c:lblOffset val="100"/>
        <c:noMultiLvlLbl val="0"/>
      </c:catAx>
      <c:valAx>
        <c:axId val="730204416"/>
        <c:scaling>
          <c:orientation val="minMax"/>
        </c:scaling>
        <c:delete val="0"/>
        <c:axPos val="l"/>
        <c:numFmt formatCode="0.0%" sourceLinked="1"/>
        <c:majorTickMark val="out"/>
        <c:minorTickMark val="none"/>
        <c:tickLblPos val="nextTo"/>
        <c:spPr>
          <a:ln>
            <a:noFill/>
          </a:ln>
        </c:spPr>
        <c:crossAx val="730102272"/>
        <c:crosses val="autoZero"/>
        <c:crossBetween val="between"/>
      </c:valAx>
    </c:plotArea>
    <c:legend>
      <c:legendPos val="r"/>
      <c:layout>
        <c:manualLayout>
          <c:xMode val="edge"/>
          <c:yMode val="edge"/>
          <c:x val="0.72245866141732296"/>
          <c:y val="4.0898950131233604E-2"/>
          <c:w val="0.21844302545623778"/>
          <c:h val="0.3159857101195683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76511506425037434"/>
          <c:h val="0.84593105954964687"/>
        </c:manualLayout>
      </c:layout>
      <c:barChart>
        <c:barDir val="col"/>
        <c:grouping val="clustered"/>
        <c:varyColors val="0"/>
        <c:ser>
          <c:idx val="0"/>
          <c:order val="0"/>
          <c:tx>
            <c:strRef>
              <c:f>'B Age'!$C$29</c:f>
              <c:strCache>
                <c:ptCount val="1"/>
                <c:pt idx="0">
                  <c:v>Harassment Cases %</c:v>
                </c:pt>
              </c:strCache>
            </c:strRef>
          </c:tx>
          <c:spPr>
            <a:solidFill>
              <a:schemeClr val="tx2">
                <a:lumMod val="40000"/>
                <a:lumOff val="60000"/>
              </a:schemeClr>
            </a:solidFill>
          </c:spPr>
          <c:invertIfNegative val="0"/>
          <c:cat>
            <c:strRef>
              <c:f>'B Age'!$A$30:$A$39</c:f>
              <c:strCache>
                <c:ptCount val="10"/>
                <c:pt idx="0">
                  <c:v>21 - 25</c:v>
                </c:pt>
                <c:pt idx="1">
                  <c:v>26 - 30</c:v>
                </c:pt>
                <c:pt idx="2">
                  <c:v>31 - 35</c:v>
                </c:pt>
                <c:pt idx="3">
                  <c:v>36 - 40</c:v>
                </c:pt>
                <c:pt idx="4">
                  <c:v>41 - 45</c:v>
                </c:pt>
                <c:pt idx="5">
                  <c:v>46 - 50</c:v>
                </c:pt>
                <c:pt idx="6">
                  <c:v>51 - 55</c:v>
                </c:pt>
                <c:pt idx="7">
                  <c:v>56 - 60</c:v>
                </c:pt>
                <c:pt idx="8">
                  <c:v>61 - 65</c:v>
                </c:pt>
                <c:pt idx="9">
                  <c:v>66 - 70</c:v>
                </c:pt>
              </c:strCache>
            </c:strRef>
          </c:cat>
          <c:val>
            <c:numRef>
              <c:f>'B Age'!$C$30:$C$39</c:f>
              <c:numCache>
                <c:formatCode>General</c:formatCode>
                <c:ptCount val="10"/>
                <c:pt idx="6" formatCode="0%">
                  <c:v>0.25</c:v>
                </c:pt>
                <c:pt idx="7" formatCode="0%">
                  <c:v>0.5</c:v>
                </c:pt>
                <c:pt idx="9" formatCode="0%">
                  <c:v>0.25</c:v>
                </c:pt>
              </c:numCache>
            </c:numRef>
          </c:val>
        </c:ser>
        <c:ser>
          <c:idx val="1"/>
          <c:order val="1"/>
          <c:tx>
            <c:strRef>
              <c:f>'B Age'!$E$29</c:f>
              <c:strCache>
                <c:ptCount val="1"/>
                <c:pt idx="0">
                  <c:v>Grievance Cases %</c:v>
                </c:pt>
              </c:strCache>
            </c:strRef>
          </c:tx>
          <c:spPr>
            <a:solidFill>
              <a:schemeClr val="accent2">
                <a:lumMod val="40000"/>
                <a:lumOff val="60000"/>
              </a:schemeClr>
            </a:solidFill>
          </c:spPr>
          <c:invertIfNegative val="0"/>
          <c:cat>
            <c:strRef>
              <c:f>'B Age'!$A$30:$A$39</c:f>
              <c:strCache>
                <c:ptCount val="10"/>
                <c:pt idx="0">
                  <c:v>21 - 25</c:v>
                </c:pt>
                <c:pt idx="1">
                  <c:v>26 - 30</c:v>
                </c:pt>
                <c:pt idx="2">
                  <c:v>31 - 35</c:v>
                </c:pt>
                <c:pt idx="3">
                  <c:v>36 - 40</c:v>
                </c:pt>
                <c:pt idx="4">
                  <c:v>41 - 45</c:v>
                </c:pt>
                <c:pt idx="5">
                  <c:v>46 - 50</c:v>
                </c:pt>
                <c:pt idx="6">
                  <c:v>51 - 55</c:v>
                </c:pt>
                <c:pt idx="7">
                  <c:v>56 - 60</c:v>
                </c:pt>
                <c:pt idx="8">
                  <c:v>61 - 65</c:v>
                </c:pt>
                <c:pt idx="9">
                  <c:v>66 - 70</c:v>
                </c:pt>
              </c:strCache>
            </c:strRef>
          </c:cat>
          <c:val>
            <c:numRef>
              <c:f>'B Age'!$E$30:$E$39</c:f>
              <c:numCache>
                <c:formatCode>General</c:formatCode>
                <c:ptCount val="10"/>
                <c:pt idx="3" formatCode="0%">
                  <c:v>0.1111111111111111</c:v>
                </c:pt>
                <c:pt idx="4" formatCode="0%">
                  <c:v>0.1111111111111111</c:v>
                </c:pt>
                <c:pt idx="5" formatCode="0%">
                  <c:v>0.1111111111111111</c:v>
                </c:pt>
                <c:pt idx="6" formatCode="0%">
                  <c:v>0.44444444444444442</c:v>
                </c:pt>
                <c:pt idx="7" formatCode="0%">
                  <c:v>0.1111111111111111</c:v>
                </c:pt>
                <c:pt idx="9" formatCode="0%">
                  <c:v>0.1111111111111111</c:v>
                </c:pt>
              </c:numCache>
            </c:numRef>
          </c:val>
        </c:ser>
        <c:ser>
          <c:idx val="2"/>
          <c:order val="2"/>
          <c:tx>
            <c:strRef>
              <c:f>'B Age'!$G$29</c:f>
              <c:strCache>
                <c:ptCount val="1"/>
                <c:pt idx="0">
                  <c:v>Disciplinary Cases %</c:v>
                </c:pt>
              </c:strCache>
            </c:strRef>
          </c:tx>
          <c:spPr>
            <a:solidFill>
              <a:schemeClr val="accent3">
                <a:lumMod val="40000"/>
                <a:lumOff val="60000"/>
              </a:schemeClr>
            </a:solidFill>
            <a:ln w="28575">
              <a:noFill/>
            </a:ln>
          </c:spPr>
          <c:invertIfNegative val="0"/>
          <c:cat>
            <c:strRef>
              <c:f>'B Age'!$A$30:$A$39</c:f>
              <c:strCache>
                <c:ptCount val="10"/>
                <c:pt idx="0">
                  <c:v>21 - 25</c:v>
                </c:pt>
                <c:pt idx="1">
                  <c:v>26 - 30</c:v>
                </c:pt>
                <c:pt idx="2">
                  <c:v>31 - 35</c:v>
                </c:pt>
                <c:pt idx="3">
                  <c:v>36 - 40</c:v>
                </c:pt>
                <c:pt idx="4">
                  <c:v>41 - 45</c:v>
                </c:pt>
                <c:pt idx="5">
                  <c:v>46 - 50</c:v>
                </c:pt>
                <c:pt idx="6">
                  <c:v>51 - 55</c:v>
                </c:pt>
                <c:pt idx="7">
                  <c:v>56 - 60</c:v>
                </c:pt>
                <c:pt idx="8">
                  <c:v>61 - 65</c:v>
                </c:pt>
                <c:pt idx="9">
                  <c:v>66 - 70</c:v>
                </c:pt>
              </c:strCache>
            </c:strRef>
          </c:cat>
          <c:val>
            <c:numRef>
              <c:f>'B Age'!$G$30:$G$39</c:f>
              <c:numCache>
                <c:formatCode>0%</c:formatCode>
                <c:ptCount val="10"/>
                <c:pt idx="0">
                  <c:v>8.6956521739130432E-2</c:v>
                </c:pt>
                <c:pt idx="1">
                  <c:v>0.13043478260869565</c:v>
                </c:pt>
                <c:pt idx="2">
                  <c:v>8.6956521739130432E-2</c:v>
                </c:pt>
                <c:pt idx="3">
                  <c:v>8.6956521739130432E-2</c:v>
                </c:pt>
                <c:pt idx="4">
                  <c:v>0.17391304347826086</c:v>
                </c:pt>
                <c:pt idx="5">
                  <c:v>8.6956521739130432E-2</c:v>
                </c:pt>
                <c:pt idx="6">
                  <c:v>0.17391304347826086</c:v>
                </c:pt>
                <c:pt idx="7">
                  <c:v>4.3478260869565216E-2</c:v>
                </c:pt>
                <c:pt idx="8">
                  <c:v>8.6956521739130432E-2</c:v>
                </c:pt>
                <c:pt idx="9">
                  <c:v>4.3478260869565216E-2</c:v>
                </c:pt>
              </c:numCache>
            </c:numRef>
          </c:val>
        </c:ser>
        <c:dLbls>
          <c:showLegendKey val="0"/>
          <c:showVal val="0"/>
          <c:showCatName val="0"/>
          <c:showSerName val="0"/>
          <c:showPercent val="0"/>
          <c:showBubbleSize val="0"/>
        </c:dLbls>
        <c:gapWidth val="150"/>
        <c:axId val="170030592"/>
        <c:axId val="169986304"/>
      </c:barChart>
      <c:scatterChart>
        <c:scatterStyle val="lineMarker"/>
        <c:varyColors val="0"/>
        <c:ser>
          <c:idx val="3"/>
          <c:order val="3"/>
          <c:tx>
            <c:strRef>
              <c:f>'B Age'!$H$29</c:f>
              <c:strCache>
                <c:ptCount val="1"/>
                <c:pt idx="0">
                  <c:v>Workforce Represenation %</c:v>
                </c:pt>
              </c:strCache>
            </c:strRef>
          </c:tx>
          <c:spPr>
            <a:ln w="28575">
              <a:noFill/>
            </a:ln>
          </c:spPr>
          <c:marker>
            <c:symbol val="dash"/>
            <c:size val="11"/>
            <c:spPr>
              <a:solidFill>
                <a:srgbClr val="41B6E6"/>
              </a:solidFill>
              <a:ln w="12700">
                <a:solidFill>
                  <a:schemeClr val="bg1"/>
                </a:solidFill>
              </a:ln>
            </c:spPr>
          </c:marker>
          <c:xVal>
            <c:strRef>
              <c:f>'B Age'!$A$30:$A$39</c:f>
              <c:strCache>
                <c:ptCount val="10"/>
                <c:pt idx="0">
                  <c:v>21 - 25</c:v>
                </c:pt>
                <c:pt idx="1">
                  <c:v>26 - 30</c:v>
                </c:pt>
                <c:pt idx="2">
                  <c:v>31 - 35</c:v>
                </c:pt>
                <c:pt idx="3">
                  <c:v>36 - 40</c:v>
                </c:pt>
                <c:pt idx="4">
                  <c:v>41 - 45</c:v>
                </c:pt>
                <c:pt idx="5">
                  <c:v>46 - 50</c:v>
                </c:pt>
                <c:pt idx="6">
                  <c:v>51 - 55</c:v>
                </c:pt>
                <c:pt idx="7">
                  <c:v>56 - 60</c:v>
                </c:pt>
                <c:pt idx="8">
                  <c:v>61 - 65</c:v>
                </c:pt>
                <c:pt idx="9">
                  <c:v>66 - 70</c:v>
                </c:pt>
              </c:strCache>
            </c:strRef>
          </c:xVal>
          <c:yVal>
            <c:numRef>
              <c:f>'B Age'!$H$30:$H$39</c:f>
              <c:numCache>
                <c:formatCode>0.0%</c:formatCode>
                <c:ptCount val="10"/>
                <c:pt idx="0">
                  <c:v>6.3450918516848864E-2</c:v>
                </c:pt>
                <c:pt idx="1">
                  <c:v>0.13264961117998422</c:v>
                </c:pt>
                <c:pt idx="2">
                  <c:v>0.14234193621097713</c:v>
                </c:pt>
                <c:pt idx="3">
                  <c:v>0.12126676434126001</c:v>
                </c:pt>
                <c:pt idx="4">
                  <c:v>0.12261918178744506</c:v>
                </c:pt>
                <c:pt idx="5">
                  <c:v>0.12814155302603403</c:v>
                </c:pt>
                <c:pt idx="6">
                  <c:v>0.11878733235658739</c:v>
                </c:pt>
                <c:pt idx="7">
                  <c:v>9.4781922686802661E-2</c:v>
                </c:pt>
                <c:pt idx="8">
                  <c:v>5.4660205116646002E-2</c:v>
                </c:pt>
                <c:pt idx="9">
                  <c:v>1.1720951200270483E-2</c:v>
                </c:pt>
              </c:numCache>
            </c:numRef>
          </c:yVal>
          <c:smooth val="0"/>
        </c:ser>
        <c:dLbls>
          <c:showLegendKey val="0"/>
          <c:showVal val="0"/>
          <c:showCatName val="0"/>
          <c:showSerName val="0"/>
          <c:showPercent val="0"/>
          <c:showBubbleSize val="0"/>
        </c:dLbls>
        <c:axId val="170030592"/>
        <c:axId val="169986304"/>
      </c:scatterChart>
      <c:catAx>
        <c:axId val="170030592"/>
        <c:scaling>
          <c:orientation val="minMax"/>
        </c:scaling>
        <c:delete val="0"/>
        <c:axPos val="b"/>
        <c:majorTickMark val="out"/>
        <c:minorTickMark val="none"/>
        <c:tickLblPos val="nextTo"/>
        <c:spPr>
          <a:ln>
            <a:noFill/>
          </a:ln>
        </c:spPr>
        <c:crossAx val="169986304"/>
        <c:crosses val="autoZero"/>
        <c:auto val="1"/>
        <c:lblAlgn val="ctr"/>
        <c:lblOffset val="100"/>
        <c:noMultiLvlLbl val="0"/>
      </c:catAx>
      <c:valAx>
        <c:axId val="169986304"/>
        <c:scaling>
          <c:orientation val="minMax"/>
        </c:scaling>
        <c:delete val="0"/>
        <c:axPos val="l"/>
        <c:numFmt formatCode="0%" sourceLinked="0"/>
        <c:majorTickMark val="out"/>
        <c:minorTickMark val="none"/>
        <c:tickLblPos val="nextTo"/>
        <c:spPr>
          <a:ln>
            <a:noFill/>
          </a:ln>
        </c:spPr>
        <c:crossAx val="170030592"/>
        <c:crosses val="autoZero"/>
        <c:crossBetween val="between"/>
      </c:valAx>
    </c:plotArea>
    <c:legend>
      <c:legendPos val="r"/>
      <c:layout>
        <c:manualLayout>
          <c:xMode val="edge"/>
          <c:yMode val="edge"/>
          <c:x val="6.5487414669695584E-2"/>
          <c:y val="2.6875801643303252E-2"/>
          <c:w val="0.92201251416241081"/>
          <c:h val="0.13528419382916443"/>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'B SO'!$A$2</c:f>
              <c:strCache>
                <c:ptCount val="1"/>
                <c:pt idx="0">
                  <c:v>Bisexual</c:v>
                </c:pt>
              </c:strCache>
            </c:strRef>
          </c:tx>
          <c:invertIfNegative val="0"/>
          <c:val>
            <c:numRef>
              <c:f>'B SO'!$B$2</c:f>
              <c:numCache>
                <c:formatCode>General</c:formatCode>
                <c:ptCount val="1"/>
                <c:pt idx="0">
                  <c:v>9</c:v>
                </c:pt>
              </c:numCache>
            </c:numRef>
          </c:val>
        </c:ser>
        <c:ser>
          <c:idx val="1"/>
          <c:order val="1"/>
          <c:tx>
            <c:strRef>
              <c:f>'B SO'!$A$3</c:f>
              <c:strCache>
                <c:ptCount val="1"/>
                <c:pt idx="0">
                  <c:v>Gay or Lesbian</c:v>
                </c:pt>
              </c:strCache>
            </c:strRef>
          </c:tx>
          <c:invertIfNegative val="0"/>
          <c:val>
            <c:numRef>
              <c:f>'B SO'!$B$3</c:f>
              <c:numCache>
                <c:formatCode>General</c:formatCode>
                <c:ptCount val="1"/>
                <c:pt idx="0">
                  <c:v>15</c:v>
                </c:pt>
              </c:numCache>
            </c:numRef>
          </c:val>
        </c:ser>
        <c:ser>
          <c:idx val="2"/>
          <c:order val="2"/>
          <c:tx>
            <c:strRef>
              <c:f>'B SO'!$A$4</c:f>
              <c:strCache>
                <c:ptCount val="1"/>
                <c:pt idx="0">
                  <c:v>Heterosexual</c:v>
                </c:pt>
              </c:strCache>
            </c:strRef>
          </c:tx>
          <c:invertIfNegative val="0"/>
          <c:val>
            <c:numRef>
              <c:f>'B SO'!$B$4</c:f>
              <c:numCache>
                <c:formatCode>General</c:formatCode>
                <c:ptCount val="1"/>
                <c:pt idx="0">
                  <c:v>289</c:v>
                </c:pt>
              </c:numCache>
            </c:numRef>
          </c:val>
        </c:ser>
        <c:ser>
          <c:idx val="3"/>
          <c:order val="3"/>
          <c:tx>
            <c:strRef>
              <c:f>'B SO'!$A$6</c:f>
              <c:strCache>
                <c:ptCount val="1"/>
                <c:pt idx="0">
                  <c:v>Prefer not to say</c:v>
                </c:pt>
              </c:strCache>
            </c:strRef>
          </c:tx>
          <c:invertIfNegative val="0"/>
          <c:val>
            <c:numRef>
              <c:f>'B SO'!$B$6</c:f>
              <c:numCache>
                <c:formatCode>General</c:formatCode>
                <c:ptCount val="1"/>
                <c:pt idx="0">
                  <c:v>21</c:v>
                </c:pt>
              </c:numCache>
            </c:numRef>
          </c:val>
        </c:ser>
        <c:dLbls>
          <c:showLegendKey val="0"/>
          <c:showVal val="0"/>
          <c:showCatName val="0"/>
          <c:showSerName val="0"/>
          <c:showPercent val="0"/>
          <c:showBubbleSize val="0"/>
        </c:dLbls>
        <c:gapWidth val="100"/>
        <c:overlap val="100"/>
        <c:axId val="769429504"/>
        <c:axId val="730206144"/>
      </c:barChart>
      <c:valAx>
        <c:axId val="730206144"/>
        <c:scaling>
          <c:orientation val="minMax"/>
        </c:scaling>
        <c:delete val="0"/>
        <c:axPos val="b"/>
        <c:numFmt formatCode="0%" sourceLinked="1"/>
        <c:majorTickMark val="out"/>
        <c:minorTickMark val="none"/>
        <c:tickLblPos val="nextTo"/>
        <c:spPr>
          <a:ln>
            <a:noFill/>
          </a:ln>
        </c:spPr>
        <c:crossAx val="769429504"/>
        <c:crosses val="autoZero"/>
        <c:crossBetween val="between"/>
      </c:valAx>
      <c:catAx>
        <c:axId val="769429504"/>
        <c:scaling>
          <c:orientation val="minMax"/>
        </c:scaling>
        <c:delete val="1"/>
        <c:axPos val="l"/>
        <c:majorTickMark val="out"/>
        <c:minorTickMark val="none"/>
        <c:tickLblPos val="nextTo"/>
        <c:crossAx val="730206144"/>
        <c:crosses val="autoZero"/>
        <c:auto val="1"/>
        <c:lblAlgn val="ctr"/>
        <c:lblOffset val="100"/>
        <c:noMultiLvlLbl val="0"/>
      </c:catAx>
    </c:plotArea>
    <c:legend>
      <c:legendPos val="r"/>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'W SO'!$A$2</c:f>
              <c:strCache>
                <c:ptCount val="1"/>
                <c:pt idx="0">
                  <c:v>Bisexual</c:v>
                </c:pt>
              </c:strCache>
            </c:strRef>
          </c:tx>
          <c:invertIfNegative val="0"/>
          <c:val>
            <c:numRef>
              <c:f>'W SO'!$B$2</c:f>
              <c:numCache>
                <c:formatCode>General</c:formatCode>
                <c:ptCount val="1"/>
                <c:pt idx="0">
                  <c:v>34</c:v>
                </c:pt>
              </c:numCache>
            </c:numRef>
          </c:val>
        </c:ser>
        <c:ser>
          <c:idx val="1"/>
          <c:order val="1"/>
          <c:tx>
            <c:strRef>
              <c:f>'W SO'!$A$3</c:f>
              <c:strCache>
                <c:ptCount val="1"/>
                <c:pt idx="0">
                  <c:v>Gay or Lesbian</c:v>
                </c:pt>
              </c:strCache>
            </c:strRef>
          </c:tx>
          <c:invertIfNegative val="0"/>
          <c:val>
            <c:numRef>
              <c:f>'W SO'!$B$3</c:f>
              <c:numCache>
                <c:formatCode>General</c:formatCode>
                <c:ptCount val="1"/>
                <c:pt idx="0">
                  <c:v>56</c:v>
                </c:pt>
              </c:numCache>
            </c:numRef>
          </c:val>
        </c:ser>
        <c:ser>
          <c:idx val="2"/>
          <c:order val="2"/>
          <c:tx>
            <c:strRef>
              <c:f>'W SO'!$A$4</c:f>
              <c:strCache>
                <c:ptCount val="1"/>
                <c:pt idx="0">
                  <c:v>Heterosexual</c:v>
                </c:pt>
              </c:strCache>
            </c:strRef>
          </c:tx>
          <c:invertIfNegative val="0"/>
          <c:val>
            <c:numRef>
              <c:f>'W SO'!$B$4</c:f>
              <c:numCache>
                <c:formatCode>General</c:formatCode>
                <c:ptCount val="1"/>
                <c:pt idx="0">
                  <c:v>2138</c:v>
                </c:pt>
              </c:numCache>
            </c:numRef>
          </c:val>
        </c:ser>
        <c:ser>
          <c:idx val="3"/>
          <c:order val="3"/>
          <c:tx>
            <c:strRef>
              <c:f>'W SO'!$A$5</c:f>
              <c:strCache>
                <c:ptCount val="1"/>
                <c:pt idx="0">
                  <c:v>Other sexual orientation not listed</c:v>
                </c:pt>
              </c:strCache>
            </c:strRef>
          </c:tx>
          <c:invertIfNegative val="0"/>
          <c:val>
            <c:numRef>
              <c:f>'W SO'!$B$5</c:f>
              <c:numCache>
                <c:formatCode>General</c:formatCode>
                <c:ptCount val="1"/>
                <c:pt idx="0">
                  <c:v>1</c:v>
                </c:pt>
              </c:numCache>
            </c:numRef>
          </c:val>
        </c:ser>
        <c:ser>
          <c:idx val="4"/>
          <c:order val="4"/>
          <c:tx>
            <c:strRef>
              <c:f>'W SO'!$A$6</c:f>
              <c:strCache>
                <c:ptCount val="1"/>
                <c:pt idx="0">
                  <c:v>Prefer not to say</c:v>
                </c:pt>
              </c:strCache>
            </c:strRef>
          </c:tx>
          <c:invertIfNegative val="0"/>
          <c:val>
            <c:numRef>
              <c:f>'W SO'!$B$6</c:f>
              <c:numCache>
                <c:formatCode>General</c:formatCode>
                <c:ptCount val="1"/>
                <c:pt idx="0">
                  <c:v>494</c:v>
                </c:pt>
              </c:numCache>
            </c:numRef>
          </c:val>
        </c:ser>
        <c:ser>
          <c:idx val="5"/>
          <c:order val="5"/>
          <c:tx>
            <c:strRef>
              <c:f>'W SO'!$A$7</c:f>
              <c:strCache>
                <c:ptCount val="1"/>
                <c:pt idx="0">
                  <c:v>Undecided</c:v>
                </c:pt>
              </c:strCache>
            </c:strRef>
          </c:tx>
          <c:invertIfNegative val="0"/>
          <c:val>
            <c:numRef>
              <c:f>'W SO'!$B$7</c:f>
              <c:numCache>
                <c:formatCode>General</c:formatCode>
                <c:ptCount val="1"/>
                <c:pt idx="0">
                  <c:v>1</c:v>
                </c:pt>
              </c:numCache>
            </c:numRef>
          </c:val>
        </c:ser>
        <c:ser>
          <c:idx val="6"/>
          <c:order val="6"/>
          <c:tx>
            <c:strRef>
              <c:f>'W SO'!$A$8</c:f>
              <c:strCache>
                <c:ptCount val="1"/>
                <c:pt idx="0">
                  <c:v>Unknown</c:v>
                </c:pt>
              </c:strCache>
            </c:strRef>
          </c:tx>
          <c:invertIfNegative val="0"/>
          <c:val>
            <c:numRef>
              <c:f>'W SO'!$B$8</c:f>
              <c:numCache>
                <c:formatCode>General</c:formatCode>
                <c:ptCount val="1"/>
                <c:pt idx="0">
                  <c:v>17</c:v>
                </c:pt>
              </c:numCache>
            </c:numRef>
          </c:val>
        </c:ser>
        <c:dLbls>
          <c:showLegendKey val="0"/>
          <c:showVal val="0"/>
          <c:showCatName val="0"/>
          <c:showSerName val="0"/>
          <c:showPercent val="0"/>
          <c:showBubbleSize val="0"/>
        </c:dLbls>
        <c:gapWidth val="100"/>
        <c:overlap val="100"/>
        <c:axId val="769431040"/>
        <c:axId val="730207872"/>
      </c:barChart>
      <c:valAx>
        <c:axId val="730207872"/>
        <c:scaling>
          <c:orientation val="minMax"/>
        </c:scaling>
        <c:delete val="0"/>
        <c:axPos val="b"/>
        <c:numFmt formatCode="0%" sourceLinked="1"/>
        <c:majorTickMark val="out"/>
        <c:minorTickMark val="none"/>
        <c:tickLblPos val="nextTo"/>
        <c:spPr>
          <a:ln>
            <a:noFill/>
          </a:ln>
        </c:spPr>
        <c:crossAx val="769431040"/>
        <c:crosses val="autoZero"/>
        <c:crossBetween val="between"/>
      </c:valAx>
      <c:catAx>
        <c:axId val="769431040"/>
        <c:scaling>
          <c:orientation val="minMax"/>
        </c:scaling>
        <c:delete val="1"/>
        <c:axPos val="l"/>
        <c:majorTickMark val="out"/>
        <c:minorTickMark val="none"/>
        <c:tickLblPos val="nextTo"/>
        <c:crossAx val="730207872"/>
        <c:crosses val="autoZero"/>
        <c:auto val="1"/>
        <c:lblAlgn val="ctr"/>
        <c:lblOffset val="100"/>
        <c:noMultiLvlLbl val="0"/>
      </c:catAx>
    </c:plotArea>
    <c:legend>
      <c:legendPos val="r"/>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'B SO'!$C$1</c:f>
              <c:strCache>
                <c:ptCount val="1"/>
                <c:pt idx="0">
                  <c:v>Capability (Non-UHR) %</c:v>
                </c:pt>
              </c:strCache>
            </c:strRef>
          </c:tx>
          <c:spPr>
            <a:solidFill>
              <a:schemeClr val="tx2">
                <a:lumMod val="40000"/>
                <a:lumOff val="60000"/>
              </a:schemeClr>
            </a:solidFill>
          </c:spPr>
          <c:invertIfNegative val="0"/>
          <c:cat>
            <c:strRef>
              <c:f>'B SO'!$A$2:$A$4</c:f>
              <c:strCache>
                <c:ptCount val="3"/>
                <c:pt idx="0">
                  <c:v>Gay or Lesbian</c:v>
                </c:pt>
                <c:pt idx="1">
                  <c:v>Heterosexual</c:v>
                </c:pt>
                <c:pt idx="2">
                  <c:v>Not Disclosed </c:v>
                </c:pt>
              </c:strCache>
            </c:strRef>
          </c:cat>
          <c:val>
            <c:numRef>
              <c:f>'B SO'!$C$2:$C$4</c:f>
              <c:numCache>
                <c:formatCode>0%</c:formatCode>
                <c:ptCount val="3"/>
                <c:pt idx="0">
                  <c:v>6.25E-2</c:v>
                </c:pt>
                <c:pt idx="1">
                  <c:v>0.71875</c:v>
                </c:pt>
                <c:pt idx="2">
                  <c:v>0.21875</c:v>
                </c:pt>
              </c:numCache>
            </c:numRef>
          </c:val>
        </c:ser>
        <c:ser>
          <c:idx val="1"/>
          <c:order val="1"/>
          <c:tx>
            <c:strRef>
              <c:f>'B SO'!$E$1</c:f>
              <c:strCache>
                <c:ptCount val="1"/>
                <c:pt idx="0">
                  <c:v>Capability (UHR) %</c:v>
                </c:pt>
              </c:strCache>
            </c:strRef>
          </c:tx>
          <c:spPr>
            <a:solidFill>
              <a:schemeClr val="accent2">
                <a:lumMod val="40000"/>
                <a:lumOff val="60000"/>
              </a:schemeClr>
            </a:solidFill>
          </c:spPr>
          <c:invertIfNegative val="0"/>
          <c:cat>
            <c:strRef>
              <c:f>'B SO'!$A$2:$A$4</c:f>
              <c:strCache>
                <c:ptCount val="3"/>
                <c:pt idx="0">
                  <c:v>Gay or Lesbian</c:v>
                </c:pt>
                <c:pt idx="1">
                  <c:v>Heterosexual</c:v>
                </c:pt>
                <c:pt idx="2">
                  <c:v>Not Disclosed </c:v>
                </c:pt>
              </c:strCache>
            </c:strRef>
          </c:cat>
          <c:val>
            <c:numRef>
              <c:f>'B SO'!$E$2:$E$4</c:f>
              <c:numCache>
                <c:formatCode>0%</c:formatCode>
                <c:ptCount val="3"/>
                <c:pt idx="0">
                  <c:v>0.25</c:v>
                </c:pt>
                <c:pt idx="1">
                  <c:v>0.5</c:v>
                </c:pt>
                <c:pt idx="2">
                  <c:v>0.25</c:v>
                </c:pt>
              </c:numCache>
            </c:numRef>
          </c:val>
        </c:ser>
        <c:dLbls>
          <c:showLegendKey val="0"/>
          <c:showVal val="0"/>
          <c:showCatName val="0"/>
          <c:showSerName val="0"/>
          <c:showPercent val="0"/>
          <c:showBubbleSize val="0"/>
        </c:dLbls>
        <c:gapWidth val="150"/>
        <c:axId val="769431552"/>
        <c:axId val="730209600"/>
      </c:barChart>
      <c:scatterChart>
        <c:scatterStyle val="lineMarker"/>
        <c:varyColors val="0"/>
        <c:ser>
          <c:idx val="2"/>
          <c:order val="2"/>
          <c:tx>
            <c:strRef>
              <c:f>'B SO'!$F$1</c:f>
              <c:strCache>
                <c:ptCount val="1"/>
                <c:pt idx="0">
                  <c:v>Workforce Represenation %</c:v>
                </c:pt>
              </c:strCache>
            </c:strRef>
          </c:tx>
          <c:spPr>
            <a:ln w="28575">
              <a:noFill/>
            </a:ln>
          </c:spPr>
          <c:marker>
            <c:symbol val="dash"/>
            <c:size val="27"/>
            <c:spPr>
              <a:solidFill>
                <a:srgbClr val="41B6E6"/>
              </a:solidFill>
              <a:ln w="22225">
                <a:solidFill>
                  <a:schemeClr val="bg1"/>
                </a:solidFill>
              </a:ln>
            </c:spPr>
          </c:marker>
          <c:xVal>
            <c:strRef>
              <c:f>'B SO'!$A$2:$A$4</c:f>
              <c:strCache>
                <c:ptCount val="3"/>
                <c:pt idx="0">
                  <c:v>Gay or Lesbian</c:v>
                </c:pt>
                <c:pt idx="1">
                  <c:v>Heterosexual</c:v>
                </c:pt>
                <c:pt idx="2">
                  <c:v>Not Disclosed </c:v>
                </c:pt>
              </c:strCache>
            </c:strRef>
          </c:xVal>
          <c:yVal>
            <c:numRef>
              <c:f>'B SO'!$F$2:$F$4</c:f>
              <c:numCache>
                <c:formatCode>0.0%</c:formatCode>
                <c:ptCount val="3"/>
                <c:pt idx="0">
                  <c:v>4.9588639693452043E-2</c:v>
                </c:pt>
                <c:pt idx="1">
                  <c:v>0.72816409331680376</c:v>
                </c:pt>
                <c:pt idx="2">
                  <c:v>0.12329539051053759</c:v>
                </c:pt>
              </c:numCache>
            </c:numRef>
          </c:yVal>
          <c:smooth val="0"/>
        </c:ser>
        <c:dLbls>
          <c:showLegendKey val="0"/>
          <c:showVal val="0"/>
          <c:showCatName val="0"/>
          <c:showSerName val="0"/>
          <c:showPercent val="0"/>
          <c:showBubbleSize val="0"/>
        </c:dLbls>
        <c:axId val="769431552"/>
        <c:axId val="730209600"/>
      </c:scatterChart>
      <c:catAx>
        <c:axId val="769431552"/>
        <c:scaling>
          <c:orientation val="minMax"/>
        </c:scaling>
        <c:delete val="0"/>
        <c:axPos val="b"/>
        <c:majorTickMark val="out"/>
        <c:minorTickMark val="none"/>
        <c:tickLblPos val="nextTo"/>
        <c:spPr>
          <a:ln>
            <a:noFill/>
          </a:ln>
        </c:spPr>
        <c:crossAx val="730209600"/>
        <c:crosses val="autoZero"/>
        <c:auto val="1"/>
        <c:lblAlgn val="ctr"/>
        <c:lblOffset val="100"/>
        <c:noMultiLvlLbl val="0"/>
      </c:catAx>
      <c:valAx>
        <c:axId val="730209600"/>
        <c:scaling>
          <c:orientation val="minMax"/>
        </c:scaling>
        <c:delete val="0"/>
        <c:axPos val="l"/>
        <c:numFmt formatCode="0%" sourceLinked="1"/>
        <c:majorTickMark val="out"/>
        <c:minorTickMark val="none"/>
        <c:tickLblPos val="nextTo"/>
        <c:spPr>
          <a:ln>
            <a:noFill/>
          </a:ln>
        </c:spPr>
        <c:crossAx val="769431552"/>
        <c:crosses val="autoZero"/>
        <c:crossBetween val="between"/>
      </c:valAx>
    </c:plotArea>
    <c:legend>
      <c:legendPos val="r"/>
      <c:layout>
        <c:manualLayout>
          <c:xMode val="edge"/>
          <c:yMode val="edge"/>
          <c:x val="6.2296916010498651E-2"/>
          <c:y val="5.5356716774039635E-3"/>
          <c:w val="0.93353641732283466"/>
          <c:h val="6.928965825494604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76511506425037434"/>
          <c:h val="0.84593105954964687"/>
        </c:manualLayout>
      </c:layout>
      <c:barChart>
        <c:barDir val="col"/>
        <c:grouping val="clustered"/>
        <c:varyColors val="0"/>
        <c:ser>
          <c:idx val="0"/>
          <c:order val="0"/>
          <c:tx>
            <c:strRef>
              <c:f>'B SO'!$C$24</c:f>
              <c:strCache>
                <c:ptCount val="1"/>
                <c:pt idx="0">
                  <c:v>Harassment Cases %</c:v>
                </c:pt>
              </c:strCache>
            </c:strRef>
          </c:tx>
          <c:spPr>
            <a:solidFill>
              <a:schemeClr val="tx2">
                <a:lumMod val="40000"/>
                <a:lumOff val="60000"/>
              </a:schemeClr>
            </a:solidFill>
          </c:spPr>
          <c:invertIfNegative val="0"/>
          <c:cat>
            <c:strRef>
              <c:f>'B SO'!$A$25:$A$28</c:f>
              <c:strCache>
                <c:ptCount val="4"/>
                <c:pt idx="0">
                  <c:v>Bisexual</c:v>
                </c:pt>
                <c:pt idx="1">
                  <c:v>Gay or Lesbian</c:v>
                </c:pt>
                <c:pt idx="2">
                  <c:v>Heterosexual</c:v>
                </c:pt>
                <c:pt idx="3">
                  <c:v>Prefer not to say</c:v>
                </c:pt>
              </c:strCache>
            </c:strRef>
          </c:cat>
          <c:val>
            <c:numRef>
              <c:f>'B SO'!$C$25:$C$28</c:f>
              <c:numCache>
                <c:formatCode>0.0%</c:formatCode>
                <c:ptCount val="4"/>
                <c:pt idx="0">
                  <c:v>0</c:v>
                </c:pt>
                <c:pt idx="1">
                  <c:v>0</c:v>
                </c:pt>
                <c:pt idx="2">
                  <c:v>1</c:v>
                </c:pt>
                <c:pt idx="3">
                  <c:v>0</c:v>
                </c:pt>
              </c:numCache>
            </c:numRef>
          </c:val>
        </c:ser>
        <c:ser>
          <c:idx val="1"/>
          <c:order val="1"/>
          <c:tx>
            <c:strRef>
              <c:f>'B SO'!$E$24</c:f>
              <c:strCache>
                <c:ptCount val="1"/>
                <c:pt idx="0">
                  <c:v>Grievance Cases %</c:v>
                </c:pt>
              </c:strCache>
            </c:strRef>
          </c:tx>
          <c:spPr>
            <a:solidFill>
              <a:schemeClr val="accent2">
                <a:lumMod val="40000"/>
                <a:lumOff val="60000"/>
              </a:schemeClr>
            </a:solidFill>
          </c:spPr>
          <c:invertIfNegative val="0"/>
          <c:cat>
            <c:strRef>
              <c:f>'B SO'!$A$25:$A$28</c:f>
              <c:strCache>
                <c:ptCount val="4"/>
                <c:pt idx="0">
                  <c:v>Bisexual</c:v>
                </c:pt>
                <c:pt idx="1">
                  <c:v>Gay or Lesbian</c:v>
                </c:pt>
                <c:pt idx="2">
                  <c:v>Heterosexual</c:v>
                </c:pt>
                <c:pt idx="3">
                  <c:v>Prefer not to say</c:v>
                </c:pt>
              </c:strCache>
            </c:strRef>
          </c:cat>
          <c:val>
            <c:numRef>
              <c:f>'B SO'!$E$25:$E$28</c:f>
              <c:numCache>
                <c:formatCode>0.0%</c:formatCode>
                <c:ptCount val="4"/>
                <c:pt idx="0">
                  <c:v>0</c:v>
                </c:pt>
                <c:pt idx="1">
                  <c:v>0.22222222222222221</c:v>
                </c:pt>
                <c:pt idx="2">
                  <c:v>0.44444444444444442</c:v>
                </c:pt>
                <c:pt idx="3">
                  <c:v>0.33333333333333331</c:v>
                </c:pt>
              </c:numCache>
            </c:numRef>
          </c:val>
        </c:ser>
        <c:ser>
          <c:idx val="2"/>
          <c:order val="2"/>
          <c:tx>
            <c:strRef>
              <c:f>'B SO'!$G$24</c:f>
              <c:strCache>
                <c:ptCount val="1"/>
                <c:pt idx="0">
                  <c:v>Disciplinary Cases %</c:v>
                </c:pt>
              </c:strCache>
            </c:strRef>
          </c:tx>
          <c:spPr>
            <a:solidFill>
              <a:schemeClr val="accent3">
                <a:lumMod val="40000"/>
                <a:lumOff val="60000"/>
              </a:schemeClr>
            </a:solidFill>
            <a:ln w="28575">
              <a:noFill/>
            </a:ln>
          </c:spPr>
          <c:invertIfNegative val="0"/>
          <c:cat>
            <c:strRef>
              <c:f>'B SO'!$A$25:$A$28</c:f>
              <c:strCache>
                <c:ptCount val="4"/>
                <c:pt idx="0">
                  <c:v>Bisexual</c:v>
                </c:pt>
                <c:pt idx="1">
                  <c:v>Gay or Lesbian</c:v>
                </c:pt>
                <c:pt idx="2">
                  <c:v>Heterosexual</c:v>
                </c:pt>
                <c:pt idx="3">
                  <c:v>Prefer not to say</c:v>
                </c:pt>
              </c:strCache>
            </c:strRef>
          </c:cat>
          <c:val>
            <c:numRef>
              <c:f>'B SO'!$G$25:$G$28</c:f>
              <c:numCache>
                <c:formatCode>0.0%</c:formatCode>
                <c:ptCount val="4"/>
                <c:pt idx="0">
                  <c:v>8.6956521739130432E-2</c:v>
                </c:pt>
                <c:pt idx="1">
                  <c:v>0</c:v>
                </c:pt>
                <c:pt idx="2">
                  <c:v>0.56521739130434778</c:v>
                </c:pt>
                <c:pt idx="3">
                  <c:v>0.34782608695652173</c:v>
                </c:pt>
              </c:numCache>
            </c:numRef>
          </c:val>
        </c:ser>
        <c:dLbls>
          <c:showLegendKey val="0"/>
          <c:showVal val="0"/>
          <c:showCatName val="0"/>
          <c:showSerName val="0"/>
          <c:showPercent val="0"/>
          <c:showBubbleSize val="0"/>
        </c:dLbls>
        <c:gapWidth val="150"/>
        <c:axId val="769432064"/>
        <c:axId val="793142400"/>
      </c:barChart>
      <c:scatterChart>
        <c:scatterStyle val="lineMarker"/>
        <c:varyColors val="0"/>
        <c:ser>
          <c:idx val="3"/>
          <c:order val="3"/>
          <c:tx>
            <c:strRef>
              <c:f>'B SO'!$H$24</c:f>
              <c:strCache>
                <c:ptCount val="1"/>
                <c:pt idx="0">
                  <c:v>Workforce Represenation %</c:v>
                </c:pt>
              </c:strCache>
            </c:strRef>
          </c:tx>
          <c:spPr>
            <a:ln w="28575">
              <a:noFill/>
            </a:ln>
          </c:spPr>
          <c:marker>
            <c:symbol val="dash"/>
            <c:size val="23"/>
            <c:spPr>
              <a:solidFill>
                <a:srgbClr val="41B6E6"/>
              </a:solidFill>
              <a:ln w="22225">
                <a:solidFill>
                  <a:schemeClr val="bg1"/>
                </a:solidFill>
              </a:ln>
            </c:spPr>
          </c:marker>
          <c:xVal>
            <c:strRef>
              <c:f>'B SO'!$A$25:$A$28</c:f>
              <c:strCache>
                <c:ptCount val="4"/>
                <c:pt idx="0">
                  <c:v>Bisexual</c:v>
                </c:pt>
                <c:pt idx="1">
                  <c:v>Gay or Lesbian</c:v>
                </c:pt>
                <c:pt idx="2">
                  <c:v>Heterosexual</c:v>
                </c:pt>
                <c:pt idx="3">
                  <c:v>Prefer not to say</c:v>
                </c:pt>
              </c:strCache>
            </c:strRef>
          </c:xVal>
          <c:yVal>
            <c:numRef>
              <c:f>'B SO'!$H$25:$H$28</c:f>
              <c:numCache>
                <c:formatCode>0.0%</c:formatCode>
                <c:ptCount val="4"/>
                <c:pt idx="0">
                  <c:v>1.8821142792742027E-2</c:v>
                </c:pt>
                <c:pt idx="1">
                  <c:v>4.9588639693452043E-2</c:v>
                </c:pt>
                <c:pt idx="2">
                  <c:v>0.72816409331680376</c:v>
                </c:pt>
                <c:pt idx="3">
                  <c:v>0.12329539051053759</c:v>
                </c:pt>
              </c:numCache>
            </c:numRef>
          </c:yVal>
          <c:smooth val="0"/>
        </c:ser>
        <c:dLbls>
          <c:showLegendKey val="0"/>
          <c:showVal val="0"/>
          <c:showCatName val="0"/>
          <c:showSerName val="0"/>
          <c:showPercent val="0"/>
          <c:showBubbleSize val="0"/>
        </c:dLbls>
        <c:axId val="769432064"/>
        <c:axId val="793142400"/>
      </c:scatterChart>
      <c:catAx>
        <c:axId val="769432064"/>
        <c:scaling>
          <c:orientation val="minMax"/>
        </c:scaling>
        <c:delete val="0"/>
        <c:axPos val="b"/>
        <c:majorTickMark val="out"/>
        <c:minorTickMark val="none"/>
        <c:tickLblPos val="nextTo"/>
        <c:spPr>
          <a:ln>
            <a:noFill/>
          </a:ln>
        </c:spPr>
        <c:crossAx val="793142400"/>
        <c:crosses val="autoZero"/>
        <c:auto val="1"/>
        <c:lblAlgn val="ctr"/>
        <c:lblOffset val="100"/>
        <c:noMultiLvlLbl val="0"/>
      </c:catAx>
      <c:valAx>
        <c:axId val="793142400"/>
        <c:scaling>
          <c:orientation val="minMax"/>
        </c:scaling>
        <c:delete val="0"/>
        <c:axPos val="l"/>
        <c:numFmt formatCode="0%" sourceLinked="0"/>
        <c:majorTickMark val="out"/>
        <c:minorTickMark val="none"/>
        <c:tickLblPos val="nextTo"/>
        <c:spPr>
          <a:ln>
            <a:noFill/>
          </a:ln>
        </c:spPr>
        <c:crossAx val="769432064"/>
        <c:crosses val="autoZero"/>
        <c:crossBetween val="between"/>
      </c:valAx>
    </c:plotArea>
    <c:legend>
      <c:legendPos val="r"/>
      <c:layout>
        <c:manualLayout>
          <c:xMode val="edge"/>
          <c:yMode val="edge"/>
          <c:x val="6.0064421177287781E-2"/>
          <c:y val="9.8037041144504854E-3"/>
          <c:w val="0.93105083664975719"/>
          <c:h val="0.12248009651802487"/>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'B SO'!$C$48</c:f>
              <c:strCache>
                <c:ptCount val="1"/>
                <c:pt idx="0">
                  <c:v>All Dismissals</c:v>
                </c:pt>
              </c:strCache>
            </c:strRef>
          </c:tx>
          <c:spPr>
            <a:solidFill>
              <a:schemeClr val="tx2">
                <a:lumMod val="40000"/>
                <a:lumOff val="60000"/>
              </a:schemeClr>
            </a:solidFill>
          </c:spPr>
          <c:invertIfNegative val="0"/>
          <c:cat>
            <c:strRef>
              <c:f>'B SO'!$A$49:$A$51</c:f>
              <c:strCache>
                <c:ptCount val="3"/>
                <c:pt idx="0">
                  <c:v>Bisexual</c:v>
                </c:pt>
                <c:pt idx="1">
                  <c:v>Heterosexual</c:v>
                </c:pt>
                <c:pt idx="2">
                  <c:v>Prefer not to say</c:v>
                </c:pt>
              </c:strCache>
            </c:strRef>
          </c:cat>
          <c:val>
            <c:numRef>
              <c:f>'B SO'!$C$49:$C$51</c:f>
              <c:numCache>
                <c:formatCode>0.0%</c:formatCode>
                <c:ptCount val="3"/>
                <c:pt idx="0">
                  <c:v>5.8823529411764705E-2</c:v>
                </c:pt>
                <c:pt idx="1">
                  <c:v>0.70588235294117652</c:v>
                </c:pt>
                <c:pt idx="2">
                  <c:v>0.23529411764705882</c:v>
                </c:pt>
              </c:numCache>
            </c:numRef>
          </c:val>
        </c:ser>
        <c:ser>
          <c:idx val="1"/>
          <c:order val="1"/>
          <c:tx>
            <c:strRef>
              <c:f>'B SO'!$E$48</c:f>
              <c:strCache>
                <c:ptCount val="1"/>
                <c:pt idx="0">
                  <c:v>Dismissals (Sickness only) %</c:v>
                </c:pt>
              </c:strCache>
            </c:strRef>
          </c:tx>
          <c:spPr>
            <a:solidFill>
              <a:schemeClr val="accent2">
                <a:lumMod val="40000"/>
                <a:lumOff val="60000"/>
              </a:schemeClr>
            </a:solidFill>
          </c:spPr>
          <c:invertIfNegative val="0"/>
          <c:cat>
            <c:strRef>
              <c:f>'B SO'!$A$49:$A$51</c:f>
              <c:strCache>
                <c:ptCount val="3"/>
                <c:pt idx="0">
                  <c:v>Bisexual</c:v>
                </c:pt>
                <c:pt idx="1">
                  <c:v>Heterosexual</c:v>
                </c:pt>
                <c:pt idx="2">
                  <c:v>Prefer not to say</c:v>
                </c:pt>
              </c:strCache>
            </c:strRef>
          </c:cat>
          <c:val>
            <c:numRef>
              <c:f>'B SO'!$E$49:$E$51</c:f>
              <c:numCache>
                <c:formatCode>0.0%</c:formatCode>
                <c:ptCount val="3"/>
                <c:pt idx="0">
                  <c:v>0</c:v>
                </c:pt>
                <c:pt idx="1">
                  <c:v>0.76923076923076927</c:v>
                </c:pt>
                <c:pt idx="2">
                  <c:v>0.23076923076923078</c:v>
                </c:pt>
              </c:numCache>
            </c:numRef>
          </c:val>
        </c:ser>
        <c:dLbls>
          <c:showLegendKey val="0"/>
          <c:showVal val="0"/>
          <c:showCatName val="0"/>
          <c:showSerName val="0"/>
          <c:showPercent val="0"/>
          <c:showBubbleSize val="0"/>
        </c:dLbls>
        <c:gapWidth val="150"/>
        <c:axId val="769523200"/>
        <c:axId val="793144128"/>
      </c:barChart>
      <c:scatterChart>
        <c:scatterStyle val="lineMarker"/>
        <c:varyColors val="0"/>
        <c:ser>
          <c:idx val="2"/>
          <c:order val="2"/>
          <c:tx>
            <c:strRef>
              <c:f>'B SO'!$F$48</c:f>
              <c:strCache>
                <c:ptCount val="1"/>
                <c:pt idx="0">
                  <c:v>Workforce Represenation %</c:v>
                </c:pt>
              </c:strCache>
            </c:strRef>
          </c:tx>
          <c:spPr>
            <a:ln w="28575">
              <a:noFill/>
            </a:ln>
          </c:spPr>
          <c:marker>
            <c:symbol val="dash"/>
            <c:size val="27"/>
            <c:spPr>
              <a:solidFill>
                <a:srgbClr val="41B6E6"/>
              </a:solidFill>
              <a:ln w="22225">
                <a:solidFill>
                  <a:schemeClr val="bg1"/>
                </a:solidFill>
              </a:ln>
            </c:spPr>
          </c:marker>
          <c:xVal>
            <c:strRef>
              <c:f>'B SO'!$A$49:$A$51</c:f>
              <c:strCache>
                <c:ptCount val="3"/>
                <c:pt idx="0">
                  <c:v>Bisexual</c:v>
                </c:pt>
                <c:pt idx="1">
                  <c:v>Heterosexual</c:v>
                </c:pt>
                <c:pt idx="2">
                  <c:v>Prefer not to say</c:v>
                </c:pt>
              </c:strCache>
            </c:strRef>
          </c:xVal>
          <c:yVal>
            <c:numRef>
              <c:f>'B SO'!$F$49:$F$51</c:f>
              <c:numCache>
                <c:formatCode>0.0%</c:formatCode>
                <c:ptCount val="3"/>
                <c:pt idx="0">
                  <c:v>1.8821142792742027E-2</c:v>
                </c:pt>
                <c:pt idx="1">
                  <c:v>0.72816409331680376</c:v>
                </c:pt>
                <c:pt idx="2">
                  <c:v>0.12329539051053759</c:v>
                </c:pt>
              </c:numCache>
            </c:numRef>
          </c:yVal>
          <c:smooth val="0"/>
        </c:ser>
        <c:dLbls>
          <c:showLegendKey val="0"/>
          <c:showVal val="0"/>
          <c:showCatName val="0"/>
          <c:showSerName val="0"/>
          <c:showPercent val="0"/>
          <c:showBubbleSize val="0"/>
        </c:dLbls>
        <c:axId val="769523200"/>
        <c:axId val="793144128"/>
      </c:scatterChart>
      <c:catAx>
        <c:axId val="769523200"/>
        <c:scaling>
          <c:orientation val="minMax"/>
        </c:scaling>
        <c:delete val="0"/>
        <c:axPos val="b"/>
        <c:majorTickMark val="out"/>
        <c:minorTickMark val="none"/>
        <c:tickLblPos val="nextTo"/>
        <c:spPr>
          <a:ln>
            <a:noFill/>
          </a:ln>
        </c:spPr>
        <c:crossAx val="793144128"/>
        <c:crosses val="autoZero"/>
        <c:auto val="1"/>
        <c:lblAlgn val="ctr"/>
        <c:lblOffset val="100"/>
        <c:noMultiLvlLbl val="0"/>
      </c:catAx>
      <c:valAx>
        <c:axId val="793144128"/>
        <c:scaling>
          <c:orientation val="minMax"/>
        </c:scaling>
        <c:delete val="0"/>
        <c:axPos val="l"/>
        <c:numFmt formatCode="0.0%" sourceLinked="1"/>
        <c:majorTickMark val="out"/>
        <c:minorTickMark val="none"/>
        <c:tickLblPos val="nextTo"/>
        <c:spPr>
          <a:ln>
            <a:noFill/>
          </a:ln>
        </c:spPr>
        <c:crossAx val="769523200"/>
        <c:crosses val="autoZero"/>
        <c:crossBetween val="between"/>
      </c:valAx>
    </c:plotArea>
    <c:legend>
      <c:legendPos val="r"/>
      <c:layout>
        <c:manualLayout>
          <c:xMode val="edge"/>
          <c:yMode val="edge"/>
          <c:x val="6.6463582677165317E-2"/>
          <c:y val="1.2676392403574411E-3"/>
          <c:w val="0.92520308398950135"/>
          <c:h val="0.125961735576906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'W SO'!$C$1</c:f>
              <c:strCache>
                <c:ptCount val="1"/>
                <c:pt idx="0">
                  <c:v>Grievance Cases %</c:v>
                </c:pt>
              </c:strCache>
            </c:strRef>
          </c:tx>
          <c:spPr>
            <a:solidFill>
              <a:schemeClr val="tx2">
                <a:lumMod val="40000"/>
                <a:lumOff val="60000"/>
              </a:schemeClr>
            </a:solidFill>
          </c:spPr>
          <c:invertIfNegative val="0"/>
          <c:cat>
            <c:strRef>
              <c:f>'W SO'!$A$2:$A$3</c:f>
              <c:strCache>
                <c:ptCount val="2"/>
                <c:pt idx="0">
                  <c:v>Heterosexual or Straight</c:v>
                </c:pt>
                <c:pt idx="1">
                  <c:v>Declined to specify</c:v>
                </c:pt>
              </c:strCache>
            </c:strRef>
          </c:cat>
          <c:val>
            <c:numRef>
              <c:f>'W SO'!$C$2:$C$3</c:f>
              <c:numCache>
                <c:formatCode>0.0%</c:formatCode>
                <c:ptCount val="2"/>
                <c:pt idx="0">
                  <c:v>0.6785714285714286</c:v>
                </c:pt>
                <c:pt idx="1">
                  <c:v>0.32142857142857145</c:v>
                </c:pt>
              </c:numCache>
            </c:numRef>
          </c:val>
        </c:ser>
        <c:ser>
          <c:idx val="1"/>
          <c:order val="1"/>
          <c:tx>
            <c:strRef>
              <c:f>'W SO'!$E$1</c:f>
              <c:strCache>
                <c:ptCount val="1"/>
                <c:pt idx="0">
                  <c:v>Disciplinary Cases %</c:v>
                </c:pt>
              </c:strCache>
            </c:strRef>
          </c:tx>
          <c:spPr>
            <a:solidFill>
              <a:schemeClr val="accent2">
                <a:lumMod val="40000"/>
                <a:lumOff val="60000"/>
              </a:schemeClr>
            </a:solidFill>
          </c:spPr>
          <c:invertIfNegative val="0"/>
          <c:cat>
            <c:strRef>
              <c:f>'W SO'!$A$2:$A$3</c:f>
              <c:strCache>
                <c:ptCount val="2"/>
                <c:pt idx="0">
                  <c:v>Heterosexual or Straight</c:v>
                </c:pt>
                <c:pt idx="1">
                  <c:v>Declined to specify</c:v>
                </c:pt>
              </c:strCache>
            </c:strRef>
          </c:cat>
          <c:val>
            <c:numRef>
              <c:f>'W SO'!$E$2:$E$3</c:f>
              <c:numCache>
                <c:formatCode>0.0%</c:formatCode>
                <c:ptCount val="2"/>
                <c:pt idx="0">
                  <c:v>0.73584905660377353</c:v>
                </c:pt>
                <c:pt idx="1">
                  <c:v>0.26415094339622641</c:v>
                </c:pt>
              </c:numCache>
            </c:numRef>
          </c:val>
        </c:ser>
        <c:dLbls>
          <c:showLegendKey val="0"/>
          <c:showVal val="0"/>
          <c:showCatName val="0"/>
          <c:showSerName val="0"/>
          <c:showPercent val="0"/>
          <c:showBubbleSize val="0"/>
        </c:dLbls>
        <c:gapWidth val="150"/>
        <c:axId val="794144768"/>
        <c:axId val="793145856"/>
      </c:barChart>
      <c:scatterChart>
        <c:scatterStyle val="lineMarker"/>
        <c:varyColors val="0"/>
        <c:ser>
          <c:idx val="2"/>
          <c:order val="2"/>
          <c:tx>
            <c:strRef>
              <c:f>'W SO'!$F$1</c:f>
              <c:strCache>
                <c:ptCount val="1"/>
                <c:pt idx="0">
                  <c:v>Workforce Represenation %</c:v>
                </c:pt>
              </c:strCache>
            </c:strRef>
          </c:tx>
          <c:spPr>
            <a:ln w="28575">
              <a:noFill/>
            </a:ln>
          </c:spPr>
          <c:marker>
            <c:symbol val="dash"/>
            <c:size val="12"/>
            <c:spPr>
              <a:solidFill>
                <a:srgbClr val="41B6E6"/>
              </a:solidFill>
              <a:ln>
                <a:solidFill>
                  <a:schemeClr val="bg1"/>
                </a:solidFill>
              </a:ln>
            </c:spPr>
          </c:marker>
          <c:xVal>
            <c:strRef>
              <c:f>'W SO'!$A$2:$A$3</c:f>
              <c:strCache>
                <c:ptCount val="2"/>
                <c:pt idx="0">
                  <c:v>Heterosexual or Straight</c:v>
                </c:pt>
                <c:pt idx="1">
                  <c:v>Declined to specify</c:v>
                </c:pt>
              </c:strCache>
            </c:strRef>
          </c:xVal>
          <c:yVal>
            <c:numRef>
              <c:f>'W SO'!$F$2:$F$3</c:f>
              <c:numCache>
                <c:formatCode>0.0%</c:formatCode>
                <c:ptCount val="2"/>
                <c:pt idx="0">
                  <c:v>0.76858624817129939</c:v>
                </c:pt>
                <c:pt idx="1">
                  <c:v>0.19882963159994679</c:v>
                </c:pt>
              </c:numCache>
            </c:numRef>
          </c:yVal>
          <c:smooth val="0"/>
        </c:ser>
        <c:dLbls>
          <c:showLegendKey val="0"/>
          <c:showVal val="0"/>
          <c:showCatName val="0"/>
          <c:showSerName val="0"/>
          <c:showPercent val="0"/>
          <c:showBubbleSize val="0"/>
        </c:dLbls>
        <c:axId val="794144768"/>
        <c:axId val="793145856"/>
      </c:scatterChart>
      <c:catAx>
        <c:axId val="794144768"/>
        <c:scaling>
          <c:orientation val="minMax"/>
        </c:scaling>
        <c:delete val="0"/>
        <c:axPos val="b"/>
        <c:majorTickMark val="out"/>
        <c:minorTickMark val="none"/>
        <c:tickLblPos val="nextTo"/>
        <c:spPr>
          <a:ln>
            <a:noFill/>
          </a:ln>
        </c:spPr>
        <c:crossAx val="793145856"/>
        <c:crosses val="autoZero"/>
        <c:auto val="1"/>
        <c:lblAlgn val="ctr"/>
        <c:lblOffset val="100"/>
        <c:noMultiLvlLbl val="0"/>
      </c:catAx>
      <c:valAx>
        <c:axId val="793145856"/>
        <c:scaling>
          <c:orientation val="minMax"/>
        </c:scaling>
        <c:delete val="0"/>
        <c:axPos val="l"/>
        <c:numFmt formatCode="0.0%" sourceLinked="1"/>
        <c:majorTickMark val="out"/>
        <c:minorTickMark val="none"/>
        <c:tickLblPos val="nextTo"/>
        <c:spPr>
          <a:ln>
            <a:noFill/>
          </a:ln>
        </c:spPr>
        <c:crossAx val="794144768"/>
        <c:crosses val="autoZero"/>
        <c:crossBetween val="between"/>
      </c:valAx>
    </c:plotArea>
    <c:legend>
      <c:legendPos val="r"/>
      <c:layout>
        <c:manualLayout>
          <c:xMode val="edge"/>
          <c:yMode val="edge"/>
          <c:x val="6.8546916010498643E-2"/>
          <c:y val="9.8037041144504854E-3"/>
          <c:w val="0.91895308398950126"/>
          <c:h val="0.11196998262541126"/>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250085587127689E-2"/>
          <c:y val="2.4239121272631618E-2"/>
          <c:w val="0.89722016179137032"/>
          <c:h val="0.70066009190711631"/>
        </c:manualLayout>
      </c:layout>
      <c:barChart>
        <c:barDir val="col"/>
        <c:grouping val="clustered"/>
        <c:varyColors val="0"/>
        <c:ser>
          <c:idx val="0"/>
          <c:order val="0"/>
          <c:tx>
            <c:strRef>
              <c:f>'SO B'!$C$1</c:f>
              <c:strCache>
                <c:ptCount val="1"/>
                <c:pt idx="0">
                  <c:v>2020/21 BSUH Leavers (%)</c:v>
                </c:pt>
              </c:strCache>
            </c:strRef>
          </c:tx>
          <c:spPr>
            <a:solidFill>
              <a:srgbClr val="41B6E6"/>
            </a:solidFill>
          </c:spPr>
          <c:invertIfNegative val="0"/>
          <c:cat>
            <c:strRef>
              <c:f>'SO B'!$A$2:$A$8</c:f>
              <c:strCache>
                <c:ptCount val="7"/>
                <c:pt idx="0">
                  <c:v>Bisexual</c:v>
                </c:pt>
                <c:pt idx="1">
                  <c:v>Gay or Lesbian</c:v>
                </c:pt>
                <c:pt idx="2">
                  <c:v>Heterosexual or Straight</c:v>
                </c:pt>
                <c:pt idx="3">
                  <c:v>Other sexual orientation not listed</c:v>
                </c:pt>
                <c:pt idx="4">
                  <c:v>Undecided</c:v>
                </c:pt>
                <c:pt idx="5">
                  <c:v>Prefer not to say</c:v>
                </c:pt>
                <c:pt idx="6">
                  <c:v>Unknown</c:v>
                </c:pt>
              </c:strCache>
            </c:strRef>
          </c:cat>
          <c:val>
            <c:numRef>
              <c:f>'SO B'!$C$2:$C$8</c:f>
              <c:numCache>
                <c:formatCode>0.0%</c:formatCode>
                <c:ptCount val="7"/>
                <c:pt idx="0">
                  <c:v>2.2920759659463E-2</c:v>
                </c:pt>
                <c:pt idx="1">
                  <c:v>4.7151277013752456E-2</c:v>
                </c:pt>
                <c:pt idx="2">
                  <c:v>0.7177472167648985</c:v>
                </c:pt>
                <c:pt idx="3">
                  <c:v>1.9646365422396855E-3</c:v>
                </c:pt>
                <c:pt idx="4">
                  <c:v>6.5487884741322858E-4</c:v>
                </c:pt>
                <c:pt idx="5">
                  <c:v>0.15389652914210872</c:v>
                </c:pt>
                <c:pt idx="6">
                  <c:v>5.5664702030124427E-2</c:v>
                </c:pt>
              </c:numCache>
            </c:numRef>
          </c:val>
        </c:ser>
        <c:ser>
          <c:idx val="1"/>
          <c:order val="1"/>
          <c:tx>
            <c:strRef>
              <c:f>'SO B'!$E$1</c:f>
              <c:strCache>
                <c:ptCount val="1"/>
                <c:pt idx="0">
                  <c:v>% in Workforce</c:v>
                </c:pt>
              </c:strCache>
            </c:strRef>
          </c:tx>
          <c:spPr>
            <a:solidFill>
              <a:srgbClr val="FFB81C"/>
            </a:solidFill>
          </c:spPr>
          <c:invertIfNegative val="0"/>
          <c:cat>
            <c:strRef>
              <c:f>'SO B'!$A$2:$A$8</c:f>
              <c:strCache>
                <c:ptCount val="7"/>
                <c:pt idx="0">
                  <c:v>Bisexual</c:v>
                </c:pt>
                <c:pt idx="1">
                  <c:v>Gay or Lesbian</c:v>
                </c:pt>
                <c:pt idx="2">
                  <c:v>Heterosexual or Straight</c:v>
                </c:pt>
                <c:pt idx="3">
                  <c:v>Other sexual orientation not listed</c:v>
                </c:pt>
                <c:pt idx="4">
                  <c:v>Undecided</c:v>
                </c:pt>
                <c:pt idx="5">
                  <c:v>Prefer not to say</c:v>
                </c:pt>
                <c:pt idx="6">
                  <c:v>Unknown</c:v>
                </c:pt>
              </c:strCache>
            </c:strRef>
          </c:cat>
          <c:val>
            <c:numRef>
              <c:f>'SO B'!$E$2:$E$8</c:f>
              <c:numCache>
                <c:formatCode>0.0%</c:formatCode>
                <c:ptCount val="7"/>
                <c:pt idx="0">
                  <c:v>1.8821142792742027E-2</c:v>
                </c:pt>
                <c:pt idx="1">
                  <c:v>4.9588639693452043E-2</c:v>
                </c:pt>
                <c:pt idx="2">
                  <c:v>0.72816409331680376</c:v>
                </c:pt>
                <c:pt idx="3">
                  <c:v>2.1413276231263384E-3</c:v>
                </c:pt>
                <c:pt idx="4">
                  <c:v>1.0143130846387918E-3</c:v>
                </c:pt>
                <c:pt idx="5">
                  <c:v>0.12329539051053759</c:v>
                </c:pt>
                <c:pt idx="6">
                  <c:v>7.6975092978699422E-2</c:v>
                </c:pt>
              </c:numCache>
            </c:numRef>
          </c:val>
        </c:ser>
        <c:dLbls>
          <c:showLegendKey val="0"/>
          <c:showVal val="0"/>
          <c:showCatName val="0"/>
          <c:showSerName val="0"/>
          <c:showPercent val="0"/>
          <c:showBubbleSize val="0"/>
        </c:dLbls>
        <c:gapWidth val="150"/>
        <c:axId val="794145792"/>
        <c:axId val="793147584"/>
      </c:barChart>
      <c:catAx>
        <c:axId val="794145792"/>
        <c:scaling>
          <c:orientation val="minMax"/>
        </c:scaling>
        <c:delete val="0"/>
        <c:axPos val="b"/>
        <c:majorTickMark val="out"/>
        <c:minorTickMark val="none"/>
        <c:tickLblPos val="nextTo"/>
        <c:crossAx val="793147584"/>
        <c:crosses val="autoZero"/>
        <c:auto val="1"/>
        <c:lblAlgn val="ctr"/>
        <c:lblOffset val="100"/>
        <c:noMultiLvlLbl val="0"/>
      </c:catAx>
      <c:valAx>
        <c:axId val="793147584"/>
        <c:scaling>
          <c:orientation val="minMax"/>
        </c:scaling>
        <c:delete val="0"/>
        <c:axPos val="l"/>
        <c:numFmt formatCode="0.0%" sourceLinked="1"/>
        <c:majorTickMark val="out"/>
        <c:minorTickMark val="none"/>
        <c:tickLblPos val="nextTo"/>
        <c:spPr>
          <a:ln>
            <a:noFill/>
          </a:ln>
        </c:spPr>
        <c:crossAx val="794145792"/>
        <c:crosses val="autoZero"/>
        <c:crossBetween val="between"/>
      </c:valAx>
    </c:plotArea>
    <c:legend>
      <c:legendPos val="r"/>
      <c:layout>
        <c:manualLayout>
          <c:xMode val="edge"/>
          <c:yMode val="edge"/>
          <c:x val="0.70322568374605343"/>
          <c:y val="0.13431809395918534"/>
          <c:w val="0.28067125667262605"/>
          <c:h val="0.1259743694828844"/>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250085587127689E-2"/>
          <c:y val="2.4239121272631618E-2"/>
          <c:w val="0.89722016179137032"/>
          <c:h val="0.70066009190711631"/>
        </c:manualLayout>
      </c:layout>
      <c:barChart>
        <c:barDir val="col"/>
        <c:grouping val="clustered"/>
        <c:varyColors val="0"/>
        <c:ser>
          <c:idx val="0"/>
          <c:order val="0"/>
          <c:tx>
            <c:strRef>
              <c:f>'SO W'!$C$1</c:f>
              <c:strCache>
                <c:ptCount val="1"/>
                <c:pt idx="0">
                  <c:v>2020/21 WSHT Leavers (%)</c:v>
                </c:pt>
              </c:strCache>
            </c:strRef>
          </c:tx>
          <c:spPr>
            <a:solidFill>
              <a:srgbClr val="009639"/>
            </a:solidFill>
          </c:spPr>
          <c:invertIfNegative val="0"/>
          <c:cat>
            <c:strRef>
              <c:f>'SO W'!$A$2:$A$8</c:f>
              <c:strCache>
                <c:ptCount val="7"/>
                <c:pt idx="0">
                  <c:v>Bisexual</c:v>
                </c:pt>
                <c:pt idx="1">
                  <c:v>Gay or Lesbian</c:v>
                </c:pt>
                <c:pt idx="2">
                  <c:v>Heterosexual or Straight</c:v>
                </c:pt>
                <c:pt idx="3">
                  <c:v>Other sexual orientation not listed</c:v>
                </c:pt>
                <c:pt idx="4">
                  <c:v>Undecided</c:v>
                </c:pt>
                <c:pt idx="5">
                  <c:v>Prefer not to say</c:v>
                </c:pt>
                <c:pt idx="6">
                  <c:v>Unknown</c:v>
                </c:pt>
              </c:strCache>
            </c:strRef>
          </c:cat>
          <c:val>
            <c:numRef>
              <c:f>'SO W'!$C$2:$C$8</c:f>
              <c:numCache>
                <c:formatCode>0.0%</c:formatCode>
                <c:ptCount val="7"/>
                <c:pt idx="0">
                  <c:v>2.0527859237536656E-2</c:v>
                </c:pt>
                <c:pt idx="1">
                  <c:v>2.7859237536656891E-2</c:v>
                </c:pt>
                <c:pt idx="2">
                  <c:v>0.73313782991202348</c:v>
                </c:pt>
                <c:pt idx="3">
                  <c:v>2.9325513196480938E-3</c:v>
                </c:pt>
                <c:pt idx="4">
                  <c:v>0</c:v>
                </c:pt>
                <c:pt idx="5">
                  <c:v>0.20674486803519063</c:v>
                </c:pt>
                <c:pt idx="6">
                  <c:v>8.7976539589442824E-3</c:v>
                </c:pt>
              </c:numCache>
            </c:numRef>
          </c:val>
        </c:ser>
        <c:ser>
          <c:idx val="1"/>
          <c:order val="1"/>
          <c:tx>
            <c:strRef>
              <c:f>'SO W'!$E$1</c:f>
              <c:strCache>
                <c:ptCount val="1"/>
                <c:pt idx="0">
                  <c:v>% in Workforce</c:v>
                </c:pt>
              </c:strCache>
            </c:strRef>
          </c:tx>
          <c:spPr>
            <a:solidFill>
              <a:srgbClr val="FFB81C"/>
            </a:solidFill>
          </c:spPr>
          <c:invertIfNegative val="0"/>
          <c:cat>
            <c:strRef>
              <c:f>'SO W'!$A$2:$A$8</c:f>
              <c:strCache>
                <c:ptCount val="7"/>
                <c:pt idx="0">
                  <c:v>Bisexual</c:v>
                </c:pt>
                <c:pt idx="1">
                  <c:v>Gay or Lesbian</c:v>
                </c:pt>
                <c:pt idx="2">
                  <c:v>Heterosexual or Straight</c:v>
                </c:pt>
                <c:pt idx="3">
                  <c:v>Other sexual orientation not listed</c:v>
                </c:pt>
                <c:pt idx="4">
                  <c:v>Undecided</c:v>
                </c:pt>
                <c:pt idx="5">
                  <c:v>Prefer not to say</c:v>
                </c:pt>
                <c:pt idx="6">
                  <c:v>Unknown</c:v>
                </c:pt>
              </c:strCache>
            </c:strRef>
          </c:cat>
          <c:val>
            <c:numRef>
              <c:f>'SO W'!$E$2:$E$8</c:f>
              <c:numCache>
                <c:formatCode>0.0%</c:formatCode>
                <c:ptCount val="7"/>
                <c:pt idx="0">
                  <c:v>8.9107594094959431E-3</c:v>
                </c:pt>
                <c:pt idx="1">
                  <c:v>1.6358558318925388E-2</c:v>
                </c:pt>
                <c:pt idx="2">
                  <c:v>0.76858624817129939</c:v>
                </c:pt>
                <c:pt idx="3">
                  <c:v>2.6599281819390878E-4</c:v>
                </c:pt>
                <c:pt idx="4">
                  <c:v>2.6599281819390878E-4</c:v>
                </c:pt>
                <c:pt idx="5">
                  <c:v>0.19882963159994679</c:v>
                </c:pt>
                <c:pt idx="6">
                  <c:v>6.7828168639446733E-3</c:v>
                </c:pt>
              </c:numCache>
            </c:numRef>
          </c:val>
        </c:ser>
        <c:dLbls>
          <c:showLegendKey val="0"/>
          <c:showVal val="0"/>
          <c:showCatName val="0"/>
          <c:showSerName val="0"/>
          <c:showPercent val="0"/>
          <c:showBubbleSize val="0"/>
        </c:dLbls>
        <c:gapWidth val="150"/>
        <c:axId val="794146816"/>
        <c:axId val="794451968"/>
      </c:barChart>
      <c:catAx>
        <c:axId val="794146816"/>
        <c:scaling>
          <c:orientation val="minMax"/>
        </c:scaling>
        <c:delete val="0"/>
        <c:axPos val="b"/>
        <c:majorTickMark val="out"/>
        <c:minorTickMark val="none"/>
        <c:tickLblPos val="nextTo"/>
        <c:crossAx val="794451968"/>
        <c:crosses val="autoZero"/>
        <c:auto val="1"/>
        <c:lblAlgn val="ctr"/>
        <c:lblOffset val="100"/>
        <c:noMultiLvlLbl val="0"/>
      </c:catAx>
      <c:valAx>
        <c:axId val="794451968"/>
        <c:scaling>
          <c:orientation val="minMax"/>
        </c:scaling>
        <c:delete val="0"/>
        <c:axPos val="l"/>
        <c:numFmt formatCode="0.0%" sourceLinked="1"/>
        <c:majorTickMark val="out"/>
        <c:minorTickMark val="none"/>
        <c:tickLblPos val="nextTo"/>
        <c:spPr>
          <a:ln>
            <a:noFill/>
          </a:ln>
        </c:spPr>
        <c:crossAx val="794146816"/>
        <c:crosses val="autoZero"/>
        <c:crossBetween val="between"/>
      </c:valAx>
    </c:plotArea>
    <c:legend>
      <c:legendPos val="r"/>
      <c:layout>
        <c:manualLayout>
          <c:xMode val="edge"/>
          <c:yMode val="edge"/>
          <c:x val="0.70322568374605343"/>
          <c:y val="0.13431809395918534"/>
          <c:w val="0.28067125667262605"/>
          <c:h val="0.1259743694828844"/>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802087239095113E-2"/>
          <c:y val="0.21426062521952932"/>
          <c:w val="0.85299094557624744"/>
          <c:h val="0.5855427318160572"/>
        </c:manualLayout>
      </c:layout>
      <c:barChart>
        <c:barDir val="col"/>
        <c:grouping val="clustered"/>
        <c:varyColors val="0"/>
        <c:ser>
          <c:idx val="0"/>
          <c:order val="0"/>
          <c:tx>
            <c:strRef>
              <c:f>'Age (B)'!$B$1</c:f>
              <c:strCache>
                <c:ptCount val="1"/>
                <c:pt idx="0">
                  <c:v>BSUH Inpatients</c:v>
                </c:pt>
              </c:strCache>
            </c:strRef>
          </c:tx>
          <c:spPr>
            <a:solidFill>
              <a:srgbClr val="C5D9F1"/>
            </a:solidFill>
          </c:spPr>
          <c:invertIfNegative val="0"/>
          <c:cat>
            <c:strRef>
              <c:f>'Age (B)'!$A$2:$A$13</c:f>
              <c:strCache>
                <c:ptCount val="12"/>
                <c:pt idx="0">
                  <c:v>&lt;=20 Years</c:v>
                </c:pt>
                <c:pt idx="1">
                  <c:v>21-25</c:v>
                </c:pt>
                <c:pt idx="2">
                  <c:v>26-30</c:v>
                </c:pt>
                <c:pt idx="3">
                  <c:v>31-35</c:v>
                </c:pt>
                <c:pt idx="4">
                  <c:v>36-40</c:v>
                </c:pt>
                <c:pt idx="5">
                  <c:v>41-45</c:v>
                </c:pt>
                <c:pt idx="6">
                  <c:v>46-50</c:v>
                </c:pt>
                <c:pt idx="7">
                  <c:v>51-55</c:v>
                </c:pt>
                <c:pt idx="8">
                  <c:v>56-60</c:v>
                </c:pt>
                <c:pt idx="9">
                  <c:v>61-65</c:v>
                </c:pt>
                <c:pt idx="10">
                  <c:v>66-70</c:v>
                </c:pt>
                <c:pt idx="11">
                  <c:v>&gt;=71 Years</c:v>
                </c:pt>
              </c:strCache>
            </c:strRef>
          </c:cat>
          <c:val>
            <c:numRef>
              <c:f>'Age (B)'!$B$2:$B$13</c:f>
              <c:numCache>
                <c:formatCode>0.0%</c:formatCode>
                <c:ptCount val="12"/>
                <c:pt idx="0">
                  <c:v>0.12042882105694</c:v>
                </c:pt>
                <c:pt idx="1">
                  <c:v>3.2429198872849202E-2</c:v>
                </c:pt>
                <c:pt idx="2">
                  <c:v>4.5739338507312315E-2</c:v>
                </c:pt>
                <c:pt idx="3">
                  <c:v>5.5901012231790059E-2</c:v>
                </c:pt>
                <c:pt idx="4">
                  <c:v>5.0005509815342478E-2</c:v>
                </c:pt>
                <c:pt idx="5">
                  <c:v>4.2819136375800891E-2</c:v>
                </c:pt>
                <c:pt idx="6">
                  <c:v>4.7596933394203678E-2</c:v>
                </c:pt>
                <c:pt idx="7">
                  <c:v>6.3567526722604406E-2</c:v>
                </c:pt>
                <c:pt idx="8">
                  <c:v>6.5078790359397384E-2</c:v>
                </c:pt>
                <c:pt idx="9">
                  <c:v>6.2166459392660925E-2</c:v>
                </c:pt>
                <c:pt idx="10">
                  <c:v>7.1989673031815249E-2</c:v>
                </c:pt>
                <c:pt idx="11">
                  <c:v>0.34227760023928339</c:v>
                </c:pt>
              </c:numCache>
            </c:numRef>
          </c:val>
        </c:ser>
        <c:ser>
          <c:idx val="1"/>
          <c:order val="1"/>
          <c:tx>
            <c:strRef>
              <c:f>'Age (B)'!$C$1</c:f>
              <c:strCache>
                <c:ptCount val="1"/>
                <c:pt idx="0">
                  <c:v>BSUH Outpatients</c:v>
                </c:pt>
              </c:strCache>
            </c:strRef>
          </c:tx>
          <c:spPr>
            <a:solidFill>
              <a:srgbClr val="41B6E6"/>
            </a:solidFill>
          </c:spPr>
          <c:invertIfNegative val="0"/>
          <c:cat>
            <c:strRef>
              <c:f>'Age (B)'!$A$2:$A$13</c:f>
              <c:strCache>
                <c:ptCount val="12"/>
                <c:pt idx="0">
                  <c:v>&lt;=20 Years</c:v>
                </c:pt>
                <c:pt idx="1">
                  <c:v>21-25</c:v>
                </c:pt>
                <c:pt idx="2">
                  <c:v>26-30</c:v>
                </c:pt>
                <c:pt idx="3">
                  <c:v>31-35</c:v>
                </c:pt>
                <c:pt idx="4">
                  <c:v>36-40</c:v>
                </c:pt>
                <c:pt idx="5">
                  <c:v>41-45</c:v>
                </c:pt>
                <c:pt idx="6">
                  <c:v>46-50</c:v>
                </c:pt>
                <c:pt idx="7">
                  <c:v>51-55</c:v>
                </c:pt>
                <c:pt idx="8">
                  <c:v>56-60</c:v>
                </c:pt>
                <c:pt idx="9">
                  <c:v>61-65</c:v>
                </c:pt>
                <c:pt idx="10">
                  <c:v>66-70</c:v>
                </c:pt>
                <c:pt idx="11">
                  <c:v>&gt;=71 Years</c:v>
                </c:pt>
              </c:strCache>
            </c:strRef>
          </c:cat>
          <c:val>
            <c:numRef>
              <c:f>'Age (B)'!$C$2:$C$13</c:f>
              <c:numCache>
                <c:formatCode>0.0%</c:formatCode>
                <c:ptCount val="12"/>
                <c:pt idx="0">
                  <c:v>0.11401385196516711</c:v>
                </c:pt>
                <c:pt idx="1">
                  <c:v>3.3910416037519452E-2</c:v>
                </c:pt>
                <c:pt idx="2">
                  <c:v>5.0105696732064969E-2</c:v>
                </c:pt>
                <c:pt idx="3">
                  <c:v>6.2251332141872902E-2</c:v>
                </c:pt>
                <c:pt idx="4">
                  <c:v>6.0112644167537158E-2</c:v>
                </c:pt>
                <c:pt idx="5">
                  <c:v>4.9541320738837484E-2</c:v>
                </c:pt>
                <c:pt idx="6">
                  <c:v>6.1368463263578442E-2</c:v>
                </c:pt>
                <c:pt idx="7">
                  <c:v>7.4162635998937257E-2</c:v>
                </c:pt>
                <c:pt idx="8">
                  <c:v>7.4118079999471925E-2</c:v>
                </c:pt>
                <c:pt idx="9">
                  <c:v>7.4030618222743691E-2</c:v>
                </c:pt>
                <c:pt idx="10">
                  <c:v>8.2421998122047133E-2</c:v>
                </c:pt>
                <c:pt idx="11">
                  <c:v>0.26396294261022246</c:v>
                </c:pt>
              </c:numCache>
            </c:numRef>
          </c:val>
        </c:ser>
        <c:ser>
          <c:idx val="2"/>
          <c:order val="2"/>
          <c:tx>
            <c:strRef>
              <c:f>'Age (B)'!$D$1</c:f>
              <c:strCache>
                <c:ptCount val="1"/>
                <c:pt idx="0">
                  <c:v>Census 2011 (SE England)</c:v>
                </c:pt>
              </c:strCache>
            </c:strRef>
          </c:tx>
          <c:spPr>
            <a:solidFill>
              <a:srgbClr val="FFB81C"/>
            </a:solidFill>
          </c:spPr>
          <c:invertIfNegative val="0"/>
          <c:cat>
            <c:strRef>
              <c:f>'Age (B)'!$A$2:$A$13</c:f>
              <c:strCache>
                <c:ptCount val="12"/>
                <c:pt idx="0">
                  <c:v>&lt;=20 Years</c:v>
                </c:pt>
                <c:pt idx="1">
                  <c:v>21-25</c:v>
                </c:pt>
                <c:pt idx="2">
                  <c:v>26-30</c:v>
                </c:pt>
                <c:pt idx="3">
                  <c:v>31-35</c:v>
                </c:pt>
                <c:pt idx="4">
                  <c:v>36-40</c:v>
                </c:pt>
                <c:pt idx="5">
                  <c:v>41-45</c:v>
                </c:pt>
                <c:pt idx="6">
                  <c:v>46-50</c:v>
                </c:pt>
                <c:pt idx="7">
                  <c:v>51-55</c:v>
                </c:pt>
                <c:pt idx="8">
                  <c:v>56-60</c:v>
                </c:pt>
                <c:pt idx="9">
                  <c:v>61-65</c:v>
                </c:pt>
                <c:pt idx="10">
                  <c:v>66-70</c:v>
                </c:pt>
                <c:pt idx="11">
                  <c:v>&gt;=71 Years</c:v>
                </c:pt>
              </c:strCache>
            </c:strRef>
          </c:cat>
          <c:val>
            <c:numRef>
              <c:f>'Age (B)'!$D$2:$D$13</c:f>
              <c:numCache>
                <c:formatCode>0.0%</c:formatCode>
                <c:ptCount val="12"/>
                <c:pt idx="0">
                  <c:v>0.253</c:v>
                </c:pt>
                <c:pt idx="1">
                  <c:v>6.0999999999999999E-2</c:v>
                </c:pt>
                <c:pt idx="2">
                  <c:v>6.2E-2</c:v>
                </c:pt>
                <c:pt idx="3">
                  <c:v>6.2E-2</c:v>
                </c:pt>
                <c:pt idx="4">
                  <c:v>6.9000000000000006E-2</c:v>
                </c:pt>
                <c:pt idx="5">
                  <c:v>7.4999999999999997E-2</c:v>
                </c:pt>
                <c:pt idx="6">
                  <c:v>7.3999999999999996E-2</c:v>
                </c:pt>
                <c:pt idx="7">
                  <c:v>6.4000000000000001E-2</c:v>
                </c:pt>
                <c:pt idx="8">
                  <c:v>5.7000000000000002E-2</c:v>
                </c:pt>
                <c:pt idx="9">
                  <c:v>6.0999999999999999E-2</c:v>
                </c:pt>
                <c:pt idx="10">
                  <c:v>4.7E-2</c:v>
                </c:pt>
                <c:pt idx="11">
                  <c:v>0.115</c:v>
                </c:pt>
              </c:numCache>
            </c:numRef>
          </c:val>
        </c:ser>
        <c:dLbls>
          <c:showLegendKey val="0"/>
          <c:showVal val="0"/>
          <c:showCatName val="0"/>
          <c:showSerName val="0"/>
          <c:showPercent val="0"/>
          <c:showBubbleSize val="0"/>
        </c:dLbls>
        <c:gapWidth val="150"/>
        <c:axId val="794147328"/>
        <c:axId val="794453696"/>
      </c:barChart>
      <c:catAx>
        <c:axId val="794147328"/>
        <c:scaling>
          <c:orientation val="minMax"/>
        </c:scaling>
        <c:delete val="0"/>
        <c:axPos val="b"/>
        <c:majorTickMark val="out"/>
        <c:minorTickMark val="none"/>
        <c:tickLblPos val="nextTo"/>
        <c:spPr>
          <a:ln>
            <a:noFill/>
          </a:ln>
        </c:spPr>
        <c:crossAx val="794453696"/>
        <c:crosses val="autoZero"/>
        <c:auto val="1"/>
        <c:lblAlgn val="ctr"/>
        <c:lblOffset val="100"/>
        <c:noMultiLvlLbl val="0"/>
      </c:catAx>
      <c:valAx>
        <c:axId val="794453696"/>
        <c:scaling>
          <c:orientation val="minMax"/>
        </c:scaling>
        <c:delete val="0"/>
        <c:axPos val="l"/>
        <c:numFmt formatCode="0.0%" sourceLinked="1"/>
        <c:majorTickMark val="out"/>
        <c:minorTickMark val="none"/>
        <c:tickLblPos val="nextTo"/>
        <c:spPr>
          <a:ln>
            <a:noFill/>
          </a:ln>
        </c:spPr>
        <c:crossAx val="794147328"/>
        <c:crosses val="autoZero"/>
        <c:crossBetween val="between"/>
      </c:valAx>
    </c:plotArea>
    <c:legend>
      <c:legendPos val="r"/>
      <c:layout>
        <c:manualLayout>
          <c:xMode val="edge"/>
          <c:yMode val="edge"/>
          <c:x val="0.68424276826507802"/>
          <c:y val="5.1826898876839569E-2"/>
          <c:w val="0.30252971850740884"/>
          <c:h val="0.17980219543157738"/>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085335735247115E-2"/>
          <c:y val="5.0925925925925923E-2"/>
          <c:w val="0.90321175258996689"/>
          <c:h val="0.78605643044619422"/>
        </c:manualLayout>
      </c:layout>
      <c:barChart>
        <c:barDir val="col"/>
        <c:grouping val="clustered"/>
        <c:varyColors val="0"/>
        <c:ser>
          <c:idx val="0"/>
          <c:order val="0"/>
          <c:tx>
            <c:strRef>
              <c:f>'Ethnicity (B)'!$B$1</c:f>
              <c:strCache>
                <c:ptCount val="1"/>
                <c:pt idx="0">
                  <c:v>BSUH Inpatients</c:v>
                </c:pt>
              </c:strCache>
            </c:strRef>
          </c:tx>
          <c:spPr>
            <a:solidFill>
              <a:srgbClr val="C5D9F1"/>
            </a:solidFill>
          </c:spPr>
          <c:invertIfNegative val="0"/>
          <c:cat>
            <c:strRef>
              <c:f>'Ethnicity (B)'!$A$2:$A$8</c:f>
              <c:strCache>
                <c:ptCount val="7"/>
                <c:pt idx="0">
                  <c:v>Asian</c:v>
                </c:pt>
                <c:pt idx="1">
                  <c:v>Black</c:v>
                </c:pt>
                <c:pt idx="2">
                  <c:v>Mixed</c:v>
                </c:pt>
                <c:pt idx="3">
                  <c:v>Other</c:v>
                </c:pt>
                <c:pt idx="4">
                  <c:v>White</c:v>
                </c:pt>
                <c:pt idx="5">
                  <c:v>White - Other</c:v>
                </c:pt>
                <c:pt idx="6">
                  <c:v>Unknown</c:v>
                </c:pt>
              </c:strCache>
            </c:strRef>
          </c:cat>
          <c:val>
            <c:numRef>
              <c:f>'Ethnicity (B)'!$B$2:$B$8</c:f>
              <c:numCache>
                <c:formatCode>0.0%</c:formatCode>
                <c:ptCount val="7"/>
                <c:pt idx="0">
                  <c:v>2.3715819466964723E-2</c:v>
                </c:pt>
                <c:pt idx="1">
                  <c:v>1.0240385372227382E-2</c:v>
                </c:pt>
                <c:pt idx="2">
                  <c:v>1.6072918470475261E-2</c:v>
                </c:pt>
                <c:pt idx="3">
                  <c:v>7.7137414794641312E-3</c:v>
                </c:pt>
                <c:pt idx="4">
                  <c:v>0.83504399981109201</c:v>
                </c:pt>
                <c:pt idx="5">
                  <c:v>5.3657730270925491E-2</c:v>
                </c:pt>
                <c:pt idx="6">
                  <c:v>5.3555405128850965E-2</c:v>
                </c:pt>
              </c:numCache>
            </c:numRef>
          </c:val>
        </c:ser>
        <c:ser>
          <c:idx val="1"/>
          <c:order val="1"/>
          <c:tx>
            <c:strRef>
              <c:f>'Ethnicity (B)'!$C$1</c:f>
              <c:strCache>
                <c:ptCount val="1"/>
                <c:pt idx="0">
                  <c:v>BSUH Outpatients</c:v>
                </c:pt>
              </c:strCache>
            </c:strRef>
          </c:tx>
          <c:spPr>
            <a:solidFill>
              <a:srgbClr val="41B6E6"/>
            </a:solidFill>
          </c:spPr>
          <c:invertIfNegative val="0"/>
          <c:cat>
            <c:strRef>
              <c:f>'Ethnicity (B)'!$A$2:$A$8</c:f>
              <c:strCache>
                <c:ptCount val="7"/>
                <c:pt idx="0">
                  <c:v>Asian</c:v>
                </c:pt>
                <c:pt idx="1">
                  <c:v>Black</c:v>
                </c:pt>
                <c:pt idx="2">
                  <c:v>Mixed</c:v>
                </c:pt>
                <c:pt idx="3">
                  <c:v>Other</c:v>
                </c:pt>
                <c:pt idx="4">
                  <c:v>White</c:v>
                </c:pt>
                <c:pt idx="5">
                  <c:v>White - Other</c:v>
                </c:pt>
                <c:pt idx="6">
                  <c:v>Unknown</c:v>
                </c:pt>
              </c:strCache>
            </c:strRef>
          </c:cat>
          <c:val>
            <c:numRef>
              <c:f>'Ethnicity (B)'!$C$2:$C$8</c:f>
              <c:numCache>
                <c:formatCode>0.0%</c:formatCode>
                <c:ptCount val="7"/>
                <c:pt idx="0">
                  <c:v>2.852574099102444E-2</c:v>
                </c:pt>
                <c:pt idx="1">
                  <c:v>1.1005331867936018E-2</c:v>
                </c:pt>
                <c:pt idx="2">
                  <c:v>1.5883388698288224E-2</c:v>
                </c:pt>
                <c:pt idx="3">
                  <c:v>7.6487799082146412E-3</c:v>
                </c:pt>
                <c:pt idx="4">
                  <c:v>0.80337932502611475</c:v>
                </c:pt>
                <c:pt idx="5">
                  <c:v>6.0378329942126704E-2</c:v>
                </c:pt>
                <c:pt idx="6">
                  <c:v>7.3179103566295201E-2</c:v>
                </c:pt>
              </c:numCache>
            </c:numRef>
          </c:val>
        </c:ser>
        <c:ser>
          <c:idx val="2"/>
          <c:order val="2"/>
          <c:tx>
            <c:strRef>
              <c:f>'Ethnicity (B)'!$D$1</c:f>
              <c:strCache>
                <c:ptCount val="1"/>
                <c:pt idx="0">
                  <c:v>2011 Census</c:v>
                </c:pt>
              </c:strCache>
            </c:strRef>
          </c:tx>
          <c:spPr>
            <a:solidFill>
              <a:srgbClr val="FFB81C"/>
            </a:solidFill>
          </c:spPr>
          <c:invertIfNegative val="0"/>
          <c:cat>
            <c:strRef>
              <c:f>'Ethnicity (B)'!$A$2:$A$8</c:f>
              <c:strCache>
                <c:ptCount val="7"/>
                <c:pt idx="0">
                  <c:v>Asian</c:v>
                </c:pt>
                <c:pt idx="1">
                  <c:v>Black</c:v>
                </c:pt>
                <c:pt idx="2">
                  <c:v>Mixed</c:v>
                </c:pt>
                <c:pt idx="3">
                  <c:v>Other</c:v>
                </c:pt>
                <c:pt idx="4">
                  <c:v>White</c:v>
                </c:pt>
                <c:pt idx="5">
                  <c:v>White - Other</c:v>
                </c:pt>
                <c:pt idx="6">
                  <c:v>Unknown</c:v>
                </c:pt>
              </c:strCache>
            </c:strRef>
          </c:cat>
          <c:val>
            <c:numRef>
              <c:f>'Ethnicity (B)'!$D$2:$D$8</c:f>
              <c:numCache>
                <c:formatCode>0.0%</c:formatCode>
                <c:ptCount val="7"/>
                <c:pt idx="0">
                  <c:v>5.2400000000000002E-2</c:v>
                </c:pt>
                <c:pt idx="1">
                  <c:v>1.5800000000000002E-2</c:v>
                </c:pt>
                <c:pt idx="2">
                  <c:v>1.9400000000000001E-2</c:v>
                </c:pt>
                <c:pt idx="3">
                  <c:v>5.8999999999999999E-3</c:v>
                </c:pt>
                <c:pt idx="4">
                  <c:v>0.85229999999999995</c:v>
                </c:pt>
                <c:pt idx="5">
                  <c:v>5.4300000000000001E-2</c:v>
                </c:pt>
              </c:numCache>
            </c:numRef>
          </c:val>
        </c:ser>
        <c:dLbls>
          <c:showLegendKey val="0"/>
          <c:showVal val="0"/>
          <c:showCatName val="0"/>
          <c:showSerName val="0"/>
          <c:showPercent val="0"/>
          <c:showBubbleSize val="0"/>
        </c:dLbls>
        <c:gapWidth val="150"/>
        <c:axId val="794148352"/>
        <c:axId val="794455424"/>
      </c:barChart>
      <c:catAx>
        <c:axId val="794148352"/>
        <c:scaling>
          <c:orientation val="minMax"/>
        </c:scaling>
        <c:delete val="0"/>
        <c:axPos val="b"/>
        <c:majorTickMark val="out"/>
        <c:minorTickMark val="none"/>
        <c:tickLblPos val="nextTo"/>
        <c:spPr>
          <a:ln>
            <a:noFill/>
          </a:ln>
        </c:spPr>
        <c:crossAx val="794455424"/>
        <c:crosses val="autoZero"/>
        <c:auto val="1"/>
        <c:lblAlgn val="ctr"/>
        <c:lblOffset val="100"/>
        <c:noMultiLvlLbl val="0"/>
      </c:catAx>
      <c:valAx>
        <c:axId val="794455424"/>
        <c:scaling>
          <c:orientation val="minMax"/>
        </c:scaling>
        <c:delete val="0"/>
        <c:axPos val="l"/>
        <c:numFmt formatCode="0.0%" sourceLinked="1"/>
        <c:majorTickMark val="out"/>
        <c:minorTickMark val="none"/>
        <c:tickLblPos val="nextTo"/>
        <c:spPr>
          <a:ln>
            <a:noFill/>
          </a:ln>
        </c:spPr>
        <c:crossAx val="794148352"/>
        <c:crosses val="autoZero"/>
        <c:crossBetween val="between"/>
      </c:valAx>
    </c:plotArea>
    <c:legend>
      <c:legendPos val="r"/>
      <c:layout>
        <c:manualLayout>
          <c:xMode val="edge"/>
          <c:yMode val="edge"/>
          <c:x val="0.79292452373342626"/>
          <c:y val="2.5023694954797317E-2"/>
          <c:w val="0.20040483869405623"/>
          <c:h val="0.2369892825896763"/>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'B Age'!$C$59</c:f>
              <c:strCache>
                <c:ptCount val="1"/>
                <c:pt idx="0">
                  <c:v>All Dismissals</c:v>
                </c:pt>
              </c:strCache>
            </c:strRef>
          </c:tx>
          <c:spPr>
            <a:solidFill>
              <a:schemeClr val="tx2">
                <a:lumMod val="40000"/>
                <a:lumOff val="60000"/>
              </a:schemeClr>
            </a:solidFill>
          </c:spPr>
          <c:invertIfNegative val="0"/>
          <c:cat>
            <c:strRef>
              <c:f>'B Age'!$A$60:$A$67</c:f>
              <c:strCache>
                <c:ptCount val="8"/>
                <c:pt idx="0">
                  <c:v>26 - 30</c:v>
                </c:pt>
                <c:pt idx="1">
                  <c:v>31 - 35</c:v>
                </c:pt>
                <c:pt idx="2">
                  <c:v>36 - 40</c:v>
                </c:pt>
                <c:pt idx="3">
                  <c:v>41 - 45</c:v>
                </c:pt>
                <c:pt idx="4">
                  <c:v>46 - 50</c:v>
                </c:pt>
                <c:pt idx="5">
                  <c:v>51 - 55</c:v>
                </c:pt>
                <c:pt idx="6">
                  <c:v>56 - 60</c:v>
                </c:pt>
                <c:pt idx="7">
                  <c:v>61 - 65</c:v>
                </c:pt>
              </c:strCache>
            </c:strRef>
          </c:cat>
          <c:val>
            <c:numRef>
              <c:f>'B Age'!$C$60:$C$67</c:f>
              <c:numCache>
                <c:formatCode>0%</c:formatCode>
                <c:ptCount val="8"/>
                <c:pt idx="0">
                  <c:v>5.8823529411764705E-2</c:v>
                </c:pt>
                <c:pt idx="1">
                  <c:v>0.11764705882352941</c:v>
                </c:pt>
                <c:pt idx="2">
                  <c:v>5.8823529411764705E-2</c:v>
                </c:pt>
                <c:pt idx="3">
                  <c:v>5.8823529411764705E-2</c:v>
                </c:pt>
                <c:pt idx="4">
                  <c:v>5.8823529411764705E-2</c:v>
                </c:pt>
                <c:pt idx="5">
                  <c:v>0.41176470588235292</c:v>
                </c:pt>
                <c:pt idx="6">
                  <c:v>0.17647058823529413</c:v>
                </c:pt>
                <c:pt idx="7">
                  <c:v>5.8823529411764705E-2</c:v>
                </c:pt>
              </c:numCache>
            </c:numRef>
          </c:val>
        </c:ser>
        <c:ser>
          <c:idx val="1"/>
          <c:order val="1"/>
          <c:tx>
            <c:strRef>
              <c:f>'B Age'!$E$59</c:f>
              <c:strCache>
                <c:ptCount val="1"/>
                <c:pt idx="0">
                  <c:v>Dismissals (Sickness only) %</c:v>
                </c:pt>
              </c:strCache>
            </c:strRef>
          </c:tx>
          <c:spPr>
            <a:solidFill>
              <a:schemeClr val="accent2">
                <a:lumMod val="40000"/>
                <a:lumOff val="60000"/>
              </a:schemeClr>
            </a:solidFill>
          </c:spPr>
          <c:invertIfNegative val="0"/>
          <c:cat>
            <c:strRef>
              <c:f>'B Age'!$A$60:$A$67</c:f>
              <c:strCache>
                <c:ptCount val="8"/>
                <c:pt idx="0">
                  <c:v>26 - 30</c:v>
                </c:pt>
                <c:pt idx="1">
                  <c:v>31 - 35</c:v>
                </c:pt>
                <c:pt idx="2">
                  <c:v>36 - 40</c:v>
                </c:pt>
                <c:pt idx="3">
                  <c:v>41 - 45</c:v>
                </c:pt>
                <c:pt idx="4">
                  <c:v>46 - 50</c:v>
                </c:pt>
                <c:pt idx="5">
                  <c:v>51 - 55</c:v>
                </c:pt>
                <c:pt idx="6">
                  <c:v>56 - 60</c:v>
                </c:pt>
                <c:pt idx="7">
                  <c:v>61 - 65</c:v>
                </c:pt>
              </c:strCache>
            </c:strRef>
          </c:cat>
          <c:val>
            <c:numRef>
              <c:f>'B Age'!$E$60:$E$67</c:f>
              <c:numCache>
                <c:formatCode>0%</c:formatCode>
                <c:ptCount val="8"/>
                <c:pt idx="0">
                  <c:v>0</c:v>
                </c:pt>
                <c:pt idx="1">
                  <c:v>7.6923076923076927E-2</c:v>
                </c:pt>
                <c:pt idx="2">
                  <c:v>7.6923076923076927E-2</c:v>
                </c:pt>
                <c:pt idx="3">
                  <c:v>0</c:v>
                </c:pt>
                <c:pt idx="4">
                  <c:v>0</c:v>
                </c:pt>
                <c:pt idx="5">
                  <c:v>0.53846153846153844</c:v>
                </c:pt>
                <c:pt idx="6">
                  <c:v>0.23076923076923078</c:v>
                </c:pt>
                <c:pt idx="7">
                  <c:v>7.6923076923076927E-2</c:v>
                </c:pt>
              </c:numCache>
            </c:numRef>
          </c:val>
        </c:ser>
        <c:dLbls>
          <c:showLegendKey val="0"/>
          <c:showVal val="0"/>
          <c:showCatName val="0"/>
          <c:showSerName val="0"/>
          <c:showPercent val="0"/>
          <c:showBubbleSize val="0"/>
        </c:dLbls>
        <c:gapWidth val="150"/>
        <c:axId val="165656576"/>
        <c:axId val="169988032"/>
      </c:barChart>
      <c:scatterChart>
        <c:scatterStyle val="lineMarker"/>
        <c:varyColors val="0"/>
        <c:ser>
          <c:idx val="2"/>
          <c:order val="2"/>
          <c:tx>
            <c:strRef>
              <c:f>'B Age'!$F$59</c:f>
              <c:strCache>
                <c:ptCount val="1"/>
                <c:pt idx="0">
                  <c:v>Workforce Representation %</c:v>
                </c:pt>
              </c:strCache>
            </c:strRef>
          </c:tx>
          <c:spPr>
            <a:ln w="28575">
              <a:noFill/>
            </a:ln>
          </c:spPr>
          <c:marker>
            <c:symbol val="dash"/>
            <c:size val="12"/>
            <c:spPr>
              <a:solidFill>
                <a:srgbClr val="41B6E6"/>
              </a:solidFill>
              <a:ln>
                <a:solidFill>
                  <a:schemeClr val="bg1"/>
                </a:solidFill>
              </a:ln>
            </c:spPr>
          </c:marker>
          <c:xVal>
            <c:strRef>
              <c:f>'B Age'!$A$60:$A$67</c:f>
              <c:strCache>
                <c:ptCount val="8"/>
                <c:pt idx="0">
                  <c:v>26 - 30</c:v>
                </c:pt>
                <c:pt idx="1">
                  <c:v>31 - 35</c:v>
                </c:pt>
                <c:pt idx="2">
                  <c:v>36 - 40</c:v>
                </c:pt>
                <c:pt idx="3">
                  <c:v>41 - 45</c:v>
                </c:pt>
                <c:pt idx="4">
                  <c:v>46 - 50</c:v>
                </c:pt>
                <c:pt idx="5">
                  <c:v>51 - 55</c:v>
                </c:pt>
                <c:pt idx="6">
                  <c:v>56 - 60</c:v>
                </c:pt>
                <c:pt idx="7">
                  <c:v>61 - 65</c:v>
                </c:pt>
              </c:strCache>
            </c:strRef>
          </c:xVal>
          <c:yVal>
            <c:numRef>
              <c:f>'B Age'!$F$60:$F$67</c:f>
              <c:numCache>
                <c:formatCode>0.0%</c:formatCode>
                <c:ptCount val="8"/>
                <c:pt idx="0">
                  <c:v>0.13264961117998422</c:v>
                </c:pt>
                <c:pt idx="1">
                  <c:v>0.14234193621097713</c:v>
                </c:pt>
                <c:pt idx="2">
                  <c:v>0.12126676434126001</c:v>
                </c:pt>
                <c:pt idx="3">
                  <c:v>0.12261918178744506</c:v>
                </c:pt>
                <c:pt idx="4">
                  <c:v>0.12814155302603403</c:v>
                </c:pt>
                <c:pt idx="5">
                  <c:v>0.11878733235658739</c:v>
                </c:pt>
                <c:pt idx="6">
                  <c:v>9.4781922686802661E-2</c:v>
                </c:pt>
                <c:pt idx="7">
                  <c:v>5.4660205116646002E-2</c:v>
                </c:pt>
              </c:numCache>
            </c:numRef>
          </c:yVal>
          <c:smooth val="0"/>
        </c:ser>
        <c:dLbls>
          <c:showLegendKey val="0"/>
          <c:showVal val="0"/>
          <c:showCatName val="0"/>
          <c:showSerName val="0"/>
          <c:showPercent val="0"/>
          <c:showBubbleSize val="0"/>
        </c:dLbls>
        <c:axId val="165656576"/>
        <c:axId val="169988032"/>
      </c:scatterChart>
      <c:catAx>
        <c:axId val="165656576"/>
        <c:scaling>
          <c:orientation val="minMax"/>
        </c:scaling>
        <c:delete val="0"/>
        <c:axPos val="b"/>
        <c:majorTickMark val="out"/>
        <c:minorTickMark val="none"/>
        <c:tickLblPos val="nextTo"/>
        <c:spPr>
          <a:ln>
            <a:noFill/>
          </a:ln>
        </c:spPr>
        <c:crossAx val="169988032"/>
        <c:crosses val="autoZero"/>
        <c:auto val="1"/>
        <c:lblAlgn val="ctr"/>
        <c:lblOffset val="100"/>
        <c:noMultiLvlLbl val="0"/>
      </c:catAx>
      <c:valAx>
        <c:axId val="169988032"/>
        <c:scaling>
          <c:orientation val="minMax"/>
        </c:scaling>
        <c:delete val="0"/>
        <c:axPos val="l"/>
        <c:numFmt formatCode="0%" sourceLinked="1"/>
        <c:majorTickMark val="out"/>
        <c:minorTickMark val="none"/>
        <c:tickLblPos val="nextTo"/>
        <c:spPr>
          <a:ln>
            <a:noFill/>
          </a:ln>
        </c:spPr>
        <c:crossAx val="165656576"/>
        <c:crosses val="autoZero"/>
        <c:crossBetween val="between"/>
      </c:valAx>
    </c:plotArea>
    <c:legend>
      <c:legendPos val="r"/>
      <c:layout>
        <c:manualLayout>
          <c:xMode val="edge"/>
          <c:yMode val="edge"/>
          <c:x val="6.6463582677165317E-2"/>
          <c:y val="2.6875801643303252E-2"/>
          <c:w val="0.9210364173228347"/>
          <c:h val="0.11161744986742216"/>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94685039370078"/>
          <c:y val="4.214129483814523E-2"/>
          <c:w val="0.82966447944007005"/>
          <c:h val="0.83724919801691455"/>
        </c:manualLayout>
      </c:layout>
      <c:barChart>
        <c:barDir val="col"/>
        <c:grouping val="clustered"/>
        <c:varyColors val="0"/>
        <c:ser>
          <c:idx val="0"/>
          <c:order val="0"/>
          <c:tx>
            <c:strRef>
              <c:f>'Gender (B)'!$A$2</c:f>
              <c:strCache>
                <c:ptCount val="1"/>
                <c:pt idx="0">
                  <c:v>BSUH Inpatients</c:v>
                </c:pt>
              </c:strCache>
            </c:strRef>
          </c:tx>
          <c:spPr>
            <a:solidFill>
              <a:srgbClr val="C5D9F1"/>
            </a:solidFill>
            <a:ln>
              <a:noFill/>
            </a:ln>
          </c:spPr>
          <c:invertIfNegative val="0"/>
          <c:cat>
            <c:strRef>
              <c:f>'Gender (B)'!$B$1:$D$1</c:f>
              <c:strCache>
                <c:ptCount val="3"/>
                <c:pt idx="0">
                  <c:v>Female</c:v>
                </c:pt>
                <c:pt idx="1">
                  <c:v>Male</c:v>
                </c:pt>
                <c:pt idx="2">
                  <c:v>Unknown</c:v>
                </c:pt>
              </c:strCache>
            </c:strRef>
          </c:cat>
          <c:val>
            <c:numRef>
              <c:f>'Gender (B)'!$B$2:$D$2</c:f>
              <c:numCache>
                <c:formatCode>0.0%</c:formatCode>
                <c:ptCount val="3"/>
                <c:pt idx="0">
                  <c:v>0.56799999999999995</c:v>
                </c:pt>
                <c:pt idx="1">
                  <c:v>0.43099999999999999</c:v>
                </c:pt>
                <c:pt idx="2">
                  <c:v>1E-3</c:v>
                </c:pt>
              </c:numCache>
            </c:numRef>
          </c:val>
        </c:ser>
        <c:ser>
          <c:idx val="1"/>
          <c:order val="1"/>
          <c:tx>
            <c:strRef>
              <c:f>'Gender (B)'!$A$3</c:f>
              <c:strCache>
                <c:ptCount val="1"/>
                <c:pt idx="0">
                  <c:v>BSUH Outpatients</c:v>
                </c:pt>
              </c:strCache>
            </c:strRef>
          </c:tx>
          <c:spPr>
            <a:solidFill>
              <a:srgbClr val="41B6E6"/>
            </a:solidFill>
          </c:spPr>
          <c:invertIfNegative val="0"/>
          <c:cat>
            <c:strRef>
              <c:f>'Gender (B)'!$B$1:$D$1</c:f>
              <c:strCache>
                <c:ptCount val="3"/>
                <c:pt idx="0">
                  <c:v>Female</c:v>
                </c:pt>
                <c:pt idx="1">
                  <c:v>Male</c:v>
                </c:pt>
                <c:pt idx="2">
                  <c:v>Unknown</c:v>
                </c:pt>
              </c:strCache>
            </c:strRef>
          </c:cat>
          <c:val>
            <c:numRef>
              <c:f>'Gender (B)'!$B$3:$D$3</c:f>
              <c:numCache>
                <c:formatCode>0.0%</c:formatCode>
                <c:ptCount val="3"/>
                <c:pt idx="0">
                  <c:v>0.57899999999999996</c:v>
                </c:pt>
                <c:pt idx="1">
                  <c:v>0.42099999999999999</c:v>
                </c:pt>
                <c:pt idx="2">
                  <c:v>0</c:v>
                </c:pt>
              </c:numCache>
            </c:numRef>
          </c:val>
        </c:ser>
        <c:ser>
          <c:idx val="2"/>
          <c:order val="2"/>
          <c:tx>
            <c:strRef>
              <c:f>'Gender (B)'!$A$4</c:f>
              <c:strCache>
                <c:ptCount val="1"/>
                <c:pt idx="0">
                  <c:v>Census 2011 (SE England)</c:v>
                </c:pt>
              </c:strCache>
            </c:strRef>
          </c:tx>
          <c:spPr>
            <a:solidFill>
              <a:srgbClr val="FFB81C"/>
            </a:solidFill>
          </c:spPr>
          <c:invertIfNegative val="0"/>
          <c:cat>
            <c:strRef>
              <c:f>'Gender (B)'!$B$1:$D$1</c:f>
              <c:strCache>
                <c:ptCount val="3"/>
                <c:pt idx="0">
                  <c:v>Female</c:v>
                </c:pt>
                <c:pt idx="1">
                  <c:v>Male</c:v>
                </c:pt>
                <c:pt idx="2">
                  <c:v>Unknown</c:v>
                </c:pt>
              </c:strCache>
            </c:strRef>
          </c:cat>
          <c:val>
            <c:numRef>
              <c:f>'Gender (B)'!$B$4:$D$4</c:f>
              <c:numCache>
                <c:formatCode>0.0%</c:formatCode>
                <c:ptCount val="3"/>
                <c:pt idx="0">
                  <c:v>0.50900000000000001</c:v>
                </c:pt>
                <c:pt idx="1">
                  <c:v>0.49099999999999999</c:v>
                </c:pt>
              </c:numCache>
            </c:numRef>
          </c:val>
        </c:ser>
        <c:dLbls>
          <c:showLegendKey val="0"/>
          <c:showVal val="0"/>
          <c:showCatName val="0"/>
          <c:showSerName val="0"/>
          <c:showPercent val="0"/>
          <c:showBubbleSize val="0"/>
        </c:dLbls>
        <c:gapWidth val="150"/>
        <c:axId val="794390528"/>
        <c:axId val="794457152"/>
      </c:barChart>
      <c:catAx>
        <c:axId val="794390528"/>
        <c:scaling>
          <c:orientation val="minMax"/>
        </c:scaling>
        <c:delete val="0"/>
        <c:axPos val="b"/>
        <c:majorTickMark val="out"/>
        <c:minorTickMark val="none"/>
        <c:tickLblPos val="nextTo"/>
        <c:spPr>
          <a:ln>
            <a:noFill/>
          </a:ln>
        </c:spPr>
        <c:crossAx val="794457152"/>
        <c:crosses val="autoZero"/>
        <c:auto val="1"/>
        <c:lblAlgn val="ctr"/>
        <c:lblOffset val="100"/>
        <c:noMultiLvlLbl val="0"/>
      </c:catAx>
      <c:valAx>
        <c:axId val="794457152"/>
        <c:scaling>
          <c:orientation val="minMax"/>
        </c:scaling>
        <c:delete val="0"/>
        <c:axPos val="l"/>
        <c:numFmt formatCode="0.0%" sourceLinked="1"/>
        <c:majorTickMark val="out"/>
        <c:minorTickMark val="none"/>
        <c:tickLblPos val="nextTo"/>
        <c:spPr>
          <a:ln>
            <a:noFill/>
          </a:ln>
        </c:spPr>
        <c:crossAx val="794390528"/>
        <c:crosses val="autoZero"/>
        <c:crossBetween val="between"/>
      </c:valAx>
    </c:plotArea>
    <c:legend>
      <c:legendPos val="r"/>
      <c:layout>
        <c:manualLayout>
          <c:xMode val="edge"/>
          <c:yMode val="edge"/>
          <c:x val="0.7120557742782152"/>
          <c:y val="2.7201808107319914E-2"/>
          <c:w val="0.27710411198600177"/>
          <c:h val="0.39064523184601924"/>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438916117628148E-2"/>
          <c:y val="4.6318396683518441E-2"/>
          <c:w val="0.90578063902726458"/>
          <c:h val="0.59452826531852476"/>
        </c:manualLayout>
      </c:layout>
      <c:barChart>
        <c:barDir val="col"/>
        <c:grouping val="clustered"/>
        <c:varyColors val="0"/>
        <c:ser>
          <c:idx val="0"/>
          <c:order val="0"/>
          <c:tx>
            <c:strRef>
              <c:f>'Relationship (B)'!$A$4</c:f>
              <c:strCache>
                <c:ptCount val="1"/>
                <c:pt idx="0">
                  <c:v>BSUH Inpatients</c:v>
                </c:pt>
              </c:strCache>
            </c:strRef>
          </c:tx>
          <c:spPr>
            <a:solidFill>
              <a:srgbClr val="C5D9F1"/>
            </a:solidFill>
          </c:spPr>
          <c:invertIfNegative val="0"/>
          <c:cat>
            <c:strRef>
              <c:f>'Relationship (B)'!$B$3:$G$3</c:f>
              <c:strCache>
                <c:ptCount val="6"/>
                <c:pt idx="0">
                  <c:v>CP/Married</c:v>
                </c:pt>
                <c:pt idx="1">
                  <c:v>Divorced/Dissolved CP</c:v>
                </c:pt>
                <c:pt idx="2">
                  <c:v>Legally Separated</c:v>
                </c:pt>
                <c:pt idx="3">
                  <c:v>Single</c:v>
                </c:pt>
                <c:pt idx="4">
                  <c:v>Widowed</c:v>
                </c:pt>
                <c:pt idx="5">
                  <c:v>Unknown</c:v>
                </c:pt>
              </c:strCache>
            </c:strRef>
          </c:cat>
          <c:val>
            <c:numRef>
              <c:f>'Relationship (B)'!$B$4:$G$4</c:f>
              <c:numCache>
                <c:formatCode>0.0%</c:formatCode>
                <c:ptCount val="6"/>
                <c:pt idx="0">
                  <c:v>0.40286982667695165</c:v>
                </c:pt>
                <c:pt idx="1">
                  <c:v>5.6231601152338523E-2</c:v>
                </c:pt>
                <c:pt idx="2">
                  <c:v>8.3513058262361661E-3</c:v>
                </c:pt>
                <c:pt idx="3">
                  <c:v>0.35284070336728429</c:v>
                </c:pt>
                <c:pt idx="4">
                  <c:v>7.4999999999999997E-2</c:v>
                </c:pt>
                <c:pt idx="5">
                  <c:v>0.104</c:v>
                </c:pt>
              </c:numCache>
            </c:numRef>
          </c:val>
        </c:ser>
        <c:ser>
          <c:idx val="1"/>
          <c:order val="1"/>
          <c:tx>
            <c:strRef>
              <c:f>'Relationship (B)'!$A$5</c:f>
              <c:strCache>
                <c:ptCount val="1"/>
                <c:pt idx="0">
                  <c:v>BSUH Outpatients</c:v>
                </c:pt>
              </c:strCache>
            </c:strRef>
          </c:tx>
          <c:spPr>
            <a:solidFill>
              <a:srgbClr val="41B6E6"/>
            </a:solidFill>
          </c:spPr>
          <c:invertIfNegative val="0"/>
          <c:cat>
            <c:strRef>
              <c:f>'Relationship (B)'!$B$3:$G$3</c:f>
              <c:strCache>
                <c:ptCount val="6"/>
                <c:pt idx="0">
                  <c:v>CP/Married</c:v>
                </c:pt>
                <c:pt idx="1">
                  <c:v>Divorced/Dissolved CP</c:v>
                </c:pt>
                <c:pt idx="2">
                  <c:v>Legally Separated</c:v>
                </c:pt>
                <c:pt idx="3">
                  <c:v>Single</c:v>
                </c:pt>
                <c:pt idx="4">
                  <c:v>Widowed</c:v>
                </c:pt>
                <c:pt idx="5">
                  <c:v>Unknown</c:v>
                </c:pt>
              </c:strCache>
            </c:strRef>
          </c:cat>
          <c:val>
            <c:numRef>
              <c:f>'Relationship (B)'!$B$5:$G$5</c:f>
              <c:numCache>
                <c:formatCode>0.0%</c:formatCode>
                <c:ptCount val="6"/>
                <c:pt idx="0">
                  <c:v>0.44</c:v>
                </c:pt>
                <c:pt idx="1">
                  <c:v>5.0999999999999997E-2</c:v>
                </c:pt>
                <c:pt idx="2">
                  <c:v>8.0000000000000002E-3</c:v>
                </c:pt>
                <c:pt idx="3">
                  <c:v>0.34399999999999997</c:v>
                </c:pt>
                <c:pt idx="4">
                  <c:v>4.7E-2</c:v>
                </c:pt>
                <c:pt idx="5">
                  <c:v>0.11</c:v>
                </c:pt>
              </c:numCache>
            </c:numRef>
          </c:val>
        </c:ser>
        <c:ser>
          <c:idx val="2"/>
          <c:order val="2"/>
          <c:tx>
            <c:strRef>
              <c:f>'Relationship (B)'!$A$6</c:f>
              <c:strCache>
                <c:ptCount val="1"/>
                <c:pt idx="0">
                  <c:v>Census 2011 (SE England)</c:v>
                </c:pt>
              </c:strCache>
            </c:strRef>
          </c:tx>
          <c:spPr>
            <a:solidFill>
              <a:srgbClr val="FFB81C"/>
            </a:solidFill>
          </c:spPr>
          <c:invertIfNegative val="0"/>
          <c:cat>
            <c:strRef>
              <c:f>'Relationship (B)'!$B$3:$G$3</c:f>
              <c:strCache>
                <c:ptCount val="6"/>
                <c:pt idx="0">
                  <c:v>CP/Married</c:v>
                </c:pt>
                <c:pt idx="1">
                  <c:v>Divorced/Dissolved CP</c:v>
                </c:pt>
                <c:pt idx="2">
                  <c:v>Legally Separated</c:v>
                </c:pt>
                <c:pt idx="3">
                  <c:v>Single</c:v>
                </c:pt>
                <c:pt idx="4">
                  <c:v>Widowed</c:v>
                </c:pt>
                <c:pt idx="5">
                  <c:v>Unknown</c:v>
                </c:pt>
              </c:strCache>
            </c:strRef>
          </c:cat>
          <c:val>
            <c:numRef>
              <c:f>'Relationship (B)'!$B$6:$G$6</c:f>
              <c:numCache>
                <c:formatCode>0.0%</c:formatCode>
                <c:ptCount val="6"/>
                <c:pt idx="0">
                  <c:v>0.498</c:v>
                </c:pt>
                <c:pt idx="1">
                  <c:v>6.5000000000000002E-2</c:v>
                </c:pt>
                <c:pt idx="2">
                  <c:v>0.02</c:v>
                </c:pt>
                <c:pt idx="3">
                  <c:v>0.34399999999999997</c:v>
                </c:pt>
                <c:pt idx="4">
                  <c:v>6.2E-2</c:v>
                </c:pt>
                <c:pt idx="5">
                  <c:v>1.0999999999999999E-2</c:v>
                </c:pt>
              </c:numCache>
            </c:numRef>
          </c:val>
        </c:ser>
        <c:dLbls>
          <c:showLegendKey val="0"/>
          <c:showVal val="0"/>
          <c:showCatName val="0"/>
          <c:showSerName val="0"/>
          <c:showPercent val="0"/>
          <c:showBubbleSize val="0"/>
        </c:dLbls>
        <c:gapWidth val="150"/>
        <c:axId val="794391040"/>
        <c:axId val="794458880"/>
      </c:barChart>
      <c:catAx>
        <c:axId val="794391040"/>
        <c:scaling>
          <c:orientation val="minMax"/>
        </c:scaling>
        <c:delete val="0"/>
        <c:axPos val="b"/>
        <c:majorTickMark val="out"/>
        <c:minorTickMark val="none"/>
        <c:tickLblPos val="nextTo"/>
        <c:spPr>
          <a:ln>
            <a:noFill/>
          </a:ln>
        </c:spPr>
        <c:crossAx val="794458880"/>
        <c:crosses val="autoZero"/>
        <c:auto val="1"/>
        <c:lblAlgn val="ctr"/>
        <c:lblOffset val="100"/>
        <c:noMultiLvlLbl val="0"/>
      </c:catAx>
      <c:valAx>
        <c:axId val="794458880"/>
        <c:scaling>
          <c:orientation val="minMax"/>
        </c:scaling>
        <c:delete val="0"/>
        <c:axPos val="l"/>
        <c:numFmt formatCode="0.0%" sourceLinked="1"/>
        <c:majorTickMark val="out"/>
        <c:minorTickMark val="none"/>
        <c:tickLblPos val="nextTo"/>
        <c:spPr>
          <a:ln>
            <a:noFill/>
          </a:ln>
        </c:spPr>
        <c:crossAx val="794391040"/>
        <c:crosses val="autoZero"/>
        <c:crossBetween val="between"/>
      </c:valAx>
    </c:plotArea>
    <c:legend>
      <c:legendPos val="r"/>
      <c:layout>
        <c:manualLayout>
          <c:xMode val="edge"/>
          <c:yMode val="edge"/>
          <c:x val="0.73286581364829395"/>
          <c:y val="5.3089656033296205E-2"/>
          <c:w val="0.26713418635170605"/>
          <c:h val="0.21355730095690478"/>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626602216091726E-2"/>
          <c:y val="5.1400554097404488E-2"/>
          <c:w val="0.91092817943211646"/>
          <c:h val="0.61870734908136493"/>
        </c:manualLayout>
      </c:layout>
      <c:barChart>
        <c:barDir val="col"/>
        <c:grouping val="clustered"/>
        <c:varyColors val="0"/>
        <c:ser>
          <c:idx val="0"/>
          <c:order val="0"/>
          <c:tx>
            <c:strRef>
              <c:f>'RorB (B) '!$B$2</c:f>
              <c:strCache>
                <c:ptCount val="1"/>
                <c:pt idx="0">
                  <c:v>BSUH Inpatients</c:v>
                </c:pt>
              </c:strCache>
            </c:strRef>
          </c:tx>
          <c:spPr>
            <a:solidFill>
              <a:srgbClr val="C5D9F1"/>
            </a:solidFill>
          </c:spPr>
          <c:invertIfNegative val="0"/>
          <c:cat>
            <c:strRef>
              <c:f>'RorB (B) '!$A$3:$A$13</c:f>
              <c:strCache>
                <c:ptCount val="11"/>
                <c:pt idx="0">
                  <c:v>Atheism</c:v>
                </c:pt>
                <c:pt idx="1">
                  <c:v>Buddhism</c:v>
                </c:pt>
                <c:pt idx="2">
                  <c:v>Christianity</c:v>
                </c:pt>
                <c:pt idx="3">
                  <c:v>Hinduism</c:v>
                </c:pt>
                <c:pt idx="4">
                  <c:v>Islam</c:v>
                </c:pt>
                <c:pt idx="5">
                  <c:v>Jainism</c:v>
                </c:pt>
                <c:pt idx="6">
                  <c:v>Judaism</c:v>
                </c:pt>
                <c:pt idx="7">
                  <c:v>Other</c:v>
                </c:pt>
                <c:pt idx="8">
                  <c:v>Sikhism</c:v>
                </c:pt>
                <c:pt idx="9">
                  <c:v>Declined to Specify</c:v>
                </c:pt>
                <c:pt idx="10">
                  <c:v>Unknown</c:v>
                </c:pt>
              </c:strCache>
            </c:strRef>
          </c:cat>
          <c:val>
            <c:numRef>
              <c:f>'RorB (B) '!$B$3:$B$13</c:f>
              <c:numCache>
                <c:formatCode>0.00%</c:formatCode>
                <c:ptCount val="11"/>
                <c:pt idx="0" formatCode="0.0%">
                  <c:v>0.30171748815389704</c:v>
                </c:pt>
                <c:pt idx="1">
                  <c:v>2.8257481542118602E-3</c:v>
                </c:pt>
                <c:pt idx="2">
                  <c:v>0.47408025439604551</c:v>
                </c:pt>
                <c:pt idx="3">
                  <c:v>4.392109944429577E-3</c:v>
                </c:pt>
                <c:pt idx="4">
                  <c:v>1.4750562788281411E-2</c:v>
                </c:pt>
                <c:pt idx="6">
                  <c:v>6.3362876438455363E-3</c:v>
                </c:pt>
                <c:pt idx="7">
                  <c:v>1.8103678982415817E-2</c:v>
                </c:pt>
                <c:pt idx="8">
                  <c:v>4.8801221604773072E-4</c:v>
                </c:pt>
                <c:pt idx="9">
                  <c:v>1.7001715913920943E-3</c:v>
                </c:pt>
                <c:pt idx="10">
                  <c:v>0.17560568612943345</c:v>
                </c:pt>
              </c:numCache>
            </c:numRef>
          </c:val>
        </c:ser>
        <c:ser>
          <c:idx val="1"/>
          <c:order val="1"/>
          <c:tx>
            <c:strRef>
              <c:f>'RorB (B) '!$C$2</c:f>
              <c:strCache>
                <c:ptCount val="1"/>
                <c:pt idx="0">
                  <c:v>BSUH Outpatients</c:v>
                </c:pt>
              </c:strCache>
            </c:strRef>
          </c:tx>
          <c:spPr>
            <a:solidFill>
              <a:srgbClr val="41B6E6"/>
            </a:solidFill>
          </c:spPr>
          <c:invertIfNegative val="0"/>
          <c:cat>
            <c:strRef>
              <c:f>'RorB (B) '!$A$3:$A$13</c:f>
              <c:strCache>
                <c:ptCount val="11"/>
                <c:pt idx="0">
                  <c:v>Atheism</c:v>
                </c:pt>
                <c:pt idx="1">
                  <c:v>Buddhism</c:v>
                </c:pt>
                <c:pt idx="2">
                  <c:v>Christianity</c:v>
                </c:pt>
                <c:pt idx="3">
                  <c:v>Hinduism</c:v>
                </c:pt>
                <c:pt idx="4">
                  <c:v>Islam</c:v>
                </c:pt>
                <c:pt idx="5">
                  <c:v>Jainism</c:v>
                </c:pt>
                <c:pt idx="6">
                  <c:v>Judaism</c:v>
                </c:pt>
                <c:pt idx="7">
                  <c:v>Other</c:v>
                </c:pt>
                <c:pt idx="8">
                  <c:v>Sikhism</c:v>
                </c:pt>
                <c:pt idx="9">
                  <c:v>Declined to Specify</c:v>
                </c:pt>
                <c:pt idx="10">
                  <c:v>Unknown</c:v>
                </c:pt>
              </c:strCache>
            </c:strRef>
          </c:cat>
          <c:val>
            <c:numRef>
              <c:f>'RorB (B) '!$C$3:$C$13</c:f>
              <c:numCache>
                <c:formatCode>0.00%</c:formatCode>
                <c:ptCount val="11"/>
                <c:pt idx="0">
                  <c:v>0.33764701417045806</c:v>
                </c:pt>
                <c:pt idx="1">
                  <c:v>4.2740755042666497E-3</c:v>
                </c:pt>
                <c:pt idx="2">
                  <c:v>0.47941265291371482</c:v>
                </c:pt>
                <c:pt idx="3">
                  <c:v>5.5298946003079314E-3</c:v>
                </c:pt>
                <c:pt idx="4">
                  <c:v>1.7866955785596529E-2</c:v>
                </c:pt>
                <c:pt idx="5">
                  <c:v>3.3004444048391114E-6</c:v>
                </c:pt>
                <c:pt idx="6">
                  <c:v>6.8187181403976047E-3</c:v>
                </c:pt>
                <c:pt idx="7">
                  <c:v>1.3866817166931528E-2</c:v>
                </c:pt>
                <c:pt idx="8">
                  <c:v>7.9540710156622584E-4</c:v>
                </c:pt>
                <c:pt idx="9">
                  <c:v>1.2244648741953103E-3</c:v>
                </c:pt>
                <c:pt idx="10">
                  <c:v>0.1325606992981605</c:v>
                </c:pt>
              </c:numCache>
            </c:numRef>
          </c:val>
        </c:ser>
        <c:ser>
          <c:idx val="2"/>
          <c:order val="2"/>
          <c:tx>
            <c:strRef>
              <c:f>'RorB (B) '!$D$2</c:f>
              <c:strCache>
                <c:ptCount val="1"/>
                <c:pt idx="0">
                  <c:v>Census 2011 (SE England)</c:v>
                </c:pt>
              </c:strCache>
            </c:strRef>
          </c:tx>
          <c:spPr>
            <a:solidFill>
              <a:srgbClr val="FFB81C"/>
            </a:solidFill>
          </c:spPr>
          <c:invertIfNegative val="0"/>
          <c:cat>
            <c:strRef>
              <c:f>'RorB (B) '!$A$3:$A$13</c:f>
              <c:strCache>
                <c:ptCount val="11"/>
                <c:pt idx="0">
                  <c:v>Atheism</c:v>
                </c:pt>
                <c:pt idx="1">
                  <c:v>Buddhism</c:v>
                </c:pt>
                <c:pt idx="2">
                  <c:v>Christianity</c:v>
                </c:pt>
                <c:pt idx="3">
                  <c:v>Hinduism</c:v>
                </c:pt>
                <c:pt idx="4">
                  <c:v>Islam</c:v>
                </c:pt>
                <c:pt idx="5">
                  <c:v>Jainism</c:v>
                </c:pt>
                <c:pt idx="6">
                  <c:v>Judaism</c:v>
                </c:pt>
                <c:pt idx="7">
                  <c:v>Other</c:v>
                </c:pt>
                <c:pt idx="8">
                  <c:v>Sikhism</c:v>
                </c:pt>
                <c:pt idx="9">
                  <c:v>Declined to Specify</c:v>
                </c:pt>
                <c:pt idx="10">
                  <c:v>Unknown</c:v>
                </c:pt>
              </c:strCache>
            </c:strRef>
          </c:cat>
          <c:val>
            <c:numRef>
              <c:f>'RorB (B) '!$D$3:$D$13</c:f>
              <c:numCache>
                <c:formatCode>0.0%</c:formatCode>
                <c:ptCount val="11"/>
                <c:pt idx="0">
                  <c:v>0.27600000000000002</c:v>
                </c:pt>
                <c:pt idx="1">
                  <c:v>5.0000000000000001E-3</c:v>
                </c:pt>
                <c:pt idx="2">
                  <c:v>0.59699999999999998</c:v>
                </c:pt>
                <c:pt idx="3">
                  <c:v>1.2E-2</c:v>
                </c:pt>
                <c:pt idx="4">
                  <c:v>2.3E-2</c:v>
                </c:pt>
                <c:pt idx="6">
                  <c:v>2E-3</c:v>
                </c:pt>
                <c:pt idx="7">
                  <c:v>5.0000000000000001E-3</c:v>
                </c:pt>
                <c:pt idx="8">
                  <c:v>6.4000000000000003E-3</c:v>
                </c:pt>
                <c:pt idx="10">
                  <c:v>7.3999999999999996E-2</c:v>
                </c:pt>
              </c:numCache>
            </c:numRef>
          </c:val>
        </c:ser>
        <c:dLbls>
          <c:showLegendKey val="0"/>
          <c:showVal val="0"/>
          <c:showCatName val="0"/>
          <c:showSerName val="0"/>
          <c:showPercent val="0"/>
          <c:showBubbleSize val="0"/>
        </c:dLbls>
        <c:gapWidth val="150"/>
        <c:axId val="794391552"/>
        <c:axId val="794788416"/>
      </c:barChart>
      <c:catAx>
        <c:axId val="794391552"/>
        <c:scaling>
          <c:orientation val="minMax"/>
        </c:scaling>
        <c:delete val="0"/>
        <c:axPos val="b"/>
        <c:majorTickMark val="out"/>
        <c:minorTickMark val="none"/>
        <c:tickLblPos val="nextTo"/>
        <c:spPr>
          <a:ln>
            <a:noFill/>
          </a:ln>
        </c:spPr>
        <c:txPr>
          <a:bodyPr rot="-5400000" vert="horz"/>
          <a:lstStyle/>
          <a:p>
            <a:pPr>
              <a:defRPr/>
            </a:pPr>
            <a:endParaRPr lang="en-US"/>
          </a:p>
        </c:txPr>
        <c:crossAx val="794788416"/>
        <c:crosses val="autoZero"/>
        <c:auto val="1"/>
        <c:lblAlgn val="ctr"/>
        <c:lblOffset val="100"/>
        <c:noMultiLvlLbl val="0"/>
      </c:catAx>
      <c:valAx>
        <c:axId val="794788416"/>
        <c:scaling>
          <c:orientation val="minMax"/>
        </c:scaling>
        <c:delete val="0"/>
        <c:axPos val="l"/>
        <c:numFmt formatCode="0.0%" sourceLinked="1"/>
        <c:majorTickMark val="out"/>
        <c:minorTickMark val="none"/>
        <c:tickLblPos val="nextTo"/>
        <c:spPr>
          <a:ln>
            <a:noFill/>
          </a:ln>
        </c:spPr>
        <c:crossAx val="794391552"/>
        <c:crosses val="autoZero"/>
        <c:crossBetween val="between"/>
      </c:valAx>
    </c:plotArea>
    <c:legend>
      <c:legendPos val="r"/>
      <c:layout>
        <c:manualLayout>
          <c:xMode val="edge"/>
          <c:yMode val="edge"/>
          <c:x val="0.76246706140899057"/>
          <c:y val="4.109069699620882E-2"/>
          <c:w val="0.23753295585242856"/>
          <c:h val="0.2369892825896763"/>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'Age (formatted)'!$B$1:$C$1</c:f>
              <c:strCache>
                <c:ptCount val="1"/>
                <c:pt idx="0">
                  <c:v>Recommend % Overall</c:v>
                </c:pt>
              </c:strCache>
            </c:strRef>
          </c:tx>
          <c:spPr>
            <a:solidFill>
              <a:schemeClr val="accent1"/>
            </a:solidFill>
            <a:ln>
              <a:noFill/>
            </a:ln>
            <a:effectLst/>
          </c:spPr>
          <c:invertIfNegative val="0"/>
          <c:cat>
            <c:strRef>
              <c:f>'Age (formatted)'!$A$2:$A$10</c:f>
              <c:strCache>
                <c:ptCount val="9"/>
                <c:pt idx="0">
                  <c:v>0-15</c:v>
                </c:pt>
                <c:pt idx="1">
                  <c:v>16-24</c:v>
                </c:pt>
                <c:pt idx="2">
                  <c:v>25-44</c:v>
                </c:pt>
                <c:pt idx="3">
                  <c:v>45-64</c:v>
                </c:pt>
                <c:pt idx="4">
                  <c:v>65-74</c:v>
                </c:pt>
                <c:pt idx="5">
                  <c:v>75-84</c:v>
                </c:pt>
                <c:pt idx="6">
                  <c:v>85+</c:v>
                </c:pt>
                <c:pt idx="7">
                  <c:v>Did not answer</c:v>
                </c:pt>
                <c:pt idx="8">
                  <c:v>Prefer not to say</c:v>
                </c:pt>
              </c:strCache>
            </c:strRef>
          </c:cat>
          <c:val>
            <c:numRef>
              <c:f>'Age (formatted)'!$B$2:$B$10</c:f>
              <c:numCache>
                <c:formatCode>0.00%</c:formatCode>
                <c:ptCount val="9"/>
                <c:pt idx="0">
                  <c:v>0.96680161943319842</c:v>
                </c:pt>
                <c:pt idx="1">
                  <c:v>0.96551724137931039</c:v>
                </c:pt>
                <c:pt idx="2">
                  <c:v>0.97152941176470586</c:v>
                </c:pt>
                <c:pt idx="3">
                  <c:v>0.96722254169062682</c:v>
                </c:pt>
                <c:pt idx="4">
                  <c:v>0.97085137085137085</c:v>
                </c:pt>
                <c:pt idx="5">
                  <c:v>0.96902255639097745</c:v>
                </c:pt>
                <c:pt idx="6">
                  <c:v>0.94926979246733278</c:v>
                </c:pt>
                <c:pt idx="7">
                  <c:v>0.89250966280154609</c:v>
                </c:pt>
                <c:pt idx="8">
                  <c:v>0.797752808988764</c:v>
                </c:pt>
              </c:numCache>
            </c:numRef>
          </c:val>
          <c:extLst xmlns:c16r2="http://schemas.microsoft.com/office/drawing/2015/06/chart">
            <c:ext xmlns:c16="http://schemas.microsoft.com/office/drawing/2014/chart" uri="{C3380CC4-5D6E-409C-BE32-E72D297353CC}">
              <c16:uniqueId val="{00000000-CB22-4176-B556-2D87380F1FC2}"/>
            </c:ext>
          </c:extLst>
        </c:ser>
        <c:dLbls>
          <c:showLegendKey val="0"/>
          <c:showVal val="0"/>
          <c:showCatName val="0"/>
          <c:showSerName val="0"/>
          <c:showPercent val="0"/>
          <c:showBubbleSize val="0"/>
        </c:dLbls>
        <c:gapWidth val="219"/>
        <c:axId val="794392576"/>
        <c:axId val="794790144"/>
      </c:barChart>
      <c:lineChart>
        <c:grouping val="standard"/>
        <c:varyColors val="0"/>
        <c:ser>
          <c:idx val="1"/>
          <c:order val="1"/>
          <c:tx>
            <c:strRef>
              <c:f>'Age (formatted)'!$C$1</c:f>
              <c:strCache>
                <c:ptCount val="1"/>
                <c:pt idx="0">
                  <c:v>Overall</c:v>
                </c:pt>
              </c:strCache>
            </c:strRef>
          </c:tx>
          <c:marker>
            <c:symbol val="none"/>
          </c:marker>
          <c:val>
            <c:numRef>
              <c:f>'Age (formatted)'!$C$2:$C$10</c:f>
              <c:numCache>
                <c:formatCode>0.00%</c:formatCode>
                <c:ptCount val="9"/>
                <c:pt idx="0">
                  <c:v>0.93486391622072618</c:v>
                </c:pt>
                <c:pt idx="1">
                  <c:v>0.93486391622072618</c:v>
                </c:pt>
                <c:pt idx="2">
                  <c:v>0.93486391622072618</c:v>
                </c:pt>
                <c:pt idx="3">
                  <c:v>0.93486391622072618</c:v>
                </c:pt>
                <c:pt idx="4">
                  <c:v>0.93486391622072618</c:v>
                </c:pt>
                <c:pt idx="5">
                  <c:v>0.93486391622072618</c:v>
                </c:pt>
                <c:pt idx="6">
                  <c:v>0.93486391622072618</c:v>
                </c:pt>
                <c:pt idx="7">
                  <c:v>0.93486391622072618</c:v>
                </c:pt>
                <c:pt idx="8">
                  <c:v>0.93486391622072618</c:v>
                </c:pt>
              </c:numCache>
            </c:numRef>
          </c:val>
          <c:smooth val="0"/>
        </c:ser>
        <c:dLbls>
          <c:showLegendKey val="0"/>
          <c:showVal val="0"/>
          <c:showCatName val="0"/>
          <c:showSerName val="0"/>
          <c:showPercent val="0"/>
          <c:showBubbleSize val="0"/>
        </c:dLbls>
        <c:marker val="1"/>
        <c:smooth val="0"/>
        <c:axId val="794392576"/>
        <c:axId val="794790144"/>
      </c:lineChart>
      <c:catAx>
        <c:axId val="79439257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794790144"/>
        <c:crosses val="autoZero"/>
        <c:auto val="1"/>
        <c:lblAlgn val="ctr"/>
        <c:lblOffset val="100"/>
        <c:noMultiLvlLbl val="0"/>
      </c:catAx>
      <c:valAx>
        <c:axId val="794790144"/>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n-US"/>
          </a:p>
        </c:txPr>
        <c:crossAx val="7943925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'Disability (formatted)'!$B$1</c:f>
              <c:strCache>
                <c:ptCount val="1"/>
                <c:pt idx="0">
                  <c:v>Recommend %</c:v>
                </c:pt>
              </c:strCache>
            </c:strRef>
          </c:tx>
          <c:spPr>
            <a:solidFill>
              <a:schemeClr val="accent1"/>
            </a:solidFill>
            <a:ln>
              <a:noFill/>
            </a:ln>
            <a:effectLst/>
          </c:spPr>
          <c:invertIfNegative val="0"/>
          <c:cat>
            <c:strRef>
              <c:f>'Disability (formatted)'!$A$15:$A$17</c:f>
              <c:strCache>
                <c:ptCount val="3"/>
                <c:pt idx="0">
                  <c:v>Yes</c:v>
                </c:pt>
                <c:pt idx="1">
                  <c:v>No</c:v>
                </c:pt>
                <c:pt idx="2">
                  <c:v>Prefer not to say</c:v>
                </c:pt>
              </c:strCache>
            </c:strRef>
          </c:cat>
          <c:val>
            <c:numRef>
              <c:f>'Disability (formatted)'!$B$15:$B$17</c:f>
              <c:numCache>
                <c:formatCode>0.00%</c:formatCode>
                <c:ptCount val="3"/>
                <c:pt idx="0">
                  <c:v>0.95866345160179123</c:v>
                </c:pt>
                <c:pt idx="1">
                  <c:v>0.97130229083665343</c:v>
                </c:pt>
                <c:pt idx="2">
                  <c:v>0.89342030270407191</c:v>
                </c:pt>
              </c:numCache>
            </c:numRef>
          </c:val>
          <c:extLst xmlns:c16r2="http://schemas.microsoft.com/office/drawing/2015/06/chart">
            <c:ext xmlns:c16="http://schemas.microsoft.com/office/drawing/2014/chart" uri="{C3380CC4-5D6E-409C-BE32-E72D297353CC}">
              <c16:uniqueId val="{00000000-61C5-48EE-905E-511910F87E7F}"/>
            </c:ext>
          </c:extLst>
        </c:ser>
        <c:dLbls>
          <c:showLegendKey val="0"/>
          <c:showVal val="0"/>
          <c:showCatName val="0"/>
          <c:showSerName val="0"/>
          <c:showPercent val="0"/>
          <c:showBubbleSize val="0"/>
        </c:dLbls>
        <c:gapWidth val="219"/>
        <c:overlap val="-27"/>
        <c:axId val="794393600"/>
        <c:axId val="794791872"/>
      </c:barChart>
      <c:lineChart>
        <c:grouping val="standard"/>
        <c:varyColors val="0"/>
        <c:ser>
          <c:idx val="1"/>
          <c:order val="1"/>
          <c:tx>
            <c:strRef>
              <c:f>'Disability (formatted)'!$C$1</c:f>
              <c:strCache>
                <c:ptCount val="1"/>
                <c:pt idx="0">
                  <c:v>Overall</c:v>
                </c:pt>
              </c:strCache>
            </c:strRef>
          </c:tx>
          <c:marker>
            <c:symbol val="none"/>
          </c:marker>
          <c:val>
            <c:numRef>
              <c:f>'Disability (formatted)'!$C$15:$C$17</c:f>
              <c:numCache>
                <c:formatCode>0.00%</c:formatCode>
                <c:ptCount val="3"/>
                <c:pt idx="0">
                  <c:v>0.93486391622072618</c:v>
                </c:pt>
                <c:pt idx="1">
                  <c:v>0.93486391622072618</c:v>
                </c:pt>
                <c:pt idx="2">
                  <c:v>0.93486391622072618</c:v>
                </c:pt>
              </c:numCache>
            </c:numRef>
          </c:val>
          <c:smooth val="0"/>
        </c:ser>
        <c:dLbls>
          <c:showLegendKey val="0"/>
          <c:showVal val="0"/>
          <c:showCatName val="0"/>
          <c:showSerName val="0"/>
          <c:showPercent val="0"/>
          <c:showBubbleSize val="0"/>
        </c:dLbls>
        <c:marker val="1"/>
        <c:smooth val="0"/>
        <c:axId val="794393600"/>
        <c:axId val="794791872"/>
      </c:lineChart>
      <c:catAx>
        <c:axId val="79439360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794791872"/>
        <c:crosses val="autoZero"/>
        <c:auto val="1"/>
        <c:lblAlgn val="ctr"/>
        <c:lblOffset val="100"/>
        <c:noMultiLvlLbl val="0"/>
      </c:catAx>
      <c:valAx>
        <c:axId val="794791872"/>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n-US"/>
          </a:p>
        </c:txPr>
        <c:crossAx val="794393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'Ethnicity (formatted)'!$B$1</c:f>
              <c:strCache>
                <c:ptCount val="1"/>
                <c:pt idx="0">
                  <c:v>Recommended %</c:v>
                </c:pt>
              </c:strCache>
            </c:strRef>
          </c:tx>
          <c:spPr>
            <a:solidFill>
              <a:schemeClr val="accent1"/>
            </a:solidFill>
            <a:ln>
              <a:noFill/>
            </a:ln>
            <a:effectLst/>
          </c:spPr>
          <c:invertIfNegative val="0"/>
          <c:cat>
            <c:strRef>
              <c:f>'Ethnicity (formatted)'!$A$2:$A$8</c:f>
              <c:strCache>
                <c:ptCount val="7"/>
                <c:pt idx="0">
                  <c:v>White</c:v>
                </c:pt>
                <c:pt idx="1">
                  <c:v>Asian or Asian British</c:v>
                </c:pt>
                <c:pt idx="2">
                  <c:v>Mixed</c:v>
                </c:pt>
                <c:pt idx="3">
                  <c:v>Black or Black British</c:v>
                </c:pt>
                <c:pt idx="4">
                  <c:v>Other</c:v>
                </c:pt>
                <c:pt idx="5">
                  <c:v>Did not answer</c:v>
                </c:pt>
                <c:pt idx="6">
                  <c:v>Prefer not to say</c:v>
                </c:pt>
              </c:strCache>
            </c:strRef>
          </c:cat>
          <c:val>
            <c:numRef>
              <c:f>'Ethnicity (formatted)'!$B$2:$B$8</c:f>
              <c:numCache>
                <c:formatCode>0.00%</c:formatCode>
                <c:ptCount val="7"/>
                <c:pt idx="0">
                  <c:v>0.96939597315436243</c:v>
                </c:pt>
                <c:pt idx="1">
                  <c:v>0.96581196581196582</c:v>
                </c:pt>
                <c:pt idx="2">
                  <c:v>0.95897435897435901</c:v>
                </c:pt>
                <c:pt idx="3">
                  <c:v>0.95121951219512191</c:v>
                </c:pt>
                <c:pt idx="4">
                  <c:v>0.93142857142857138</c:v>
                </c:pt>
                <c:pt idx="5">
                  <c:v>0.89155904673146047</c:v>
                </c:pt>
                <c:pt idx="6">
                  <c:v>0.87830687830687826</c:v>
                </c:pt>
              </c:numCache>
            </c:numRef>
          </c:val>
          <c:extLst xmlns:c16r2="http://schemas.microsoft.com/office/drawing/2015/06/chart">
            <c:ext xmlns:c16="http://schemas.microsoft.com/office/drawing/2014/chart" uri="{C3380CC4-5D6E-409C-BE32-E72D297353CC}">
              <c16:uniqueId val="{00000000-78E7-4AEB-96CE-FDB79CEA2060}"/>
            </c:ext>
          </c:extLst>
        </c:ser>
        <c:dLbls>
          <c:showLegendKey val="0"/>
          <c:showVal val="0"/>
          <c:showCatName val="0"/>
          <c:showSerName val="0"/>
          <c:showPercent val="0"/>
          <c:showBubbleSize val="0"/>
        </c:dLbls>
        <c:gapWidth val="219"/>
        <c:overlap val="-27"/>
        <c:axId val="794828800"/>
        <c:axId val="794793600"/>
      </c:barChart>
      <c:lineChart>
        <c:grouping val="standard"/>
        <c:varyColors val="0"/>
        <c:ser>
          <c:idx val="1"/>
          <c:order val="1"/>
          <c:tx>
            <c:strRef>
              <c:f>'Ethnicity (formatted)'!$C$1</c:f>
              <c:strCache>
                <c:ptCount val="1"/>
                <c:pt idx="0">
                  <c:v>Overall</c:v>
                </c:pt>
              </c:strCache>
            </c:strRef>
          </c:tx>
          <c:marker>
            <c:symbol val="none"/>
          </c:marker>
          <c:cat>
            <c:strRef>
              <c:f>'Ethnicity (formatted)'!$A$2:$A$8</c:f>
              <c:strCache>
                <c:ptCount val="7"/>
                <c:pt idx="0">
                  <c:v>White</c:v>
                </c:pt>
                <c:pt idx="1">
                  <c:v>Asian or Asian British</c:v>
                </c:pt>
                <c:pt idx="2">
                  <c:v>Mixed</c:v>
                </c:pt>
                <c:pt idx="3">
                  <c:v>Black or Black British</c:v>
                </c:pt>
                <c:pt idx="4">
                  <c:v>Other</c:v>
                </c:pt>
                <c:pt idx="5">
                  <c:v>Did not answer</c:v>
                </c:pt>
                <c:pt idx="6">
                  <c:v>Prefer not to say</c:v>
                </c:pt>
              </c:strCache>
            </c:strRef>
          </c:cat>
          <c:val>
            <c:numRef>
              <c:f>'Ethnicity (formatted)'!$C$2:$C$8</c:f>
              <c:numCache>
                <c:formatCode>0.00%</c:formatCode>
                <c:ptCount val="7"/>
                <c:pt idx="0">
                  <c:v>0.93486391622072618</c:v>
                </c:pt>
                <c:pt idx="1">
                  <c:v>0.93486391622072618</c:v>
                </c:pt>
                <c:pt idx="2">
                  <c:v>0.93486391622072618</c:v>
                </c:pt>
                <c:pt idx="3">
                  <c:v>0.93486391622072618</c:v>
                </c:pt>
                <c:pt idx="4">
                  <c:v>0.93486391622072618</c:v>
                </c:pt>
                <c:pt idx="5">
                  <c:v>0.93486391622072618</c:v>
                </c:pt>
                <c:pt idx="6">
                  <c:v>0.93486391622072618</c:v>
                </c:pt>
              </c:numCache>
            </c:numRef>
          </c:val>
          <c:smooth val="0"/>
        </c:ser>
        <c:dLbls>
          <c:showLegendKey val="0"/>
          <c:showVal val="0"/>
          <c:showCatName val="0"/>
          <c:showSerName val="0"/>
          <c:showPercent val="0"/>
          <c:showBubbleSize val="0"/>
        </c:dLbls>
        <c:marker val="1"/>
        <c:smooth val="0"/>
        <c:axId val="794828800"/>
        <c:axId val="794793600"/>
      </c:lineChart>
      <c:catAx>
        <c:axId val="79482880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794793600"/>
        <c:crosses val="autoZero"/>
        <c:auto val="1"/>
        <c:lblAlgn val="ctr"/>
        <c:lblOffset val="100"/>
        <c:noMultiLvlLbl val="0"/>
      </c:catAx>
      <c:valAx>
        <c:axId val="794793600"/>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n-US"/>
          </a:p>
        </c:txPr>
        <c:crossAx val="794828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'Gender (formatted)'!$B$1</c:f>
              <c:strCache>
                <c:ptCount val="1"/>
                <c:pt idx="0">
                  <c:v>Recommend %</c:v>
                </c:pt>
              </c:strCache>
            </c:strRef>
          </c:tx>
          <c:spPr>
            <a:solidFill>
              <a:schemeClr val="accent1"/>
            </a:solidFill>
            <a:ln>
              <a:noFill/>
            </a:ln>
            <a:effectLst/>
          </c:spPr>
          <c:invertIfNegative val="0"/>
          <c:cat>
            <c:strRef>
              <c:f>'Gender (formatted)'!$A$11:$A$13</c:f>
              <c:strCache>
                <c:ptCount val="3"/>
                <c:pt idx="0">
                  <c:v>Male</c:v>
                </c:pt>
                <c:pt idx="1">
                  <c:v>Female</c:v>
                </c:pt>
                <c:pt idx="2">
                  <c:v>Prefer not to say</c:v>
                </c:pt>
              </c:strCache>
            </c:strRef>
          </c:cat>
          <c:val>
            <c:numRef>
              <c:f>'Gender (formatted)'!$B$11:$B$13</c:f>
              <c:numCache>
                <c:formatCode>0.00%</c:formatCode>
                <c:ptCount val="3"/>
                <c:pt idx="0">
                  <c:v>0.96995656370656369</c:v>
                </c:pt>
                <c:pt idx="1">
                  <c:v>0.96571328610163565</c:v>
                </c:pt>
                <c:pt idx="2">
                  <c:v>0.89206623661634632</c:v>
                </c:pt>
              </c:numCache>
            </c:numRef>
          </c:val>
          <c:extLst xmlns:c16r2="http://schemas.microsoft.com/office/drawing/2015/06/chart">
            <c:ext xmlns:c16="http://schemas.microsoft.com/office/drawing/2014/chart" uri="{C3380CC4-5D6E-409C-BE32-E72D297353CC}">
              <c16:uniqueId val="{00000000-1606-414F-A096-2114D2EB64D5}"/>
            </c:ext>
          </c:extLst>
        </c:ser>
        <c:dLbls>
          <c:showLegendKey val="0"/>
          <c:showVal val="0"/>
          <c:showCatName val="0"/>
          <c:showSerName val="0"/>
          <c:showPercent val="0"/>
          <c:showBubbleSize val="0"/>
        </c:dLbls>
        <c:gapWidth val="219"/>
        <c:overlap val="-27"/>
        <c:axId val="793739264"/>
        <c:axId val="794722304"/>
      </c:barChart>
      <c:lineChart>
        <c:grouping val="standard"/>
        <c:varyColors val="0"/>
        <c:ser>
          <c:idx val="1"/>
          <c:order val="1"/>
          <c:tx>
            <c:strRef>
              <c:f>'Gender (formatted)'!$C$1</c:f>
              <c:strCache>
                <c:ptCount val="1"/>
                <c:pt idx="0">
                  <c:v>Overall</c:v>
                </c:pt>
              </c:strCache>
            </c:strRef>
          </c:tx>
          <c:marker>
            <c:symbol val="none"/>
          </c:marker>
          <c:val>
            <c:numRef>
              <c:f>'Gender (formatted)'!$C$11:$C$13</c:f>
              <c:numCache>
                <c:formatCode>0.00%</c:formatCode>
                <c:ptCount val="3"/>
                <c:pt idx="0">
                  <c:v>0.93486391622072618</c:v>
                </c:pt>
                <c:pt idx="1">
                  <c:v>0.93486391622072595</c:v>
                </c:pt>
                <c:pt idx="2">
                  <c:v>0.93486391622072595</c:v>
                </c:pt>
              </c:numCache>
            </c:numRef>
          </c:val>
          <c:smooth val="0"/>
        </c:ser>
        <c:dLbls>
          <c:showLegendKey val="0"/>
          <c:showVal val="0"/>
          <c:showCatName val="0"/>
          <c:showSerName val="0"/>
          <c:showPercent val="0"/>
          <c:showBubbleSize val="0"/>
        </c:dLbls>
        <c:marker val="1"/>
        <c:smooth val="0"/>
        <c:axId val="793739264"/>
        <c:axId val="794722304"/>
      </c:lineChart>
      <c:catAx>
        <c:axId val="793739264"/>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794722304"/>
        <c:crosses val="autoZero"/>
        <c:auto val="1"/>
        <c:lblAlgn val="ctr"/>
        <c:lblOffset val="100"/>
        <c:noMultiLvlLbl val="0"/>
      </c:catAx>
      <c:valAx>
        <c:axId val="794722304"/>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n-US"/>
          </a:p>
        </c:txPr>
        <c:crossAx val="793739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'Religion or Beliefs (formatted)'!$B$1</c:f>
              <c:strCache>
                <c:ptCount val="1"/>
                <c:pt idx="0">
                  <c:v>Recommend %</c:v>
                </c:pt>
              </c:strCache>
            </c:strRef>
          </c:tx>
          <c:spPr>
            <a:solidFill>
              <a:schemeClr val="accent1"/>
            </a:solidFill>
            <a:ln>
              <a:noFill/>
            </a:ln>
            <a:effectLst/>
          </c:spPr>
          <c:invertIfNegative val="0"/>
          <c:cat>
            <c:strRef>
              <c:f>'Religion or Beliefs (formatted)'!$A$2:$A$9</c:f>
              <c:strCache>
                <c:ptCount val="8"/>
                <c:pt idx="0">
                  <c:v>Agnosticism</c:v>
                </c:pt>
                <c:pt idx="1">
                  <c:v>Atheism</c:v>
                </c:pt>
                <c:pt idx="2">
                  <c:v>Buddhism</c:v>
                </c:pt>
                <c:pt idx="3">
                  <c:v>Other</c:v>
                </c:pt>
                <c:pt idx="4">
                  <c:v>Prefer not to say</c:v>
                </c:pt>
                <c:pt idx="5">
                  <c:v>No Religion or Belief</c:v>
                </c:pt>
                <c:pt idx="6">
                  <c:v>Did not answer</c:v>
                </c:pt>
                <c:pt idx="7">
                  <c:v>Christianity</c:v>
                </c:pt>
              </c:strCache>
            </c:strRef>
          </c:cat>
          <c:val>
            <c:numRef>
              <c:f>'Religion or Beliefs (formatted)'!$B$2:$B$9</c:f>
              <c:numCache>
                <c:formatCode>0.00%</c:formatCode>
                <c:ptCount val="8"/>
                <c:pt idx="0">
                  <c:v>1</c:v>
                </c:pt>
                <c:pt idx="1">
                  <c:v>1</c:v>
                </c:pt>
                <c:pt idx="2">
                  <c:v>1</c:v>
                </c:pt>
                <c:pt idx="3">
                  <c:v>1</c:v>
                </c:pt>
                <c:pt idx="4">
                  <c:v>1</c:v>
                </c:pt>
                <c:pt idx="5">
                  <c:v>0.94736842105263153</c:v>
                </c:pt>
                <c:pt idx="6">
                  <c:v>0.93484272381610789</c:v>
                </c:pt>
                <c:pt idx="7">
                  <c:v>0.9285714285714286</c:v>
                </c:pt>
              </c:numCache>
            </c:numRef>
          </c:val>
          <c:extLst xmlns:c16r2="http://schemas.microsoft.com/office/drawing/2015/06/chart">
            <c:ext xmlns:c16="http://schemas.microsoft.com/office/drawing/2014/chart" uri="{C3380CC4-5D6E-409C-BE32-E72D297353CC}">
              <c16:uniqueId val="{00000000-E878-41F0-9FF1-C11B8303B97F}"/>
            </c:ext>
          </c:extLst>
        </c:ser>
        <c:dLbls>
          <c:showLegendKey val="0"/>
          <c:showVal val="0"/>
          <c:showCatName val="0"/>
          <c:showSerName val="0"/>
          <c:showPercent val="0"/>
          <c:showBubbleSize val="0"/>
        </c:dLbls>
        <c:gapWidth val="219"/>
        <c:overlap val="-27"/>
        <c:axId val="793740288"/>
        <c:axId val="794723456"/>
      </c:barChart>
      <c:lineChart>
        <c:grouping val="standard"/>
        <c:varyColors val="0"/>
        <c:ser>
          <c:idx val="1"/>
          <c:order val="1"/>
          <c:tx>
            <c:strRef>
              <c:f>'Religion or Beliefs (formatted)'!$C$1</c:f>
              <c:strCache>
                <c:ptCount val="1"/>
                <c:pt idx="0">
                  <c:v>Overall</c:v>
                </c:pt>
              </c:strCache>
            </c:strRef>
          </c:tx>
          <c:marker>
            <c:symbol val="none"/>
          </c:marker>
          <c:val>
            <c:numRef>
              <c:f>'Religion or Beliefs (formatted)'!$C$2:$C$9</c:f>
              <c:numCache>
                <c:formatCode>0.00%</c:formatCode>
                <c:ptCount val="8"/>
                <c:pt idx="0">
                  <c:v>0.93486391622072618</c:v>
                </c:pt>
                <c:pt idx="1">
                  <c:v>0.93486391622072618</c:v>
                </c:pt>
                <c:pt idx="2">
                  <c:v>0.93486391622072618</c:v>
                </c:pt>
                <c:pt idx="3">
                  <c:v>0.93486391622072618</c:v>
                </c:pt>
                <c:pt idx="4">
                  <c:v>0.93486391622072618</c:v>
                </c:pt>
                <c:pt idx="5">
                  <c:v>0.93486391622072618</c:v>
                </c:pt>
                <c:pt idx="6">
                  <c:v>0.93486391622072618</c:v>
                </c:pt>
                <c:pt idx="7">
                  <c:v>0.93486391622072618</c:v>
                </c:pt>
              </c:numCache>
            </c:numRef>
          </c:val>
          <c:smooth val="0"/>
        </c:ser>
        <c:dLbls>
          <c:showLegendKey val="0"/>
          <c:showVal val="0"/>
          <c:showCatName val="0"/>
          <c:showSerName val="0"/>
          <c:showPercent val="0"/>
          <c:showBubbleSize val="0"/>
        </c:dLbls>
        <c:marker val="1"/>
        <c:smooth val="0"/>
        <c:axId val="793740288"/>
        <c:axId val="794723456"/>
      </c:lineChart>
      <c:catAx>
        <c:axId val="79374028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794723456"/>
        <c:crosses val="autoZero"/>
        <c:auto val="1"/>
        <c:lblAlgn val="ctr"/>
        <c:lblOffset val="100"/>
        <c:noMultiLvlLbl val="0"/>
      </c:catAx>
      <c:valAx>
        <c:axId val="794723456"/>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n-US"/>
          </a:p>
        </c:txPr>
        <c:crossAx val="7937402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7972440944879E-2"/>
          <c:y val="4.8823790501553485E-2"/>
          <c:w val="0.8808056102362205"/>
          <c:h val="0.84593105954964687"/>
        </c:manualLayout>
      </c:layout>
      <c:barChart>
        <c:barDir val="col"/>
        <c:grouping val="clustered"/>
        <c:varyColors val="0"/>
        <c:ser>
          <c:idx val="0"/>
          <c:order val="0"/>
          <c:tx>
            <c:strRef>
              <c:f>'W Age'!$C$1</c:f>
              <c:strCache>
                <c:ptCount val="1"/>
                <c:pt idx="0">
                  <c:v>Grievance Cases %</c:v>
                </c:pt>
              </c:strCache>
            </c:strRef>
          </c:tx>
          <c:spPr>
            <a:solidFill>
              <a:schemeClr val="tx2">
                <a:lumMod val="40000"/>
                <a:lumOff val="60000"/>
              </a:schemeClr>
            </a:solidFill>
          </c:spPr>
          <c:invertIfNegative val="0"/>
          <c:cat>
            <c:strRef>
              <c:f>'W Age'!$A$2:$A$12</c:f>
              <c:strCache>
                <c:ptCount val="11"/>
                <c:pt idx="0">
                  <c:v>Under 20</c:v>
                </c:pt>
                <c:pt idx="1">
                  <c:v>21-25</c:v>
                </c:pt>
                <c:pt idx="2">
                  <c:v>26-30</c:v>
                </c:pt>
                <c:pt idx="3">
                  <c:v>31-35</c:v>
                </c:pt>
                <c:pt idx="4">
                  <c:v>36-40</c:v>
                </c:pt>
                <c:pt idx="5">
                  <c:v>41-45</c:v>
                </c:pt>
                <c:pt idx="6">
                  <c:v>46-50</c:v>
                </c:pt>
                <c:pt idx="7">
                  <c:v>51-55</c:v>
                </c:pt>
                <c:pt idx="8">
                  <c:v>56-60</c:v>
                </c:pt>
                <c:pt idx="9">
                  <c:v>61-65</c:v>
                </c:pt>
                <c:pt idx="10">
                  <c:v>71+</c:v>
                </c:pt>
              </c:strCache>
            </c:strRef>
          </c:cat>
          <c:val>
            <c:numRef>
              <c:f>'W Age'!$C$2:$C$12</c:f>
              <c:numCache>
                <c:formatCode>General</c:formatCode>
                <c:ptCount val="11"/>
                <c:pt idx="0" formatCode="0.0%">
                  <c:v>3.5714285714285712E-2</c:v>
                </c:pt>
                <c:pt idx="2" formatCode="0.0%">
                  <c:v>3.5714285714285712E-2</c:v>
                </c:pt>
                <c:pt idx="3" formatCode="0.0%">
                  <c:v>3.5714285714285712E-2</c:v>
                </c:pt>
                <c:pt idx="4" formatCode="0.0%">
                  <c:v>0.10714285714285714</c:v>
                </c:pt>
                <c:pt idx="5" formatCode="0.0%">
                  <c:v>0.17857142857142858</c:v>
                </c:pt>
                <c:pt idx="6" formatCode="0.0%">
                  <c:v>0.14285714285714285</c:v>
                </c:pt>
                <c:pt idx="7" formatCode="0.0%">
                  <c:v>0.21428571428571427</c:v>
                </c:pt>
                <c:pt idx="8" formatCode="0.0%">
                  <c:v>0.14285714285714285</c:v>
                </c:pt>
                <c:pt idx="9" formatCode="0.0%">
                  <c:v>0.10714285714285714</c:v>
                </c:pt>
              </c:numCache>
            </c:numRef>
          </c:val>
        </c:ser>
        <c:ser>
          <c:idx val="1"/>
          <c:order val="1"/>
          <c:tx>
            <c:strRef>
              <c:f>'W Age'!$E$1</c:f>
              <c:strCache>
                <c:ptCount val="1"/>
                <c:pt idx="0">
                  <c:v>Disciplinary Cases %</c:v>
                </c:pt>
              </c:strCache>
            </c:strRef>
          </c:tx>
          <c:spPr>
            <a:solidFill>
              <a:schemeClr val="accent2">
                <a:lumMod val="40000"/>
                <a:lumOff val="60000"/>
              </a:schemeClr>
            </a:solidFill>
          </c:spPr>
          <c:invertIfNegative val="0"/>
          <c:cat>
            <c:strRef>
              <c:f>'W Age'!$A$2:$A$12</c:f>
              <c:strCache>
                <c:ptCount val="11"/>
                <c:pt idx="0">
                  <c:v>Under 20</c:v>
                </c:pt>
                <c:pt idx="1">
                  <c:v>21-25</c:v>
                </c:pt>
                <c:pt idx="2">
                  <c:v>26-30</c:v>
                </c:pt>
                <c:pt idx="3">
                  <c:v>31-35</c:v>
                </c:pt>
                <c:pt idx="4">
                  <c:v>36-40</c:v>
                </c:pt>
                <c:pt idx="5">
                  <c:v>41-45</c:v>
                </c:pt>
                <c:pt idx="6">
                  <c:v>46-50</c:v>
                </c:pt>
                <c:pt idx="7">
                  <c:v>51-55</c:v>
                </c:pt>
                <c:pt idx="8">
                  <c:v>56-60</c:v>
                </c:pt>
                <c:pt idx="9">
                  <c:v>61-65</c:v>
                </c:pt>
                <c:pt idx="10">
                  <c:v>71+</c:v>
                </c:pt>
              </c:strCache>
            </c:strRef>
          </c:cat>
          <c:val>
            <c:numRef>
              <c:f>'W Age'!$E$2:$E$12</c:f>
              <c:numCache>
                <c:formatCode>0.0%</c:formatCode>
                <c:ptCount val="11"/>
                <c:pt idx="0">
                  <c:v>5.6603773584905662E-2</c:v>
                </c:pt>
                <c:pt idx="1">
                  <c:v>5.6603773584905662E-2</c:v>
                </c:pt>
                <c:pt idx="2">
                  <c:v>0.11320754716981132</c:v>
                </c:pt>
                <c:pt idx="3">
                  <c:v>9.4339622641509441E-2</c:v>
                </c:pt>
                <c:pt idx="4">
                  <c:v>7.5471698113207544E-2</c:v>
                </c:pt>
                <c:pt idx="5">
                  <c:v>0.24528301886792453</c:v>
                </c:pt>
                <c:pt idx="6">
                  <c:v>0.18867924528301888</c:v>
                </c:pt>
                <c:pt idx="7">
                  <c:v>9.4339622641509441E-2</c:v>
                </c:pt>
                <c:pt idx="8">
                  <c:v>5.6603773584905662E-2</c:v>
                </c:pt>
                <c:pt idx="9">
                  <c:v>1.8867924528301886E-2</c:v>
                </c:pt>
                <c:pt idx="10">
                  <c:v>1.8867924528301886E-2</c:v>
                </c:pt>
              </c:numCache>
            </c:numRef>
          </c:val>
        </c:ser>
        <c:dLbls>
          <c:showLegendKey val="0"/>
          <c:showVal val="0"/>
          <c:showCatName val="0"/>
          <c:showSerName val="0"/>
          <c:showPercent val="0"/>
          <c:showBubbleSize val="0"/>
        </c:dLbls>
        <c:gapWidth val="150"/>
        <c:axId val="170031104"/>
        <c:axId val="169989760"/>
      </c:barChart>
      <c:scatterChart>
        <c:scatterStyle val="lineMarker"/>
        <c:varyColors val="0"/>
        <c:ser>
          <c:idx val="2"/>
          <c:order val="2"/>
          <c:tx>
            <c:strRef>
              <c:f>'W Age'!$F$1</c:f>
              <c:strCache>
                <c:ptCount val="1"/>
                <c:pt idx="0">
                  <c:v>Workforce Represenation %</c:v>
                </c:pt>
              </c:strCache>
            </c:strRef>
          </c:tx>
          <c:spPr>
            <a:ln w="28575">
              <a:noFill/>
            </a:ln>
          </c:spPr>
          <c:marker>
            <c:symbol val="dash"/>
            <c:size val="12"/>
            <c:spPr>
              <a:solidFill>
                <a:srgbClr val="41B6E6"/>
              </a:solidFill>
              <a:ln>
                <a:solidFill>
                  <a:schemeClr val="bg1"/>
                </a:solidFill>
              </a:ln>
            </c:spPr>
          </c:marker>
          <c:xVal>
            <c:strRef>
              <c:f>'W Age'!$A$2:$A$12</c:f>
              <c:strCache>
                <c:ptCount val="11"/>
                <c:pt idx="0">
                  <c:v>Under 20</c:v>
                </c:pt>
                <c:pt idx="1">
                  <c:v>21-25</c:v>
                </c:pt>
                <c:pt idx="2">
                  <c:v>26-30</c:v>
                </c:pt>
                <c:pt idx="3">
                  <c:v>31-35</c:v>
                </c:pt>
                <c:pt idx="4">
                  <c:v>36-40</c:v>
                </c:pt>
                <c:pt idx="5">
                  <c:v>41-45</c:v>
                </c:pt>
                <c:pt idx="6">
                  <c:v>46-50</c:v>
                </c:pt>
                <c:pt idx="7">
                  <c:v>51-55</c:v>
                </c:pt>
                <c:pt idx="8">
                  <c:v>56-60</c:v>
                </c:pt>
                <c:pt idx="9">
                  <c:v>61-65</c:v>
                </c:pt>
                <c:pt idx="10">
                  <c:v>71+</c:v>
                </c:pt>
              </c:strCache>
            </c:strRef>
          </c:xVal>
          <c:yVal>
            <c:numRef>
              <c:f>'W Age'!$F$2:$F$12</c:f>
              <c:numCache>
                <c:formatCode>0.0%</c:formatCode>
                <c:ptCount val="11"/>
                <c:pt idx="0">
                  <c:v>7.9797845458172631E-3</c:v>
                </c:pt>
                <c:pt idx="1">
                  <c:v>5.8651416411756883E-2</c:v>
                </c:pt>
                <c:pt idx="2">
                  <c:v>0.12408564968745844</c:v>
                </c:pt>
                <c:pt idx="3">
                  <c:v>0.13632131932437824</c:v>
                </c:pt>
                <c:pt idx="4">
                  <c:v>0.11384492618699295</c:v>
                </c:pt>
                <c:pt idx="5">
                  <c:v>0.11929777895996808</c:v>
                </c:pt>
                <c:pt idx="6">
                  <c:v>0.13166644500598484</c:v>
                </c:pt>
                <c:pt idx="7">
                  <c:v>0.12115972868732544</c:v>
                </c:pt>
                <c:pt idx="8">
                  <c:v>0.10480117036840006</c:v>
                </c:pt>
                <c:pt idx="9">
                  <c:v>6.1311344593695971E-2</c:v>
                </c:pt>
                <c:pt idx="10">
                  <c:v>6.2508312275568563E-3</c:v>
                </c:pt>
              </c:numCache>
            </c:numRef>
          </c:yVal>
          <c:smooth val="0"/>
        </c:ser>
        <c:dLbls>
          <c:showLegendKey val="0"/>
          <c:showVal val="0"/>
          <c:showCatName val="0"/>
          <c:showSerName val="0"/>
          <c:showPercent val="0"/>
          <c:showBubbleSize val="0"/>
        </c:dLbls>
        <c:axId val="170031104"/>
        <c:axId val="169989760"/>
      </c:scatterChart>
      <c:catAx>
        <c:axId val="170031104"/>
        <c:scaling>
          <c:orientation val="minMax"/>
        </c:scaling>
        <c:delete val="0"/>
        <c:axPos val="b"/>
        <c:majorTickMark val="out"/>
        <c:minorTickMark val="none"/>
        <c:tickLblPos val="nextTo"/>
        <c:spPr>
          <a:ln>
            <a:noFill/>
          </a:ln>
        </c:spPr>
        <c:crossAx val="169989760"/>
        <c:crosses val="autoZero"/>
        <c:auto val="1"/>
        <c:lblAlgn val="ctr"/>
        <c:lblOffset val="100"/>
        <c:noMultiLvlLbl val="0"/>
      </c:catAx>
      <c:valAx>
        <c:axId val="169989760"/>
        <c:scaling>
          <c:orientation val="minMax"/>
        </c:scaling>
        <c:delete val="0"/>
        <c:axPos val="l"/>
        <c:numFmt formatCode="0.0%" sourceLinked="1"/>
        <c:majorTickMark val="out"/>
        <c:minorTickMark val="none"/>
        <c:tickLblPos val="nextTo"/>
        <c:spPr>
          <a:ln>
            <a:noFill/>
          </a:ln>
        </c:spPr>
        <c:crossAx val="170031104"/>
        <c:crosses val="autoZero"/>
        <c:crossBetween val="between"/>
      </c:valAx>
    </c:plotArea>
    <c:legend>
      <c:legendPos val="r"/>
      <c:layout>
        <c:manualLayout>
          <c:xMode val="edge"/>
          <c:yMode val="edge"/>
          <c:x val="6.8546916010498643E-2"/>
          <c:y val="2.6875801643303252E-2"/>
          <c:w val="0.91895308398950126"/>
          <c:h val="0.15465030699587645"/>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E87F0-5871-47CA-A8D8-B0C46ECB1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127</Pages>
  <Words>23343</Words>
  <Characters>133059</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UH Sussex 2021 Annual Equality Report</vt:lpstr>
    </vt:vector>
  </TitlesOfParts>
  <Company>NHS</Company>
  <LinksUpToDate>false</LinksUpToDate>
  <CharactersWithSpaces>156090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UH Sussex 2021 Annual Equality Report</dc:title>
  <dc:creator>Donaldson, Laura</dc:creator>
  <cp:lastModifiedBy>Anjoyeb, Simon</cp:lastModifiedBy>
  <cp:revision>4</cp:revision>
  <dcterms:created xsi:type="dcterms:W3CDTF">2021-10-21T14:09:00Z</dcterms:created>
  <dcterms:modified xsi:type="dcterms:W3CDTF">2022-01-20T09:34:00Z</dcterms:modified>
</cp:coreProperties>
</file>