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D001" w14:textId="10CDCF12" w:rsidR="00322B61" w:rsidRDefault="008C1AE0" w:rsidP="008C1AE0">
      <w:pPr>
        <w:tabs>
          <w:tab w:val="left" w:pos="567"/>
          <w:tab w:val="left" w:pos="1134"/>
          <w:tab w:val="left" w:pos="1701"/>
        </w:tabs>
        <w:spacing w:after="0" w:line="240" w:lineRule="auto"/>
        <w:jc w:val="right"/>
      </w:pPr>
      <w:r>
        <w:rPr>
          <w:noProof/>
        </w:rPr>
        <w:drawing>
          <wp:inline distT="0" distB="0" distL="0" distR="0" wp14:anchorId="61D3C393" wp14:editId="4F0BBFE7">
            <wp:extent cx="1308100" cy="536321"/>
            <wp:effectExtent l="0" t="0" r="0" b="0"/>
            <wp:docPr id="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16425" cy="539734"/>
                    </a:xfrm>
                    <a:prstGeom prst="rect">
                      <a:avLst/>
                    </a:prstGeom>
                  </pic:spPr>
                </pic:pic>
              </a:graphicData>
            </a:graphic>
          </wp:inline>
        </w:drawing>
      </w:r>
    </w:p>
    <w:p w14:paraId="428DAA53" w14:textId="6656344A" w:rsidR="008C1AE0" w:rsidRPr="008C1AE0" w:rsidRDefault="008C1AE0" w:rsidP="008C1AE0">
      <w:pPr>
        <w:tabs>
          <w:tab w:val="left" w:pos="567"/>
          <w:tab w:val="left" w:pos="1134"/>
          <w:tab w:val="left" w:pos="1701"/>
        </w:tabs>
        <w:spacing w:after="0" w:line="240" w:lineRule="auto"/>
        <w:rPr>
          <w:b/>
          <w:bCs/>
        </w:rPr>
      </w:pPr>
      <w:r w:rsidRPr="008C1AE0">
        <w:rPr>
          <w:b/>
          <w:bCs/>
        </w:rPr>
        <w:t>WRES and WDES Action Plans 2022/23</w:t>
      </w:r>
    </w:p>
    <w:p w14:paraId="1E788C1E" w14:textId="03D4A930" w:rsidR="008C1AE0" w:rsidRPr="008C1AE0" w:rsidRDefault="008C1AE0" w:rsidP="008C1AE0">
      <w:pPr>
        <w:tabs>
          <w:tab w:val="left" w:pos="567"/>
          <w:tab w:val="left" w:pos="1134"/>
          <w:tab w:val="left" w:pos="1701"/>
        </w:tabs>
        <w:spacing w:after="0" w:line="240" w:lineRule="auto"/>
        <w:rPr>
          <w:i/>
          <w:iCs/>
        </w:rPr>
      </w:pPr>
      <w:r w:rsidRPr="008C1AE0">
        <w:rPr>
          <w:i/>
          <w:iCs/>
        </w:rPr>
        <w:t>Date: 21</w:t>
      </w:r>
      <w:r w:rsidRPr="008C1AE0">
        <w:rPr>
          <w:i/>
          <w:iCs/>
          <w:vertAlign w:val="superscript"/>
        </w:rPr>
        <w:t>st</w:t>
      </w:r>
      <w:r w:rsidRPr="008C1AE0">
        <w:rPr>
          <w:i/>
          <w:iCs/>
        </w:rPr>
        <w:t xml:space="preserve"> November 2022</w:t>
      </w:r>
    </w:p>
    <w:p w14:paraId="61C4BCA2" w14:textId="78B349F1" w:rsidR="008C1AE0" w:rsidRDefault="008C1AE0" w:rsidP="008C1AE0">
      <w:pPr>
        <w:tabs>
          <w:tab w:val="left" w:pos="567"/>
          <w:tab w:val="left" w:pos="1134"/>
          <w:tab w:val="left" w:pos="1701"/>
        </w:tabs>
        <w:spacing w:after="0" w:line="240" w:lineRule="auto"/>
      </w:pPr>
    </w:p>
    <w:p w14:paraId="11288FE0" w14:textId="77777777" w:rsidR="003B035D" w:rsidRDefault="003B035D" w:rsidP="008C1AE0">
      <w:pPr>
        <w:tabs>
          <w:tab w:val="left" w:pos="567"/>
          <w:tab w:val="left" w:pos="1134"/>
          <w:tab w:val="left" w:pos="1701"/>
        </w:tabs>
        <w:spacing w:after="0" w:line="240" w:lineRule="auto"/>
      </w:pPr>
    </w:p>
    <w:p w14:paraId="4D1A1185" w14:textId="7255B161" w:rsidR="008C1AE0" w:rsidRPr="008C1AE0" w:rsidRDefault="008C1AE0" w:rsidP="008C1AE0">
      <w:pPr>
        <w:tabs>
          <w:tab w:val="left" w:pos="567"/>
          <w:tab w:val="left" w:pos="1134"/>
          <w:tab w:val="left" w:pos="1701"/>
        </w:tabs>
        <w:spacing w:after="0" w:line="240" w:lineRule="auto"/>
        <w:rPr>
          <w:b/>
          <w:bCs/>
        </w:rPr>
      </w:pPr>
      <w:r w:rsidRPr="008C1AE0">
        <w:rPr>
          <w:b/>
          <w:bCs/>
        </w:rPr>
        <w:t>Background</w:t>
      </w:r>
    </w:p>
    <w:p w14:paraId="4E28093E" w14:textId="64C9B7A4" w:rsidR="008C1AE0" w:rsidRDefault="008C1AE0" w:rsidP="008C1AE0">
      <w:pPr>
        <w:tabs>
          <w:tab w:val="left" w:pos="567"/>
          <w:tab w:val="left" w:pos="1134"/>
          <w:tab w:val="left" w:pos="1701"/>
        </w:tabs>
        <w:spacing w:after="0" w:line="240" w:lineRule="auto"/>
        <w:ind w:left="567" w:hanging="567"/>
      </w:pPr>
      <w:r>
        <w:t>1.</w:t>
      </w:r>
      <w:r>
        <w:tab/>
        <w:t xml:space="preserve">The Trust </w:t>
      </w:r>
      <w:hyperlink r:id="rId10" w:history="1">
        <w:r>
          <w:rPr>
            <w:rStyle w:val="Hyperlink"/>
          </w:rPr>
          <w:t>WRES</w:t>
        </w:r>
      </w:hyperlink>
      <w:r>
        <w:t xml:space="preserve"> (Workforce Race Equality Standard) and </w:t>
      </w:r>
      <w:hyperlink r:id="rId11" w:history="1">
        <w:r>
          <w:rPr>
            <w:rStyle w:val="Hyperlink"/>
          </w:rPr>
          <w:t>WDES</w:t>
        </w:r>
      </w:hyperlink>
      <w:r>
        <w:t xml:space="preserve"> (Workforce Disability Equality Standard) Data Reports were discussed at the People Committee (subcommittee of the Trust Board of Directors) on 27</w:t>
      </w:r>
      <w:r w:rsidRPr="008C1AE0">
        <w:rPr>
          <w:vertAlign w:val="superscript"/>
        </w:rPr>
        <w:t>th</w:t>
      </w:r>
      <w:r>
        <w:t xml:space="preserve"> July 2022, and approved by Trust Board of Directors on 4</w:t>
      </w:r>
      <w:r w:rsidRPr="008C1AE0">
        <w:rPr>
          <w:vertAlign w:val="superscript"/>
        </w:rPr>
        <w:t>th</w:t>
      </w:r>
      <w:r>
        <w:t xml:space="preserve"> August 2022.  These are available via the Trust extranet.</w:t>
      </w:r>
    </w:p>
    <w:p w14:paraId="43E5C508" w14:textId="0EE4E04D" w:rsidR="008C1AE0" w:rsidRDefault="008C1AE0" w:rsidP="008C1AE0">
      <w:pPr>
        <w:tabs>
          <w:tab w:val="left" w:pos="567"/>
          <w:tab w:val="left" w:pos="1134"/>
          <w:tab w:val="left" w:pos="1701"/>
        </w:tabs>
        <w:spacing w:after="0" w:line="240" w:lineRule="auto"/>
      </w:pPr>
    </w:p>
    <w:p w14:paraId="7D7D932E" w14:textId="30827960" w:rsidR="008C1AE0" w:rsidRPr="00034D07" w:rsidRDefault="008C1AE0" w:rsidP="008C1AE0">
      <w:pPr>
        <w:tabs>
          <w:tab w:val="left" w:pos="567"/>
          <w:tab w:val="left" w:pos="1134"/>
          <w:tab w:val="left" w:pos="1701"/>
        </w:tabs>
        <w:spacing w:after="0" w:line="240" w:lineRule="auto"/>
        <w:rPr>
          <w:b/>
          <w:bCs/>
        </w:rPr>
      </w:pPr>
      <w:r w:rsidRPr="00034D07">
        <w:rPr>
          <w:b/>
          <w:bCs/>
        </w:rPr>
        <w:t>Trust</w:t>
      </w:r>
      <w:r w:rsidR="00034D07" w:rsidRPr="00034D07">
        <w:rPr>
          <w:b/>
          <w:bCs/>
        </w:rPr>
        <w:t xml:space="preserve"> </w:t>
      </w:r>
      <w:r w:rsidRPr="00034D07">
        <w:rPr>
          <w:b/>
          <w:bCs/>
        </w:rPr>
        <w:t xml:space="preserve">Equalities &amp; Inclusion </w:t>
      </w:r>
      <w:r w:rsidR="00034D07" w:rsidRPr="00034D07">
        <w:rPr>
          <w:b/>
          <w:bCs/>
        </w:rPr>
        <w:t>Strategy</w:t>
      </w:r>
    </w:p>
    <w:p w14:paraId="3D303A3A" w14:textId="29F60EB8" w:rsidR="008C1AE0" w:rsidRDefault="008C1AE0" w:rsidP="00034D07">
      <w:pPr>
        <w:tabs>
          <w:tab w:val="left" w:pos="567"/>
          <w:tab w:val="left" w:pos="1134"/>
          <w:tab w:val="left" w:pos="1701"/>
        </w:tabs>
        <w:spacing w:after="0" w:line="240" w:lineRule="auto"/>
        <w:ind w:left="567" w:hanging="567"/>
      </w:pPr>
      <w:r>
        <w:t>2.</w:t>
      </w:r>
      <w:r>
        <w:tab/>
      </w:r>
      <w:r w:rsidR="00034D07">
        <w:t>A Trust three-year Equalities &amp; Inclusion Plan has been drafted, and continues to be refined in discussion with key stakeholders.  This draws on a range of material, including:-</w:t>
      </w:r>
    </w:p>
    <w:p w14:paraId="589D99CF" w14:textId="3122753D" w:rsidR="00034D07" w:rsidRDefault="00034D07" w:rsidP="00034D07">
      <w:pPr>
        <w:tabs>
          <w:tab w:val="left" w:pos="567"/>
          <w:tab w:val="left" w:pos="1134"/>
          <w:tab w:val="left" w:pos="1701"/>
        </w:tabs>
        <w:spacing w:after="0" w:line="240" w:lineRule="auto"/>
        <w:ind w:left="567" w:hanging="567"/>
      </w:pPr>
    </w:p>
    <w:p w14:paraId="2655BC7C" w14:textId="5F9F67B5" w:rsidR="00034D07" w:rsidRPr="00034D07" w:rsidRDefault="00034D07" w:rsidP="00034D07">
      <w:pPr>
        <w:tabs>
          <w:tab w:val="left" w:pos="567"/>
          <w:tab w:val="left" w:pos="1134"/>
          <w:tab w:val="left" w:pos="1701"/>
        </w:tabs>
        <w:spacing w:after="0" w:line="240" w:lineRule="auto"/>
        <w:ind w:left="567" w:hanging="567"/>
        <w:rPr>
          <w:b/>
          <w:bCs/>
        </w:rPr>
      </w:pPr>
      <w:r w:rsidRPr="00034D07">
        <w:rPr>
          <w:b/>
          <w:bCs/>
        </w:rPr>
        <w:tab/>
      </w:r>
      <w:r w:rsidRPr="00034D07">
        <w:rPr>
          <w:b/>
          <w:bCs/>
        </w:rPr>
        <w:t>National</w:t>
      </w:r>
    </w:p>
    <w:p w14:paraId="422CA814" w14:textId="2717F58B" w:rsidR="00034D07" w:rsidRPr="00034D07" w:rsidRDefault="00034D07" w:rsidP="00034D07">
      <w:pPr>
        <w:tabs>
          <w:tab w:val="left" w:pos="567"/>
          <w:tab w:val="left" w:pos="1134"/>
          <w:tab w:val="left" w:pos="1701"/>
        </w:tabs>
        <w:spacing w:after="0" w:line="240" w:lineRule="auto"/>
        <w:ind w:left="567" w:hanging="567"/>
      </w:pPr>
      <w:r>
        <w:tab/>
      </w:r>
      <w:r>
        <w:rPr>
          <w:rFonts w:cstheme="minorHAnsi"/>
        </w:rPr>
        <w:t>•</w:t>
      </w:r>
      <w:r>
        <w:tab/>
      </w:r>
      <w:r w:rsidRPr="00034D07">
        <w:t>NHS 2022/23 Priorities &amp; Operational Planning Guidance</w:t>
      </w:r>
    </w:p>
    <w:p w14:paraId="4638E899" w14:textId="6D2A7B96" w:rsidR="00034D07" w:rsidRPr="00034D07" w:rsidRDefault="00034D07" w:rsidP="00034D07">
      <w:pPr>
        <w:tabs>
          <w:tab w:val="left" w:pos="567"/>
          <w:tab w:val="left" w:pos="1134"/>
          <w:tab w:val="left" w:pos="1701"/>
        </w:tabs>
        <w:spacing w:after="0" w:line="240" w:lineRule="auto"/>
        <w:ind w:left="567" w:hanging="567"/>
      </w:pPr>
      <w:r>
        <w:tab/>
      </w:r>
      <w:r>
        <w:rPr>
          <w:rFonts w:cstheme="minorHAnsi"/>
        </w:rPr>
        <w:t>•</w:t>
      </w:r>
      <w:r>
        <w:tab/>
      </w:r>
      <w:r w:rsidRPr="00034D07">
        <w:t>CQC Trust-Wide Well-Led (W3.8)</w:t>
      </w:r>
    </w:p>
    <w:p w14:paraId="10400D8D" w14:textId="5D7BD054" w:rsidR="00034D07" w:rsidRDefault="00034D07" w:rsidP="00034D07">
      <w:pPr>
        <w:tabs>
          <w:tab w:val="left" w:pos="567"/>
          <w:tab w:val="left" w:pos="1134"/>
          <w:tab w:val="left" w:pos="1701"/>
        </w:tabs>
        <w:spacing w:after="0" w:line="240" w:lineRule="auto"/>
        <w:ind w:left="567" w:hanging="567"/>
      </w:pPr>
      <w:r>
        <w:tab/>
      </w:r>
      <w:r>
        <w:rPr>
          <w:rFonts w:cstheme="minorHAnsi"/>
        </w:rPr>
        <w:t>•</w:t>
      </w:r>
      <w:r>
        <w:tab/>
      </w:r>
      <w:r w:rsidRPr="00034D07">
        <w:t>NHSE/I Six National Actions for Closing the Gap in Recruitment</w:t>
      </w:r>
    </w:p>
    <w:p w14:paraId="04549725" w14:textId="786E0AC2" w:rsidR="00034D07" w:rsidRPr="00034D07" w:rsidRDefault="00034D07" w:rsidP="00034D07">
      <w:pPr>
        <w:tabs>
          <w:tab w:val="left" w:pos="567"/>
          <w:tab w:val="left" w:pos="1134"/>
          <w:tab w:val="left" w:pos="1701"/>
        </w:tabs>
        <w:spacing w:after="0" w:line="240" w:lineRule="auto"/>
        <w:ind w:left="567" w:hanging="567"/>
      </w:pPr>
      <w:r>
        <w:tab/>
      </w:r>
      <w:r>
        <w:rPr>
          <w:rFonts w:cstheme="minorHAnsi"/>
        </w:rPr>
        <w:t>•</w:t>
      </w:r>
      <w:r>
        <w:tab/>
      </w:r>
      <w:r w:rsidRPr="00034D07">
        <w:t>Health Inequalities Leadership Framework – Board Assurance Tool (2022)</w:t>
      </w:r>
    </w:p>
    <w:p w14:paraId="3C370D68" w14:textId="22145212"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NHSE Equality Delivery System 2022 (August 2022) – ‘Implementation… is a requirement on both NHS commissioners and NHS providers.’</w:t>
      </w:r>
    </w:p>
    <w:p w14:paraId="270A13A4" w14:textId="0F625496"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NHSE ‘Developing an Equality, Diversity &amp; Inclusion Plan for the NHS Workforce’ (draft November 2022)</w:t>
      </w:r>
    </w:p>
    <w:p w14:paraId="48A051A5" w14:textId="4AB7DB59"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NHSE</w:t>
      </w:r>
      <w:r>
        <w:t>, NMC et al.</w:t>
      </w:r>
      <w:r w:rsidRPr="00034D07">
        <w:t xml:space="preserve"> ‘Combatting racial discrimination against minority ethnic nurses, midwifes &amp; nursing associates’ (November 2022)</w:t>
      </w:r>
    </w:p>
    <w:p w14:paraId="49690354" w14:textId="77777777" w:rsidR="00034D07" w:rsidRPr="00034D07" w:rsidRDefault="00034D07" w:rsidP="00034D07">
      <w:pPr>
        <w:tabs>
          <w:tab w:val="left" w:pos="567"/>
          <w:tab w:val="left" w:pos="1134"/>
          <w:tab w:val="left" w:pos="1701"/>
        </w:tabs>
        <w:spacing w:after="0" w:line="240" w:lineRule="auto"/>
        <w:ind w:left="567" w:hanging="567"/>
      </w:pPr>
    </w:p>
    <w:p w14:paraId="5CB185EE" w14:textId="62C74A26" w:rsidR="00034D07" w:rsidRPr="00034D07" w:rsidRDefault="00034D07" w:rsidP="00034D07">
      <w:pPr>
        <w:tabs>
          <w:tab w:val="left" w:pos="567"/>
          <w:tab w:val="left" w:pos="1134"/>
          <w:tab w:val="left" w:pos="1701"/>
        </w:tabs>
        <w:spacing w:after="0" w:line="240" w:lineRule="auto"/>
        <w:ind w:left="567" w:hanging="567"/>
        <w:rPr>
          <w:b/>
          <w:bCs/>
        </w:rPr>
      </w:pPr>
      <w:r w:rsidRPr="00034D07">
        <w:rPr>
          <w:b/>
          <w:bCs/>
        </w:rPr>
        <w:tab/>
      </w:r>
      <w:r w:rsidRPr="00034D07">
        <w:rPr>
          <w:b/>
          <w:bCs/>
        </w:rPr>
        <w:t>NHS Sussex ICB</w:t>
      </w:r>
      <w:r w:rsidRPr="00034D07">
        <w:rPr>
          <w:b/>
          <w:bCs/>
        </w:rPr>
        <w:t xml:space="preserve"> (Integrated Care System/Board)</w:t>
      </w:r>
    </w:p>
    <w:p w14:paraId="216BE231" w14:textId="1B931946" w:rsidR="00034D07" w:rsidRDefault="00034D07" w:rsidP="00034D07">
      <w:pPr>
        <w:tabs>
          <w:tab w:val="left" w:pos="567"/>
          <w:tab w:val="left" w:pos="1134"/>
          <w:tab w:val="left" w:pos="1701"/>
        </w:tabs>
        <w:spacing w:after="0" w:line="240" w:lineRule="auto"/>
        <w:ind w:left="567" w:hanging="567"/>
      </w:pPr>
      <w:r>
        <w:tab/>
      </w:r>
      <w:r>
        <w:rPr>
          <w:rFonts w:cstheme="minorHAnsi"/>
        </w:rPr>
        <w:t>•</w:t>
      </w:r>
      <w:r>
        <w:tab/>
      </w:r>
      <w:r w:rsidRPr="00034D07">
        <w:t>Sussex Race Equality Away Day (July 2022)</w:t>
      </w:r>
    </w:p>
    <w:p w14:paraId="7E0EB2DB" w14:textId="3191B85E" w:rsidR="00034D07" w:rsidRPr="00034D07" w:rsidRDefault="00034D07" w:rsidP="00034D07">
      <w:pPr>
        <w:tabs>
          <w:tab w:val="left" w:pos="567"/>
          <w:tab w:val="left" w:pos="1134"/>
          <w:tab w:val="left" w:pos="1701"/>
        </w:tabs>
        <w:spacing w:after="0" w:line="240" w:lineRule="auto"/>
        <w:ind w:left="567" w:hanging="567"/>
      </w:pPr>
      <w:r>
        <w:tab/>
      </w:r>
      <w:r>
        <w:rPr>
          <w:rFonts w:cstheme="minorHAnsi"/>
        </w:rPr>
        <w:t>•</w:t>
      </w:r>
      <w:r>
        <w:tab/>
        <w:t>Sussex Health &amp; Care ‘Workforce Race Equality Strategy’ (October/November 2022)</w:t>
      </w:r>
    </w:p>
    <w:p w14:paraId="42D12667" w14:textId="77777777" w:rsidR="00034D07" w:rsidRPr="00034D07" w:rsidRDefault="00034D07" w:rsidP="00034D07">
      <w:pPr>
        <w:tabs>
          <w:tab w:val="left" w:pos="567"/>
          <w:tab w:val="left" w:pos="1134"/>
          <w:tab w:val="left" w:pos="1701"/>
        </w:tabs>
        <w:spacing w:after="0" w:line="240" w:lineRule="auto"/>
        <w:ind w:left="567" w:hanging="567"/>
      </w:pPr>
    </w:p>
    <w:p w14:paraId="6CBB0486" w14:textId="753D593C" w:rsidR="00034D07" w:rsidRPr="00034D07" w:rsidRDefault="00034D07" w:rsidP="00034D07">
      <w:pPr>
        <w:tabs>
          <w:tab w:val="left" w:pos="567"/>
          <w:tab w:val="left" w:pos="1134"/>
          <w:tab w:val="left" w:pos="1701"/>
        </w:tabs>
        <w:spacing w:after="0" w:line="240" w:lineRule="auto"/>
        <w:ind w:left="567" w:hanging="567"/>
        <w:rPr>
          <w:b/>
          <w:bCs/>
        </w:rPr>
      </w:pPr>
      <w:r w:rsidRPr="00034D07">
        <w:rPr>
          <w:b/>
          <w:bCs/>
        </w:rPr>
        <w:tab/>
      </w:r>
      <w:r w:rsidRPr="00034D07">
        <w:rPr>
          <w:b/>
          <w:bCs/>
        </w:rPr>
        <w:t>UHSussex</w:t>
      </w:r>
    </w:p>
    <w:p w14:paraId="5DA970FA" w14:textId="501DAD72"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2022/23 Race Equity A3s</w:t>
      </w:r>
    </w:p>
    <w:p w14:paraId="48602107" w14:textId="0099D78A"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Staff Networks &amp; EDI Team Inclusion Priorities Planning Sessions (April, July 2022)</w:t>
      </w:r>
    </w:p>
    <w:p w14:paraId="2ADFED33" w14:textId="19D3DAEE"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Race Equality Visioning session – Trust Board of Directors (March 2022)</w:t>
      </w:r>
    </w:p>
    <w:p w14:paraId="6B9B8754" w14:textId="70F4E468" w:rsidR="00034D07" w:rsidRP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BDO Equality, Diversity &amp; Inclusion Maturity Assessment framework (draft, April 2022)</w:t>
      </w:r>
    </w:p>
    <w:p w14:paraId="6F1CD6E8" w14:textId="77777777" w:rsid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WRES (Workforce Race Equality Standard) &amp; WDES (Workforce Disability Equality Standard) - Data Reports 2022</w:t>
      </w:r>
    </w:p>
    <w:p w14:paraId="11F8733D" w14:textId="0A41FC79" w:rsidR="00034D07" w:rsidRDefault="00034D07" w:rsidP="00034D07">
      <w:pPr>
        <w:tabs>
          <w:tab w:val="left" w:pos="567"/>
          <w:tab w:val="left" w:pos="1134"/>
          <w:tab w:val="left" w:pos="1701"/>
        </w:tabs>
        <w:spacing w:after="0" w:line="240" w:lineRule="auto"/>
        <w:ind w:left="1134" w:hanging="1134"/>
      </w:pPr>
      <w:r>
        <w:tab/>
      </w:r>
      <w:r>
        <w:rPr>
          <w:rFonts w:cstheme="minorHAnsi"/>
        </w:rPr>
        <w:t>•</w:t>
      </w:r>
      <w:r>
        <w:tab/>
      </w:r>
      <w:r w:rsidRPr="00034D07">
        <w:t>Review against The Global Diversity, Equity &amp; Inclusion Benchmarks (GDEIB) Assessment Checklist – September 2022</w:t>
      </w:r>
    </w:p>
    <w:p w14:paraId="1122BD54" w14:textId="4AE522FB" w:rsidR="008C1AE0" w:rsidRDefault="008C1AE0" w:rsidP="008C1AE0">
      <w:pPr>
        <w:tabs>
          <w:tab w:val="left" w:pos="567"/>
          <w:tab w:val="left" w:pos="1134"/>
          <w:tab w:val="left" w:pos="1701"/>
        </w:tabs>
        <w:spacing w:after="0" w:line="240" w:lineRule="auto"/>
      </w:pPr>
    </w:p>
    <w:p w14:paraId="0E86FCB9" w14:textId="77777777" w:rsidR="003B035D" w:rsidRPr="003B035D" w:rsidRDefault="003B035D" w:rsidP="003B035D">
      <w:pPr>
        <w:tabs>
          <w:tab w:val="left" w:pos="567"/>
          <w:tab w:val="left" w:pos="1134"/>
          <w:tab w:val="left" w:pos="1701"/>
        </w:tabs>
        <w:spacing w:after="0" w:line="240" w:lineRule="auto"/>
        <w:rPr>
          <w:b/>
          <w:bCs/>
        </w:rPr>
      </w:pPr>
      <w:r w:rsidRPr="003B035D">
        <w:rPr>
          <w:b/>
          <w:bCs/>
        </w:rPr>
        <w:t>CQC Well-Led Review</w:t>
      </w:r>
    </w:p>
    <w:p w14:paraId="6B99EDAA" w14:textId="77777777" w:rsidR="003B035D" w:rsidRDefault="003B035D" w:rsidP="003B035D">
      <w:pPr>
        <w:tabs>
          <w:tab w:val="left" w:pos="567"/>
          <w:tab w:val="left" w:pos="1134"/>
          <w:tab w:val="left" w:pos="1701"/>
        </w:tabs>
        <w:spacing w:after="0" w:line="240" w:lineRule="auto"/>
        <w:ind w:left="567" w:hanging="567"/>
      </w:pPr>
      <w:r>
        <w:t>3.</w:t>
      </w:r>
      <w:r>
        <w:tab/>
        <w:t xml:space="preserve">The Care Quality Commission (CQC) undertook a </w:t>
      </w:r>
      <w:hyperlink r:id="rId12" w:history="1">
        <w:r>
          <w:rPr>
            <w:rStyle w:val="Hyperlink"/>
          </w:rPr>
          <w:t>Trust-wide well-led</w:t>
        </w:r>
      </w:hyperlink>
      <w:r>
        <w:t xml:space="preserve"> inspection in October 2022.  Formal feedback to the Trust will be provided in due course, incl. equalities and inclusion.</w:t>
      </w:r>
    </w:p>
    <w:p w14:paraId="5686DADC" w14:textId="77777777" w:rsidR="003B035D" w:rsidRDefault="003B035D" w:rsidP="008C1AE0">
      <w:pPr>
        <w:tabs>
          <w:tab w:val="left" w:pos="567"/>
          <w:tab w:val="left" w:pos="1134"/>
          <w:tab w:val="left" w:pos="1701"/>
        </w:tabs>
        <w:spacing w:after="0" w:line="240" w:lineRule="auto"/>
      </w:pPr>
    </w:p>
    <w:p w14:paraId="749676D4" w14:textId="73D4648E" w:rsidR="003B035D" w:rsidRDefault="003B035D" w:rsidP="003B035D">
      <w:pPr>
        <w:tabs>
          <w:tab w:val="left" w:pos="567"/>
          <w:tab w:val="left" w:pos="1134"/>
          <w:tab w:val="left" w:pos="1701"/>
        </w:tabs>
        <w:spacing w:after="0" w:line="240" w:lineRule="auto"/>
        <w:ind w:left="567" w:hanging="567"/>
      </w:pPr>
      <w:r>
        <w:t>4.</w:t>
      </w:r>
      <w:r>
        <w:tab/>
        <w:t>The Trust Board of Directors is due to review the draft EDI Strategy/Plan at a seminar to be held on 8</w:t>
      </w:r>
      <w:r w:rsidRPr="003B035D">
        <w:rPr>
          <w:vertAlign w:val="superscript"/>
        </w:rPr>
        <w:t>th</w:t>
      </w:r>
      <w:r>
        <w:t xml:space="preserve"> December 2022.  It is envisaged that the plan will be finalised once feedback from the CQC has been received.</w:t>
      </w:r>
    </w:p>
    <w:p w14:paraId="7589C35A" w14:textId="411858C5" w:rsidR="003B035D" w:rsidRDefault="003B035D" w:rsidP="003B035D">
      <w:pPr>
        <w:tabs>
          <w:tab w:val="left" w:pos="567"/>
          <w:tab w:val="left" w:pos="1134"/>
          <w:tab w:val="left" w:pos="1701"/>
        </w:tabs>
        <w:spacing w:after="0" w:line="240" w:lineRule="auto"/>
        <w:ind w:left="567" w:hanging="567"/>
      </w:pPr>
    </w:p>
    <w:p w14:paraId="313415CA" w14:textId="77777777" w:rsidR="003B035D" w:rsidRDefault="003B035D">
      <w:pPr>
        <w:rPr>
          <w:b/>
          <w:bCs/>
        </w:rPr>
      </w:pPr>
      <w:r>
        <w:rPr>
          <w:b/>
          <w:bCs/>
        </w:rPr>
        <w:br w:type="page"/>
      </w:r>
    </w:p>
    <w:p w14:paraId="5E1247D2" w14:textId="0BC8CB83" w:rsidR="003B035D" w:rsidRPr="003B035D" w:rsidRDefault="003B035D" w:rsidP="003B035D">
      <w:pPr>
        <w:tabs>
          <w:tab w:val="left" w:pos="567"/>
          <w:tab w:val="left" w:pos="1134"/>
          <w:tab w:val="left" w:pos="1701"/>
        </w:tabs>
        <w:spacing w:after="0" w:line="240" w:lineRule="auto"/>
        <w:ind w:left="567" w:hanging="567"/>
        <w:rPr>
          <w:b/>
          <w:bCs/>
        </w:rPr>
      </w:pPr>
      <w:r w:rsidRPr="003B035D">
        <w:rPr>
          <w:b/>
          <w:bCs/>
        </w:rPr>
        <w:lastRenderedPageBreak/>
        <w:t>Strategy Outline</w:t>
      </w:r>
    </w:p>
    <w:p w14:paraId="5A9FBB9A" w14:textId="58615BD2" w:rsidR="003B035D" w:rsidRDefault="003B035D" w:rsidP="003B035D">
      <w:pPr>
        <w:tabs>
          <w:tab w:val="left" w:pos="567"/>
          <w:tab w:val="left" w:pos="1134"/>
          <w:tab w:val="left" w:pos="1701"/>
        </w:tabs>
        <w:spacing w:after="0" w:line="240" w:lineRule="auto"/>
        <w:ind w:left="567" w:hanging="567"/>
      </w:pPr>
      <w:r>
        <w:t>5.</w:t>
      </w:r>
      <w:r>
        <w:tab/>
        <w:t>As shown in the graphic below, the draft Equalities &amp; Inclusion Plan focuses on</w:t>
      </w:r>
      <w:r w:rsidR="00001721">
        <w:t xml:space="preserve"> five key domains of activity, each of which supports both the Trust People True North (Staff Engagement), and the other True North domains.</w:t>
      </w:r>
    </w:p>
    <w:p w14:paraId="2A0C6088" w14:textId="37E001B2" w:rsidR="00001721" w:rsidRDefault="00001721" w:rsidP="003B035D">
      <w:pPr>
        <w:tabs>
          <w:tab w:val="left" w:pos="567"/>
          <w:tab w:val="left" w:pos="1134"/>
          <w:tab w:val="left" w:pos="1701"/>
        </w:tabs>
        <w:spacing w:after="0" w:line="240" w:lineRule="auto"/>
        <w:ind w:left="567" w:hanging="567"/>
      </w:pPr>
    </w:p>
    <w:p w14:paraId="27ADDDA9" w14:textId="77777777" w:rsidR="00001721" w:rsidRDefault="00001721" w:rsidP="003B035D">
      <w:pPr>
        <w:tabs>
          <w:tab w:val="left" w:pos="567"/>
          <w:tab w:val="left" w:pos="1134"/>
          <w:tab w:val="left" w:pos="1701"/>
        </w:tabs>
        <w:spacing w:after="0" w:line="240" w:lineRule="auto"/>
        <w:ind w:left="567" w:hanging="567"/>
      </w:pPr>
    </w:p>
    <w:p w14:paraId="0760699E" w14:textId="2A0E8C74" w:rsidR="003B035D" w:rsidRPr="003B035D" w:rsidRDefault="003B035D" w:rsidP="003B035D">
      <w:pPr>
        <w:tabs>
          <w:tab w:val="left" w:pos="567"/>
          <w:tab w:val="left" w:pos="1134"/>
          <w:tab w:val="left" w:pos="1701"/>
        </w:tabs>
        <w:spacing w:after="0" w:line="240" w:lineRule="auto"/>
        <w:jc w:val="center"/>
      </w:pPr>
      <w:r w:rsidRPr="003B035D">
        <w:drawing>
          <wp:inline distT="0" distB="0" distL="0" distR="0" wp14:anchorId="0B2F119E" wp14:editId="05AE7A4F">
            <wp:extent cx="6408420" cy="310705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6408420" cy="3107055"/>
                    </a:xfrm>
                    <a:prstGeom prst="rect">
                      <a:avLst/>
                    </a:prstGeom>
                  </pic:spPr>
                </pic:pic>
              </a:graphicData>
            </a:graphic>
          </wp:inline>
        </w:drawing>
      </w:r>
    </w:p>
    <w:p w14:paraId="2B054942" w14:textId="541D679F" w:rsidR="003B035D" w:rsidRDefault="003B035D" w:rsidP="008C1AE0">
      <w:pPr>
        <w:tabs>
          <w:tab w:val="left" w:pos="567"/>
          <w:tab w:val="left" w:pos="1134"/>
          <w:tab w:val="left" w:pos="1701"/>
        </w:tabs>
        <w:spacing w:after="0" w:line="240" w:lineRule="auto"/>
      </w:pPr>
    </w:p>
    <w:p w14:paraId="071D26B1" w14:textId="13222743" w:rsidR="00001721" w:rsidRDefault="00001721" w:rsidP="00001721">
      <w:pPr>
        <w:tabs>
          <w:tab w:val="left" w:pos="567"/>
          <w:tab w:val="left" w:pos="1134"/>
          <w:tab w:val="left" w:pos="1701"/>
        </w:tabs>
        <w:spacing w:after="0" w:line="240" w:lineRule="auto"/>
        <w:ind w:left="567" w:hanging="567"/>
      </w:pPr>
      <w:r>
        <w:t>6.</w:t>
      </w:r>
      <w:r>
        <w:tab/>
        <w:t>Planning has included Staff Networks (Employee Resource Groups), incl. Disability Network, SOAR BAME (Black, Asian &amp; Minority Ethnic) Network and Allies Network, Faith &amp; Belief Forum, LGBTQI+ (Lesbian/Gay, Bi, Trans &amp; Non-Binary, Queer/Questioning and Intersex) Network.</w:t>
      </w:r>
    </w:p>
    <w:p w14:paraId="3F72533C" w14:textId="2048ECB7" w:rsidR="00001721" w:rsidRDefault="00001721" w:rsidP="008C1AE0">
      <w:pPr>
        <w:tabs>
          <w:tab w:val="left" w:pos="567"/>
          <w:tab w:val="left" w:pos="1134"/>
          <w:tab w:val="left" w:pos="1701"/>
        </w:tabs>
        <w:spacing w:after="0" w:line="240" w:lineRule="auto"/>
      </w:pPr>
    </w:p>
    <w:p w14:paraId="28ADE4E0" w14:textId="76CCFF92" w:rsidR="00001721" w:rsidRDefault="00001721" w:rsidP="00001721">
      <w:pPr>
        <w:tabs>
          <w:tab w:val="left" w:pos="567"/>
          <w:tab w:val="left" w:pos="1134"/>
          <w:tab w:val="left" w:pos="1701"/>
        </w:tabs>
        <w:spacing w:after="0" w:line="240" w:lineRule="auto"/>
        <w:ind w:left="567" w:hanging="567"/>
      </w:pPr>
      <w:r>
        <w:t>7.</w:t>
      </w:r>
      <w:r>
        <w:tab/>
        <w:t>Each domain is underpinned by a three-year Action Plan, drawing on the Patient First ‘A3’ (structured problem-solving) methodology.</w:t>
      </w:r>
    </w:p>
    <w:p w14:paraId="31757E06" w14:textId="77777777" w:rsidR="00001721" w:rsidRDefault="00001721" w:rsidP="00001721">
      <w:pPr>
        <w:tabs>
          <w:tab w:val="left" w:pos="567"/>
          <w:tab w:val="left" w:pos="1134"/>
          <w:tab w:val="left" w:pos="1701"/>
        </w:tabs>
        <w:spacing w:after="0" w:line="240" w:lineRule="auto"/>
        <w:ind w:left="567" w:hanging="567"/>
      </w:pPr>
    </w:p>
    <w:p w14:paraId="49405A3A" w14:textId="77777777" w:rsidR="00001721" w:rsidRDefault="00001721" w:rsidP="008C1AE0">
      <w:pPr>
        <w:tabs>
          <w:tab w:val="left" w:pos="567"/>
          <w:tab w:val="left" w:pos="1134"/>
          <w:tab w:val="left" w:pos="1701"/>
        </w:tabs>
        <w:spacing w:after="0" w:line="240" w:lineRule="auto"/>
      </w:pPr>
    </w:p>
    <w:p w14:paraId="736D1ABF" w14:textId="0605E5E7" w:rsidR="003B035D" w:rsidRDefault="003B035D" w:rsidP="003B035D">
      <w:pPr>
        <w:tabs>
          <w:tab w:val="left" w:pos="567"/>
          <w:tab w:val="left" w:pos="1134"/>
          <w:tab w:val="left" w:pos="1701"/>
        </w:tabs>
        <w:spacing w:after="0" w:line="240" w:lineRule="auto"/>
        <w:jc w:val="center"/>
      </w:pPr>
      <w:r w:rsidRPr="003B035D">
        <w:drawing>
          <wp:inline distT="0" distB="0" distL="0" distR="0" wp14:anchorId="2B517A3A" wp14:editId="735E0358">
            <wp:extent cx="6408420" cy="3560445"/>
            <wp:effectExtent l="0" t="0" r="0" b="1905"/>
            <wp:docPr id="3" name="Picture 3"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ext&#10;&#10;Description automatically generated"/>
                    <pic:cNvPicPr/>
                  </pic:nvPicPr>
                  <pic:blipFill>
                    <a:blip r:embed="rId14"/>
                    <a:stretch>
                      <a:fillRect/>
                    </a:stretch>
                  </pic:blipFill>
                  <pic:spPr>
                    <a:xfrm>
                      <a:off x="0" y="0"/>
                      <a:ext cx="6408420" cy="3560445"/>
                    </a:xfrm>
                    <a:prstGeom prst="rect">
                      <a:avLst/>
                    </a:prstGeom>
                  </pic:spPr>
                </pic:pic>
              </a:graphicData>
            </a:graphic>
          </wp:inline>
        </w:drawing>
      </w:r>
    </w:p>
    <w:p w14:paraId="39DA1E0D" w14:textId="77777777" w:rsidR="003B035D" w:rsidRDefault="003B035D" w:rsidP="008C1AE0">
      <w:pPr>
        <w:tabs>
          <w:tab w:val="left" w:pos="567"/>
          <w:tab w:val="left" w:pos="1134"/>
          <w:tab w:val="left" w:pos="1701"/>
        </w:tabs>
        <w:spacing w:after="0" w:line="240" w:lineRule="auto"/>
      </w:pPr>
    </w:p>
    <w:p w14:paraId="3ED1624D" w14:textId="2DECCC45" w:rsidR="003B035D" w:rsidRDefault="00001721" w:rsidP="008C1AE0">
      <w:pPr>
        <w:tabs>
          <w:tab w:val="left" w:pos="567"/>
          <w:tab w:val="left" w:pos="1134"/>
          <w:tab w:val="left" w:pos="1701"/>
        </w:tabs>
        <w:spacing w:after="0" w:line="240" w:lineRule="auto"/>
      </w:pPr>
      <w:r>
        <w:lastRenderedPageBreak/>
        <w:t>8.</w:t>
      </w:r>
      <w:r>
        <w:tab/>
        <w:t>Initial areas of focus are likely to include:-</w:t>
      </w:r>
    </w:p>
    <w:p w14:paraId="0D28D2A2" w14:textId="72253FFB" w:rsidR="00001721" w:rsidRDefault="00001721" w:rsidP="008C1AE0">
      <w:pPr>
        <w:tabs>
          <w:tab w:val="left" w:pos="567"/>
          <w:tab w:val="left" w:pos="1134"/>
          <w:tab w:val="left" w:pos="1701"/>
        </w:tabs>
        <w:spacing w:after="0" w:line="240" w:lineRule="auto"/>
      </w:pPr>
    </w:p>
    <w:p w14:paraId="1A1463B1" w14:textId="674E34F6" w:rsidR="00001721" w:rsidRDefault="00001721" w:rsidP="00001721">
      <w:pPr>
        <w:tabs>
          <w:tab w:val="left" w:pos="567"/>
          <w:tab w:val="left" w:pos="1134"/>
          <w:tab w:val="left" w:pos="1701"/>
        </w:tabs>
        <w:spacing w:after="0" w:line="240" w:lineRule="auto"/>
        <w:jc w:val="center"/>
      </w:pPr>
      <w:r w:rsidRPr="00001721">
        <w:drawing>
          <wp:inline distT="0" distB="0" distL="0" distR="0" wp14:anchorId="3E52BAAD" wp14:editId="3005F997">
            <wp:extent cx="6408420" cy="3589020"/>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pic:nvPicPr>
                  <pic:blipFill>
                    <a:blip r:embed="rId15"/>
                    <a:stretch>
                      <a:fillRect/>
                    </a:stretch>
                  </pic:blipFill>
                  <pic:spPr>
                    <a:xfrm>
                      <a:off x="0" y="0"/>
                      <a:ext cx="6408420" cy="3589020"/>
                    </a:xfrm>
                    <a:prstGeom prst="rect">
                      <a:avLst/>
                    </a:prstGeom>
                  </pic:spPr>
                </pic:pic>
              </a:graphicData>
            </a:graphic>
          </wp:inline>
        </w:drawing>
      </w:r>
    </w:p>
    <w:p w14:paraId="77AC0450" w14:textId="77777777" w:rsidR="00001721" w:rsidRPr="00001721" w:rsidRDefault="00001721" w:rsidP="008C1AE0">
      <w:pPr>
        <w:tabs>
          <w:tab w:val="left" w:pos="567"/>
          <w:tab w:val="left" w:pos="1134"/>
          <w:tab w:val="left" w:pos="1701"/>
        </w:tabs>
        <w:spacing w:after="0" w:line="240" w:lineRule="auto"/>
      </w:pPr>
    </w:p>
    <w:p w14:paraId="1B207F6B" w14:textId="77777777" w:rsidR="00001721" w:rsidRPr="00001721" w:rsidRDefault="00001721" w:rsidP="008C1AE0">
      <w:pPr>
        <w:tabs>
          <w:tab w:val="left" w:pos="567"/>
          <w:tab w:val="left" w:pos="1134"/>
          <w:tab w:val="left" w:pos="1701"/>
        </w:tabs>
        <w:spacing w:after="0" w:line="240" w:lineRule="auto"/>
      </w:pPr>
    </w:p>
    <w:p w14:paraId="079F0530" w14:textId="1D2E7A8F" w:rsidR="003B035D" w:rsidRPr="003B035D" w:rsidRDefault="003B035D" w:rsidP="008C1AE0">
      <w:pPr>
        <w:tabs>
          <w:tab w:val="left" w:pos="567"/>
          <w:tab w:val="left" w:pos="1134"/>
          <w:tab w:val="left" w:pos="1701"/>
        </w:tabs>
        <w:spacing w:after="0" w:line="240" w:lineRule="auto"/>
        <w:rPr>
          <w:b/>
          <w:bCs/>
        </w:rPr>
      </w:pPr>
      <w:r w:rsidRPr="003B035D">
        <w:rPr>
          <w:b/>
          <w:bCs/>
        </w:rPr>
        <w:t>WRES and WDES Action Plans 2022/23</w:t>
      </w:r>
    </w:p>
    <w:p w14:paraId="1817FF20" w14:textId="6BE99383" w:rsidR="003B035D" w:rsidRDefault="00001721" w:rsidP="00001721">
      <w:pPr>
        <w:tabs>
          <w:tab w:val="left" w:pos="567"/>
          <w:tab w:val="left" w:pos="1134"/>
          <w:tab w:val="left" w:pos="1701"/>
        </w:tabs>
        <w:spacing w:after="0" w:line="240" w:lineRule="auto"/>
        <w:ind w:left="567" w:hanging="567"/>
      </w:pPr>
      <w:r>
        <w:t>9</w:t>
      </w:r>
      <w:r w:rsidR="003B035D">
        <w:t>.</w:t>
      </w:r>
      <w:r w:rsidR="003B035D">
        <w:tab/>
      </w:r>
      <w:r>
        <w:t>The Trust EDI Plan is being constructed to provide both a perspective and integrated approach across all equalities groups, and to enable application of individual lenses (eg. WRES and WDES Action Plans).  Publication of the Action Plans will therefore follow approval of the</w:t>
      </w:r>
      <w:r w:rsidR="00F73BED">
        <w:t xml:space="preserve"> EDI Plan.</w:t>
      </w:r>
    </w:p>
    <w:p w14:paraId="74245440" w14:textId="30C121AC" w:rsidR="003B035D" w:rsidRDefault="003B035D" w:rsidP="008C1AE0">
      <w:pPr>
        <w:tabs>
          <w:tab w:val="left" w:pos="567"/>
          <w:tab w:val="left" w:pos="1134"/>
          <w:tab w:val="left" w:pos="1701"/>
        </w:tabs>
        <w:spacing w:after="0" w:line="240" w:lineRule="auto"/>
      </w:pPr>
    </w:p>
    <w:p w14:paraId="7C35983A" w14:textId="77777777" w:rsidR="003B035D" w:rsidRDefault="003B035D" w:rsidP="008C1AE0">
      <w:pPr>
        <w:tabs>
          <w:tab w:val="left" w:pos="567"/>
          <w:tab w:val="left" w:pos="1134"/>
          <w:tab w:val="left" w:pos="1701"/>
        </w:tabs>
        <w:spacing w:after="0" w:line="240" w:lineRule="auto"/>
      </w:pPr>
    </w:p>
    <w:sectPr w:rsidR="003B035D" w:rsidSect="008C1AE0">
      <w:footerReference w:type="default" r:id="rId16"/>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0B25" w14:textId="77777777" w:rsidR="003B035D" w:rsidRDefault="003B035D" w:rsidP="003B035D">
      <w:pPr>
        <w:spacing w:after="0" w:line="240" w:lineRule="auto"/>
      </w:pPr>
      <w:r>
        <w:separator/>
      </w:r>
    </w:p>
  </w:endnote>
  <w:endnote w:type="continuationSeparator" w:id="0">
    <w:p w14:paraId="7220BC42" w14:textId="77777777" w:rsidR="003B035D" w:rsidRDefault="003B035D" w:rsidP="003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0980943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7646E66" w14:textId="6171A0CB" w:rsidR="003B035D" w:rsidRPr="003B035D" w:rsidRDefault="003B035D" w:rsidP="003B035D">
            <w:pPr>
              <w:pStyle w:val="Footer"/>
              <w:jc w:val="right"/>
              <w:rPr>
                <w:sz w:val="20"/>
                <w:szCs w:val="20"/>
              </w:rPr>
            </w:pPr>
            <w:r w:rsidRPr="003B035D">
              <w:rPr>
                <w:sz w:val="20"/>
                <w:szCs w:val="20"/>
              </w:rPr>
              <w:t xml:space="preserve">Page </w:t>
            </w:r>
            <w:r w:rsidRPr="003B035D">
              <w:rPr>
                <w:sz w:val="20"/>
                <w:szCs w:val="20"/>
              </w:rPr>
              <w:fldChar w:fldCharType="begin"/>
            </w:r>
            <w:r w:rsidRPr="003B035D">
              <w:rPr>
                <w:sz w:val="20"/>
                <w:szCs w:val="20"/>
              </w:rPr>
              <w:instrText xml:space="preserve"> PAGE </w:instrText>
            </w:r>
            <w:r w:rsidRPr="003B035D">
              <w:rPr>
                <w:sz w:val="20"/>
                <w:szCs w:val="20"/>
              </w:rPr>
              <w:fldChar w:fldCharType="separate"/>
            </w:r>
            <w:r w:rsidRPr="003B035D">
              <w:rPr>
                <w:noProof/>
                <w:sz w:val="20"/>
                <w:szCs w:val="20"/>
              </w:rPr>
              <w:t>2</w:t>
            </w:r>
            <w:r w:rsidRPr="003B035D">
              <w:rPr>
                <w:sz w:val="20"/>
                <w:szCs w:val="20"/>
              </w:rPr>
              <w:fldChar w:fldCharType="end"/>
            </w:r>
            <w:r w:rsidRPr="003B035D">
              <w:rPr>
                <w:sz w:val="20"/>
                <w:szCs w:val="20"/>
              </w:rPr>
              <w:t xml:space="preserve"> of </w:t>
            </w:r>
            <w:r w:rsidRPr="003B035D">
              <w:rPr>
                <w:sz w:val="20"/>
                <w:szCs w:val="20"/>
              </w:rPr>
              <w:fldChar w:fldCharType="begin"/>
            </w:r>
            <w:r w:rsidRPr="003B035D">
              <w:rPr>
                <w:sz w:val="20"/>
                <w:szCs w:val="20"/>
              </w:rPr>
              <w:instrText xml:space="preserve"> NUMPAGES  </w:instrText>
            </w:r>
            <w:r w:rsidRPr="003B035D">
              <w:rPr>
                <w:sz w:val="20"/>
                <w:szCs w:val="20"/>
              </w:rPr>
              <w:fldChar w:fldCharType="separate"/>
            </w:r>
            <w:r w:rsidRPr="003B035D">
              <w:rPr>
                <w:noProof/>
                <w:sz w:val="20"/>
                <w:szCs w:val="20"/>
              </w:rPr>
              <w:t>2</w:t>
            </w:r>
            <w:r w:rsidRPr="003B035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6DF47" w14:textId="77777777" w:rsidR="003B035D" w:rsidRDefault="003B035D" w:rsidP="003B035D">
      <w:pPr>
        <w:spacing w:after="0" w:line="240" w:lineRule="auto"/>
      </w:pPr>
      <w:r>
        <w:separator/>
      </w:r>
    </w:p>
  </w:footnote>
  <w:footnote w:type="continuationSeparator" w:id="0">
    <w:p w14:paraId="3348F8D4" w14:textId="77777777" w:rsidR="003B035D" w:rsidRDefault="003B035D" w:rsidP="003B0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E0"/>
    <w:rsid w:val="00001721"/>
    <w:rsid w:val="00034D07"/>
    <w:rsid w:val="00322B61"/>
    <w:rsid w:val="003B035D"/>
    <w:rsid w:val="004966E8"/>
    <w:rsid w:val="008C1AE0"/>
    <w:rsid w:val="00F73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301C"/>
  <w15:chartTrackingRefBased/>
  <w15:docId w15:val="{34C397B9-8E38-4763-AE00-FDEFC9BD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AE0"/>
    <w:rPr>
      <w:color w:val="0000FF" w:themeColor="hyperlink"/>
      <w:u w:val="single"/>
    </w:rPr>
  </w:style>
  <w:style w:type="character" w:styleId="UnresolvedMention">
    <w:name w:val="Unresolved Mention"/>
    <w:basedOn w:val="DefaultParagraphFont"/>
    <w:uiPriority w:val="99"/>
    <w:semiHidden/>
    <w:unhideWhenUsed/>
    <w:rsid w:val="008C1AE0"/>
    <w:rPr>
      <w:color w:val="605E5C"/>
      <w:shd w:val="clear" w:color="auto" w:fill="E1DFDD"/>
    </w:rPr>
  </w:style>
  <w:style w:type="paragraph" w:styleId="Header">
    <w:name w:val="header"/>
    <w:basedOn w:val="Normal"/>
    <w:link w:val="HeaderChar"/>
    <w:uiPriority w:val="99"/>
    <w:unhideWhenUsed/>
    <w:rsid w:val="003B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35D"/>
  </w:style>
  <w:style w:type="paragraph" w:styleId="Footer">
    <w:name w:val="footer"/>
    <w:basedOn w:val="Normal"/>
    <w:link w:val="FooterChar"/>
    <w:uiPriority w:val="99"/>
    <w:unhideWhenUsed/>
    <w:rsid w:val="003B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qc.org.uk/sites/default/files/20200115_Trust_wide_well_led_inspection_framework_V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gland.nhs.uk/about/equality/equality-hub/workforce-equality-data-standards/wdes/"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www.england.nhs.uk/about/equality/equality-hub/workforce-equality-data-standards/equality-standar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2" ma:contentTypeDescription="Create a new document." ma:contentTypeScope="" ma:versionID="89c1f2e28f95cad9caf62fe3b0fdcea0">
  <xsd:schema xmlns:xsd="http://www.w3.org/2001/XMLSchema" xmlns:xs="http://www.w3.org/2001/XMLSchema" xmlns:p="http://schemas.microsoft.com/office/2006/metadata/properties" xmlns:ns3="5789755c-de38-4fe3-9623-40afa3bba1e2" xmlns:ns4="32678723-8c06-45e1-8bd0-318b9868a43d" targetNamespace="http://schemas.microsoft.com/office/2006/metadata/properties" ma:root="true" ma:fieldsID="e267b292ded1c0592e21e9a8088d0b17" ns3:_="" ns4:_="">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8B338-1623-4B30-ADAF-F7865203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12BA9-8C4B-4069-B2B3-4975EAE20F95}">
  <ds:schemaRefs>
    <ds:schemaRef ds:uri="http://schemas.microsoft.com/sharepoint/v3/contenttype/forms"/>
  </ds:schemaRefs>
</ds:datastoreItem>
</file>

<file path=customXml/itemProps3.xml><?xml version="1.0" encoding="utf-8"?>
<ds:datastoreItem xmlns:ds="http://schemas.openxmlformats.org/officeDocument/2006/customXml" ds:itemID="{24F6281E-046B-4734-80C5-3E8CB6F24841}">
  <ds:schemaRefs>
    <ds:schemaRef ds:uri="http://schemas.microsoft.com/office/2006/documentManagement/types"/>
    <ds:schemaRef ds:uri="http://schemas.microsoft.com/office/infopath/2007/PartnerControls"/>
    <ds:schemaRef ds:uri="5789755c-de38-4fe3-9623-40afa3bba1e2"/>
    <ds:schemaRef ds:uri="http://purl.org/dc/elements/1.1/"/>
    <ds:schemaRef ds:uri="32678723-8c06-45e1-8bd0-318b9868a43d"/>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Sussex NHS Foundation Trust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GROVES, Nick (UNIVERSITY HOSPITALS SUSSEX NHS FOUNDATION TRUST)</dc:creator>
  <cp:keywords/>
  <dc:description/>
  <cp:lastModifiedBy>GROVES, Nick (UNIVERSITY HOSPITALS SUSSEX NHS FOUNDATION TRUST)</cp:lastModifiedBy>
  <cp:revision>3</cp:revision>
  <dcterms:created xsi:type="dcterms:W3CDTF">2022-11-22T15:19:00Z</dcterms:created>
  <dcterms:modified xsi:type="dcterms:W3CDTF">2022-11-22T15:20:00Z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