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auto"/>
          <w:sz w:val="24"/>
          <w:szCs w:val="22"/>
        </w:rPr>
        <w:id w:val="1297259142"/>
        <w:docPartObj>
          <w:docPartGallery w:val="Cover Pages"/>
          <w:docPartUnique/>
        </w:docPartObj>
      </w:sdtPr>
      <w:sdtEndPr/>
      <w:sdtContent>
        <w:p w:rsidR="00652DE2" w:rsidRDefault="00652DE2" w:rsidP="00810ADF">
          <w:pPr>
            <w:pStyle w:val="Reportsubtitle"/>
          </w:pPr>
          <w:r>
            <w:rPr>
              <w:noProof/>
              <w:lang w:eastAsia="en-GB"/>
            </w:rPr>
            <w:drawing>
              <wp:anchor distT="0" distB="0" distL="114300" distR="114300" simplePos="0" relativeHeight="251661312" behindDoc="0" locked="0" layoutInCell="1" allowOverlap="1" wp14:anchorId="17732C24" wp14:editId="38712903">
                <wp:simplePos x="0" y="1619250"/>
                <wp:positionH relativeFrom="page">
                  <wp:align>left</wp:align>
                </wp:positionH>
                <wp:positionV relativeFrom="page">
                  <wp:align>bottom</wp:align>
                </wp:positionV>
                <wp:extent cx="6642000" cy="198000"/>
                <wp:effectExtent l="0" t="0" r="0" b="0"/>
                <wp:wrapTopAndBottom/>
                <wp:docPr id="6" name="Picture 6" descr="&quot;&quot;"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patter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2000" cy="198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683F19F3" wp14:editId="57D37284">
                    <wp:simplePos x="0" y="0"/>
                    <wp:positionH relativeFrom="column">
                      <wp:posOffset>676275</wp:posOffset>
                    </wp:positionH>
                    <wp:positionV relativeFrom="page">
                      <wp:posOffset>2828926</wp:posOffset>
                    </wp:positionV>
                    <wp:extent cx="5951220" cy="20383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951220" cy="2038350"/>
                            </a:xfrm>
                            <a:prstGeom prst="rect">
                              <a:avLst/>
                            </a:prstGeom>
                            <a:noFill/>
                            <a:ln w="6350">
                              <a:noFill/>
                            </a:ln>
                          </wps:spPr>
                          <wps:txbx>
                            <w:txbxContent>
                              <w:p w:rsidR="00652DE2" w:rsidRPr="009935BD" w:rsidRDefault="00935BD1" w:rsidP="009935BD">
                                <w:pPr>
                                  <w:pStyle w:val="Reporttitle"/>
                                </w:pPr>
                                <w:r w:rsidRPr="00935BD1">
                                  <w:t>Workforce Race Equality Standard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3.25pt;margin-top:222.75pt;width:468.6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" filled="f" stroked="f" strokeweight=".5pt">
                    <v:textbox>
                      <w:txbxContent>
                        <w:p w:rsidR="00652DE2" w:rsidRPr="009935BD" w:rsidRDefault="00935BD1" w:rsidP="009935BD">
                          <w:pPr>
                            <w:pStyle w:val="Reporttitle"/>
                          </w:pPr>
                          <w:r w:rsidRPr="00935BD1">
                            <w:t>Workforce Race Equality Standard 2021</w:t>
                          </w:r>
                        </w:p>
                      </w:txbxContent>
                    </v:textbox>
                    <w10:wrap type="square" anchory="page"/>
                  </v:shape>
                </w:pict>
              </mc:Fallback>
            </mc:AlternateContent>
          </w:r>
        </w:p>
        <w:p w:rsidR="00652DE2" w:rsidRDefault="00935BD1" w:rsidP="00652DE2">
          <w:pPr>
            <w:rPr>
              <w:rFonts w:eastAsiaTheme="majorEastAsia" w:cstheme="majorBidi"/>
              <w:b/>
              <w:bCs/>
              <w:sz w:val="40"/>
              <w:szCs w:val="28"/>
            </w:rPr>
          </w:pPr>
          <w:r>
            <w:rPr>
              <w:noProof/>
              <w:lang w:eastAsia="en-GB"/>
            </w:rPr>
            <mc:AlternateContent>
              <mc:Choice Requires="wps">
                <w:drawing>
                  <wp:anchor distT="0" distB="0" distL="114300" distR="114300" simplePos="0" relativeHeight="251660288" behindDoc="0" locked="0" layoutInCell="1" allowOverlap="1" wp14:anchorId="64E2EE4D" wp14:editId="70DCE832">
                    <wp:simplePos x="0" y="0"/>
                    <wp:positionH relativeFrom="column">
                      <wp:posOffset>677545</wp:posOffset>
                    </wp:positionH>
                    <wp:positionV relativeFrom="page">
                      <wp:posOffset>4519930</wp:posOffset>
                    </wp:positionV>
                    <wp:extent cx="6031230" cy="1506220"/>
                    <wp:effectExtent l="0" t="0" r="0" b="0"/>
                    <wp:wrapNone/>
                    <wp:docPr id="4" name="Text Box 4"/>
                    <wp:cNvGraphicFramePr/>
                    <a:graphic xmlns:a="http://schemas.openxmlformats.org/drawingml/2006/main">
                      <a:graphicData uri="http://schemas.microsoft.com/office/word/2010/wordprocessingShape">
                        <wps:wsp>
                          <wps:cNvSpPr txBox="1"/>
                          <wps:spPr>
                            <a:xfrm>
                              <a:off x="0" y="0"/>
                              <a:ext cx="6031230" cy="1506220"/>
                            </a:xfrm>
                            <a:prstGeom prst="rect">
                              <a:avLst/>
                            </a:prstGeom>
                            <a:noFill/>
                            <a:ln w="6350">
                              <a:noFill/>
                            </a:ln>
                          </wps:spPr>
                          <wps:txbx>
                            <w:txbxContent>
                              <w:p w:rsidR="00652DE2" w:rsidRPr="00810ADF" w:rsidRDefault="00935BD1" w:rsidP="00810ADF">
                                <w:pPr>
                                  <w:pStyle w:val="Reportsubtitle"/>
                                </w:pPr>
                                <w:r>
                                  <w:t xml:space="preserve">Reporting on </w:t>
                                </w:r>
                                <w:r w:rsidRPr="00935BD1">
                                  <w:t>Brighton and Sussex University Hospitals NHS Trust and Western Sussex NHS Foundation Trust</w:t>
                                </w:r>
                                <w:r>
                                  <w:t xml:space="preserve"> race data for 2020/21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53.35pt;margin-top:355.9pt;width:474.9pt;height:1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" filled="f" stroked="f" strokeweight=".5pt">
                    <v:textbox>
                      <w:txbxContent>
                        <w:p w:rsidR="00652DE2" w:rsidRPr="00810ADF" w:rsidRDefault="00935BD1" w:rsidP="00810ADF">
                          <w:pPr>
                            <w:pStyle w:val="Reportsubtitle"/>
                          </w:pPr>
                          <w:r>
                            <w:t xml:space="preserve">Reporting on </w:t>
                          </w:r>
                          <w:r w:rsidRPr="00935BD1">
                            <w:t>Brighton and Sussex University Hospitals NHS Trust and Western Sussex NHS Foundation Trust</w:t>
                          </w:r>
                          <w:r>
                            <w:t xml:space="preserve"> race data for 2020/21</w:t>
                          </w:r>
                        </w:p>
                      </w:txbxContent>
                    </v:textbox>
                    <w10:wrap anchory="page"/>
                  </v:shape>
                </w:pict>
              </mc:Fallback>
            </mc:AlternateContent>
          </w:r>
          <w:r w:rsidR="00652DE2">
            <w:br w:type="page"/>
          </w:r>
        </w:p>
      </w:sdtContent>
    </w:sdt>
    <w:p w:rsidR="00652DE2" w:rsidRDefault="00652DE2" w:rsidP="00652DE2">
      <w:pPr>
        <w:pStyle w:val="Heading1"/>
        <w:sectPr w:rsidR="00652DE2" w:rsidSect="009935BD">
          <w:footerReference w:type="default" r:id="rId10"/>
          <w:headerReference w:type="first" r:id="rId11"/>
          <w:footerReference w:type="first" r:id="rId12"/>
          <w:pgSz w:w="11906" w:h="16838"/>
          <w:pgMar w:top="284" w:right="1440" w:bottom="1440" w:left="340" w:header="709" w:footer="709" w:gutter="0"/>
          <w:pgNumType w:start="0"/>
          <w:cols w:space="708"/>
          <w:titlePg/>
          <w:docGrid w:linePitch="360"/>
        </w:sectPr>
      </w:pPr>
    </w:p>
    <w:sdt>
      <w:sdtPr>
        <w:rPr>
          <w:rFonts w:ascii="Arial" w:eastAsiaTheme="minorHAnsi" w:hAnsi="Arial" w:cs="Arial"/>
          <w:b w:val="0"/>
          <w:bCs w:val="0"/>
          <w:color w:val="auto"/>
          <w:sz w:val="24"/>
          <w:szCs w:val="22"/>
          <w:lang w:val="en-GB" w:eastAsia="en-US"/>
        </w:rPr>
        <w:id w:val="-1594929733"/>
        <w:docPartObj>
          <w:docPartGallery w:val="Table of Contents"/>
          <w:docPartUnique/>
        </w:docPartObj>
      </w:sdtPr>
      <w:sdtEndPr>
        <w:rPr>
          <w:noProof/>
        </w:rPr>
      </w:sdtEndPr>
      <w:sdtContent>
        <w:p w:rsidR="00674167" w:rsidRPr="00674167" w:rsidRDefault="00674167">
          <w:pPr>
            <w:pStyle w:val="TOCHeading"/>
            <w:rPr>
              <w:rStyle w:val="Heading1Char"/>
              <w:b/>
            </w:rPr>
          </w:pPr>
          <w:r w:rsidRPr="00674167">
            <w:rPr>
              <w:rStyle w:val="Heading1Char"/>
              <w:b/>
            </w:rPr>
            <w:t>Contents</w:t>
          </w:r>
        </w:p>
        <w:p w:rsidR="00674167" w:rsidRPr="00674167" w:rsidRDefault="00674167" w:rsidP="00674167">
          <w:pPr>
            <w:rPr>
              <w:lang w:val="en-US" w:eastAsia="ja-JP"/>
            </w:rPr>
          </w:pPr>
        </w:p>
        <w:p w:rsidR="00C70070" w:rsidRDefault="00674167">
          <w:pPr>
            <w:pStyle w:val="TOC1"/>
            <w:tabs>
              <w:tab w:val="right" w:leader="dot" w:pos="9016"/>
            </w:tabs>
            <w:rPr>
              <w:rFonts w:asciiTheme="minorHAnsi" w:eastAsiaTheme="minorEastAsia" w:hAnsiTheme="minorHAnsi" w:cstheme="minorBidi"/>
              <w:noProof/>
              <w:sz w:val="22"/>
              <w:lang w:eastAsia="en-GB"/>
            </w:rPr>
          </w:pPr>
          <w:r>
            <w:fldChar w:fldCharType="begin"/>
          </w:r>
          <w:r>
            <w:instrText xml:space="preserve"> TOC \o "1-3" \h \z \u </w:instrText>
          </w:r>
          <w:r>
            <w:fldChar w:fldCharType="separate"/>
          </w:r>
          <w:hyperlink w:anchor="_Toc79152339" w:history="1">
            <w:r w:rsidR="00C70070" w:rsidRPr="00BC1C40">
              <w:rPr>
                <w:rStyle w:val="Hyperlink"/>
                <w:noProof/>
              </w:rPr>
              <w:t>Introduction</w:t>
            </w:r>
            <w:r w:rsidR="00C70070">
              <w:rPr>
                <w:noProof/>
                <w:webHidden/>
              </w:rPr>
              <w:tab/>
            </w:r>
            <w:r w:rsidR="00C70070">
              <w:rPr>
                <w:noProof/>
                <w:webHidden/>
              </w:rPr>
              <w:fldChar w:fldCharType="begin"/>
            </w:r>
            <w:r w:rsidR="00C70070">
              <w:rPr>
                <w:noProof/>
                <w:webHidden/>
              </w:rPr>
              <w:instrText xml:space="preserve"> PAGEREF _Toc79152339 \h </w:instrText>
            </w:r>
            <w:r w:rsidR="00C70070">
              <w:rPr>
                <w:noProof/>
                <w:webHidden/>
              </w:rPr>
            </w:r>
            <w:r w:rsidR="00C70070">
              <w:rPr>
                <w:noProof/>
                <w:webHidden/>
              </w:rPr>
              <w:fldChar w:fldCharType="separate"/>
            </w:r>
            <w:r w:rsidR="00C70070">
              <w:rPr>
                <w:noProof/>
                <w:webHidden/>
              </w:rPr>
              <w:t>3</w:t>
            </w:r>
            <w:r w:rsidR="00C70070">
              <w:rPr>
                <w:noProof/>
                <w:webHidden/>
              </w:rPr>
              <w:fldChar w:fldCharType="end"/>
            </w:r>
          </w:hyperlink>
        </w:p>
        <w:p w:rsidR="00C70070" w:rsidRDefault="00C70070">
          <w:pPr>
            <w:pStyle w:val="TOC1"/>
            <w:tabs>
              <w:tab w:val="right" w:leader="dot" w:pos="9016"/>
            </w:tabs>
            <w:rPr>
              <w:rFonts w:asciiTheme="minorHAnsi" w:eastAsiaTheme="minorEastAsia" w:hAnsiTheme="minorHAnsi" w:cstheme="minorBidi"/>
              <w:noProof/>
              <w:sz w:val="22"/>
              <w:lang w:eastAsia="en-GB"/>
            </w:rPr>
          </w:pPr>
          <w:hyperlink w:anchor="_Toc79152340" w:history="1">
            <w:r w:rsidRPr="00BC1C40">
              <w:rPr>
                <w:rStyle w:val="Hyperlink"/>
                <w:noProof/>
              </w:rPr>
              <w:t>Background Information</w:t>
            </w:r>
            <w:r>
              <w:rPr>
                <w:noProof/>
                <w:webHidden/>
              </w:rPr>
              <w:tab/>
            </w:r>
            <w:r>
              <w:rPr>
                <w:noProof/>
                <w:webHidden/>
              </w:rPr>
              <w:fldChar w:fldCharType="begin"/>
            </w:r>
            <w:r>
              <w:rPr>
                <w:noProof/>
                <w:webHidden/>
              </w:rPr>
              <w:instrText xml:space="preserve"> PAGEREF _Toc79152340 \h </w:instrText>
            </w:r>
            <w:r>
              <w:rPr>
                <w:noProof/>
                <w:webHidden/>
              </w:rPr>
            </w:r>
            <w:r>
              <w:rPr>
                <w:noProof/>
                <w:webHidden/>
              </w:rPr>
              <w:fldChar w:fldCharType="separate"/>
            </w:r>
            <w:r>
              <w:rPr>
                <w:noProof/>
                <w:webHidden/>
              </w:rPr>
              <w:t>4</w:t>
            </w:r>
            <w:r>
              <w:rPr>
                <w:noProof/>
                <w:webHidden/>
              </w:rPr>
              <w:fldChar w:fldCharType="end"/>
            </w:r>
          </w:hyperlink>
        </w:p>
        <w:p w:rsidR="00C70070" w:rsidRDefault="00C70070">
          <w:pPr>
            <w:pStyle w:val="TOC2"/>
            <w:tabs>
              <w:tab w:val="right" w:leader="dot" w:pos="9016"/>
            </w:tabs>
            <w:rPr>
              <w:rFonts w:asciiTheme="minorHAnsi" w:eastAsiaTheme="minorEastAsia" w:hAnsiTheme="minorHAnsi" w:cstheme="minorBidi"/>
              <w:noProof/>
              <w:sz w:val="22"/>
              <w:lang w:eastAsia="en-GB"/>
            </w:rPr>
          </w:pPr>
          <w:hyperlink w:anchor="_Toc79152341" w:history="1">
            <w:r w:rsidRPr="00BC1C40">
              <w:rPr>
                <w:rStyle w:val="Hyperlink"/>
                <w:noProof/>
              </w:rPr>
              <w:t>The total number of staff in the Trusts:</w:t>
            </w:r>
            <w:r>
              <w:rPr>
                <w:noProof/>
                <w:webHidden/>
              </w:rPr>
              <w:tab/>
            </w:r>
            <w:r>
              <w:rPr>
                <w:noProof/>
                <w:webHidden/>
              </w:rPr>
              <w:fldChar w:fldCharType="begin"/>
            </w:r>
            <w:r>
              <w:rPr>
                <w:noProof/>
                <w:webHidden/>
              </w:rPr>
              <w:instrText xml:space="preserve"> PAGEREF _Toc79152341 \h </w:instrText>
            </w:r>
            <w:r>
              <w:rPr>
                <w:noProof/>
                <w:webHidden/>
              </w:rPr>
            </w:r>
            <w:r>
              <w:rPr>
                <w:noProof/>
                <w:webHidden/>
              </w:rPr>
              <w:fldChar w:fldCharType="separate"/>
            </w:r>
            <w:r>
              <w:rPr>
                <w:noProof/>
                <w:webHidden/>
              </w:rPr>
              <w:t>4</w:t>
            </w:r>
            <w:r>
              <w:rPr>
                <w:noProof/>
                <w:webHidden/>
              </w:rPr>
              <w:fldChar w:fldCharType="end"/>
            </w:r>
          </w:hyperlink>
        </w:p>
        <w:p w:rsidR="00C70070" w:rsidRDefault="00C70070">
          <w:pPr>
            <w:pStyle w:val="TOC3"/>
            <w:tabs>
              <w:tab w:val="right" w:leader="dot" w:pos="9016"/>
            </w:tabs>
            <w:rPr>
              <w:rFonts w:asciiTheme="minorHAnsi" w:eastAsiaTheme="minorEastAsia" w:hAnsiTheme="minorHAnsi" w:cstheme="minorBidi"/>
              <w:noProof/>
              <w:sz w:val="22"/>
              <w:lang w:eastAsia="en-GB"/>
            </w:rPr>
          </w:pPr>
          <w:hyperlink w:anchor="_Toc79152342" w:history="1">
            <w:r w:rsidRPr="00BC1C40">
              <w:rPr>
                <w:rStyle w:val="Hyperlink"/>
                <w:noProof/>
              </w:rPr>
              <w:t>Brighton and Sussex University Hospitals NHS Trust:</w:t>
            </w:r>
            <w:r>
              <w:rPr>
                <w:noProof/>
                <w:webHidden/>
              </w:rPr>
              <w:tab/>
            </w:r>
            <w:r>
              <w:rPr>
                <w:noProof/>
                <w:webHidden/>
              </w:rPr>
              <w:fldChar w:fldCharType="begin"/>
            </w:r>
            <w:r>
              <w:rPr>
                <w:noProof/>
                <w:webHidden/>
              </w:rPr>
              <w:instrText xml:space="preserve"> PAGEREF _Toc79152342 \h </w:instrText>
            </w:r>
            <w:r>
              <w:rPr>
                <w:noProof/>
                <w:webHidden/>
              </w:rPr>
            </w:r>
            <w:r>
              <w:rPr>
                <w:noProof/>
                <w:webHidden/>
              </w:rPr>
              <w:fldChar w:fldCharType="separate"/>
            </w:r>
            <w:r>
              <w:rPr>
                <w:noProof/>
                <w:webHidden/>
              </w:rPr>
              <w:t>4</w:t>
            </w:r>
            <w:r>
              <w:rPr>
                <w:noProof/>
                <w:webHidden/>
              </w:rPr>
              <w:fldChar w:fldCharType="end"/>
            </w:r>
          </w:hyperlink>
        </w:p>
        <w:p w:rsidR="00C70070" w:rsidRDefault="00C70070">
          <w:pPr>
            <w:pStyle w:val="TOC3"/>
            <w:tabs>
              <w:tab w:val="right" w:leader="dot" w:pos="9016"/>
            </w:tabs>
            <w:rPr>
              <w:rFonts w:asciiTheme="minorHAnsi" w:eastAsiaTheme="minorEastAsia" w:hAnsiTheme="minorHAnsi" w:cstheme="minorBidi"/>
              <w:noProof/>
              <w:sz w:val="22"/>
              <w:lang w:eastAsia="en-GB"/>
            </w:rPr>
          </w:pPr>
          <w:hyperlink w:anchor="_Toc79152343" w:history="1">
            <w:r w:rsidRPr="00BC1C40">
              <w:rPr>
                <w:rStyle w:val="Hyperlink"/>
                <w:noProof/>
              </w:rPr>
              <w:t>Western Sussex Hospitals Foundation NHS Trust:</w:t>
            </w:r>
            <w:r>
              <w:rPr>
                <w:noProof/>
                <w:webHidden/>
              </w:rPr>
              <w:tab/>
            </w:r>
            <w:r>
              <w:rPr>
                <w:noProof/>
                <w:webHidden/>
              </w:rPr>
              <w:fldChar w:fldCharType="begin"/>
            </w:r>
            <w:r>
              <w:rPr>
                <w:noProof/>
                <w:webHidden/>
              </w:rPr>
              <w:instrText xml:space="preserve"> PAGEREF _Toc79152343 \h </w:instrText>
            </w:r>
            <w:r>
              <w:rPr>
                <w:noProof/>
                <w:webHidden/>
              </w:rPr>
            </w:r>
            <w:r>
              <w:rPr>
                <w:noProof/>
                <w:webHidden/>
              </w:rPr>
              <w:fldChar w:fldCharType="separate"/>
            </w:r>
            <w:r>
              <w:rPr>
                <w:noProof/>
                <w:webHidden/>
              </w:rPr>
              <w:t>4</w:t>
            </w:r>
            <w:r>
              <w:rPr>
                <w:noProof/>
                <w:webHidden/>
              </w:rPr>
              <w:fldChar w:fldCharType="end"/>
            </w:r>
          </w:hyperlink>
        </w:p>
        <w:p w:rsidR="00C70070" w:rsidRDefault="00C70070">
          <w:pPr>
            <w:pStyle w:val="TOC2"/>
            <w:tabs>
              <w:tab w:val="right" w:leader="dot" w:pos="9016"/>
            </w:tabs>
            <w:rPr>
              <w:rFonts w:asciiTheme="minorHAnsi" w:eastAsiaTheme="minorEastAsia" w:hAnsiTheme="minorHAnsi" w:cstheme="minorBidi"/>
              <w:noProof/>
              <w:sz w:val="22"/>
              <w:lang w:eastAsia="en-GB"/>
            </w:rPr>
          </w:pPr>
          <w:hyperlink w:anchor="_Toc79152344" w:history="1">
            <w:r w:rsidRPr="00BC1C40">
              <w:rPr>
                <w:rStyle w:val="Hyperlink"/>
                <w:noProof/>
              </w:rPr>
              <w:t>Steps taken in the last reporting period to improve the level of self-reporting by ethnicity</w:t>
            </w:r>
            <w:r>
              <w:rPr>
                <w:noProof/>
                <w:webHidden/>
              </w:rPr>
              <w:tab/>
            </w:r>
            <w:r>
              <w:rPr>
                <w:noProof/>
                <w:webHidden/>
              </w:rPr>
              <w:fldChar w:fldCharType="begin"/>
            </w:r>
            <w:r>
              <w:rPr>
                <w:noProof/>
                <w:webHidden/>
              </w:rPr>
              <w:instrText xml:space="preserve"> PAGEREF _Toc79152344 \h </w:instrText>
            </w:r>
            <w:r>
              <w:rPr>
                <w:noProof/>
                <w:webHidden/>
              </w:rPr>
            </w:r>
            <w:r>
              <w:rPr>
                <w:noProof/>
                <w:webHidden/>
              </w:rPr>
              <w:fldChar w:fldCharType="separate"/>
            </w:r>
            <w:r>
              <w:rPr>
                <w:noProof/>
                <w:webHidden/>
              </w:rPr>
              <w:t>5</w:t>
            </w:r>
            <w:r>
              <w:rPr>
                <w:noProof/>
                <w:webHidden/>
              </w:rPr>
              <w:fldChar w:fldCharType="end"/>
            </w:r>
          </w:hyperlink>
        </w:p>
        <w:p w:rsidR="00C70070" w:rsidRDefault="00C70070">
          <w:pPr>
            <w:pStyle w:val="TOC2"/>
            <w:tabs>
              <w:tab w:val="right" w:leader="dot" w:pos="9016"/>
            </w:tabs>
            <w:rPr>
              <w:rFonts w:asciiTheme="minorHAnsi" w:eastAsiaTheme="minorEastAsia" w:hAnsiTheme="minorHAnsi" w:cstheme="minorBidi"/>
              <w:noProof/>
              <w:sz w:val="22"/>
              <w:lang w:eastAsia="en-GB"/>
            </w:rPr>
          </w:pPr>
          <w:hyperlink w:anchor="_Toc79152345" w:history="1">
            <w:r w:rsidRPr="00BC1C40">
              <w:rPr>
                <w:rStyle w:val="Hyperlink"/>
                <w:noProof/>
              </w:rPr>
              <w:t>Planned steps during the current reporting period to improve the level of self-reporting by ethnicity?</w:t>
            </w:r>
            <w:r>
              <w:rPr>
                <w:noProof/>
                <w:webHidden/>
              </w:rPr>
              <w:tab/>
            </w:r>
            <w:r>
              <w:rPr>
                <w:noProof/>
                <w:webHidden/>
              </w:rPr>
              <w:fldChar w:fldCharType="begin"/>
            </w:r>
            <w:r>
              <w:rPr>
                <w:noProof/>
                <w:webHidden/>
              </w:rPr>
              <w:instrText xml:space="preserve"> PAGEREF _Toc79152345 \h </w:instrText>
            </w:r>
            <w:r>
              <w:rPr>
                <w:noProof/>
                <w:webHidden/>
              </w:rPr>
            </w:r>
            <w:r>
              <w:rPr>
                <w:noProof/>
                <w:webHidden/>
              </w:rPr>
              <w:fldChar w:fldCharType="separate"/>
            </w:r>
            <w:r>
              <w:rPr>
                <w:noProof/>
                <w:webHidden/>
              </w:rPr>
              <w:t>5</w:t>
            </w:r>
            <w:r>
              <w:rPr>
                <w:noProof/>
                <w:webHidden/>
              </w:rPr>
              <w:fldChar w:fldCharType="end"/>
            </w:r>
          </w:hyperlink>
        </w:p>
        <w:p w:rsidR="00C70070" w:rsidRDefault="00C70070">
          <w:pPr>
            <w:pStyle w:val="TOC2"/>
            <w:tabs>
              <w:tab w:val="right" w:leader="dot" w:pos="9016"/>
            </w:tabs>
            <w:rPr>
              <w:rFonts w:asciiTheme="minorHAnsi" w:eastAsiaTheme="minorEastAsia" w:hAnsiTheme="minorHAnsi" w:cstheme="minorBidi"/>
              <w:noProof/>
              <w:sz w:val="22"/>
              <w:lang w:eastAsia="en-GB"/>
            </w:rPr>
          </w:pPr>
          <w:hyperlink w:anchor="_Toc79152346" w:history="1">
            <w:r w:rsidRPr="00BC1C40">
              <w:rPr>
                <w:rStyle w:val="Hyperlink"/>
                <w:noProof/>
              </w:rPr>
              <w:t>What period does the organisation’s workforce data refer to?</w:t>
            </w:r>
            <w:r>
              <w:rPr>
                <w:noProof/>
                <w:webHidden/>
              </w:rPr>
              <w:tab/>
            </w:r>
            <w:r>
              <w:rPr>
                <w:noProof/>
                <w:webHidden/>
              </w:rPr>
              <w:fldChar w:fldCharType="begin"/>
            </w:r>
            <w:r>
              <w:rPr>
                <w:noProof/>
                <w:webHidden/>
              </w:rPr>
              <w:instrText xml:space="preserve"> PAGEREF _Toc79152346 \h </w:instrText>
            </w:r>
            <w:r>
              <w:rPr>
                <w:noProof/>
                <w:webHidden/>
              </w:rPr>
            </w:r>
            <w:r>
              <w:rPr>
                <w:noProof/>
                <w:webHidden/>
              </w:rPr>
              <w:fldChar w:fldCharType="separate"/>
            </w:r>
            <w:r>
              <w:rPr>
                <w:noProof/>
                <w:webHidden/>
              </w:rPr>
              <w:t>5</w:t>
            </w:r>
            <w:r>
              <w:rPr>
                <w:noProof/>
                <w:webHidden/>
              </w:rPr>
              <w:fldChar w:fldCharType="end"/>
            </w:r>
          </w:hyperlink>
        </w:p>
        <w:p w:rsidR="00C70070" w:rsidRDefault="00C70070">
          <w:pPr>
            <w:pStyle w:val="TOC2"/>
            <w:tabs>
              <w:tab w:val="right" w:leader="dot" w:pos="9016"/>
            </w:tabs>
            <w:rPr>
              <w:rFonts w:asciiTheme="minorHAnsi" w:eastAsiaTheme="minorEastAsia" w:hAnsiTheme="minorHAnsi" w:cstheme="minorBidi"/>
              <w:noProof/>
              <w:sz w:val="22"/>
              <w:lang w:eastAsia="en-GB"/>
            </w:rPr>
          </w:pPr>
          <w:hyperlink w:anchor="_Toc79152347" w:history="1">
            <w:r w:rsidRPr="00BC1C40">
              <w:rPr>
                <w:rStyle w:val="Hyperlink"/>
                <w:noProof/>
              </w:rPr>
              <w:t>How is BME defined under the WRES?</w:t>
            </w:r>
            <w:r>
              <w:rPr>
                <w:noProof/>
                <w:webHidden/>
              </w:rPr>
              <w:tab/>
            </w:r>
            <w:r>
              <w:rPr>
                <w:noProof/>
                <w:webHidden/>
              </w:rPr>
              <w:fldChar w:fldCharType="begin"/>
            </w:r>
            <w:r>
              <w:rPr>
                <w:noProof/>
                <w:webHidden/>
              </w:rPr>
              <w:instrText xml:space="preserve"> PAGEREF _Toc79152347 \h </w:instrText>
            </w:r>
            <w:r>
              <w:rPr>
                <w:noProof/>
                <w:webHidden/>
              </w:rPr>
            </w:r>
            <w:r>
              <w:rPr>
                <w:noProof/>
                <w:webHidden/>
              </w:rPr>
              <w:fldChar w:fldCharType="separate"/>
            </w:r>
            <w:r>
              <w:rPr>
                <w:noProof/>
                <w:webHidden/>
              </w:rPr>
              <w:t>5</w:t>
            </w:r>
            <w:r>
              <w:rPr>
                <w:noProof/>
                <w:webHidden/>
              </w:rPr>
              <w:fldChar w:fldCharType="end"/>
            </w:r>
          </w:hyperlink>
        </w:p>
        <w:p w:rsidR="00C70070" w:rsidRDefault="00C70070">
          <w:pPr>
            <w:pStyle w:val="TOC2"/>
            <w:tabs>
              <w:tab w:val="right" w:leader="dot" w:pos="9016"/>
            </w:tabs>
            <w:rPr>
              <w:rFonts w:asciiTheme="minorHAnsi" w:eastAsiaTheme="minorEastAsia" w:hAnsiTheme="minorHAnsi" w:cstheme="minorBidi"/>
              <w:noProof/>
              <w:sz w:val="22"/>
              <w:lang w:eastAsia="en-GB"/>
            </w:rPr>
          </w:pPr>
          <w:hyperlink w:anchor="_Toc79152348" w:history="1">
            <w:r w:rsidRPr="00BC1C40">
              <w:rPr>
                <w:rStyle w:val="Hyperlink"/>
                <w:noProof/>
              </w:rPr>
              <w:t>Population Demographics from the 2011 Census (Southeast England)</w:t>
            </w:r>
            <w:r>
              <w:rPr>
                <w:noProof/>
                <w:webHidden/>
              </w:rPr>
              <w:tab/>
            </w:r>
            <w:r>
              <w:rPr>
                <w:noProof/>
                <w:webHidden/>
              </w:rPr>
              <w:fldChar w:fldCharType="begin"/>
            </w:r>
            <w:r>
              <w:rPr>
                <w:noProof/>
                <w:webHidden/>
              </w:rPr>
              <w:instrText xml:space="preserve"> PAGEREF _Toc79152348 \h </w:instrText>
            </w:r>
            <w:r>
              <w:rPr>
                <w:noProof/>
                <w:webHidden/>
              </w:rPr>
            </w:r>
            <w:r>
              <w:rPr>
                <w:noProof/>
                <w:webHidden/>
              </w:rPr>
              <w:fldChar w:fldCharType="separate"/>
            </w:r>
            <w:r>
              <w:rPr>
                <w:noProof/>
                <w:webHidden/>
              </w:rPr>
              <w:t>6</w:t>
            </w:r>
            <w:r>
              <w:rPr>
                <w:noProof/>
                <w:webHidden/>
              </w:rPr>
              <w:fldChar w:fldCharType="end"/>
            </w:r>
          </w:hyperlink>
        </w:p>
        <w:p w:rsidR="00C70070" w:rsidRDefault="00C70070">
          <w:pPr>
            <w:pStyle w:val="TOC2"/>
            <w:tabs>
              <w:tab w:val="right" w:leader="dot" w:pos="9016"/>
            </w:tabs>
            <w:rPr>
              <w:rFonts w:asciiTheme="minorHAnsi" w:eastAsiaTheme="minorEastAsia" w:hAnsiTheme="minorHAnsi" w:cstheme="minorBidi"/>
              <w:noProof/>
              <w:sz w:val="22"/>
              <w:lang w:eastAsia="en-GB"/>
            </w:rPr>
          </w:pPr>
          <w:hyperlink w:anchor="_Toc79152349" w:history="1">
            <w:r w:rsidRPr="00BC1C40">
              <w:rPr>
                <w:rStyle w:val="Hyperlink"/>
                <w:noProof/>
              </w:rPr>
              <w:t>Other factors or data which should be taken into consideration in assessing progress?</w:t>
            </w:r>
            <w:r>
              <w:rPr>
                <w:noProof/>
                <w:webHidden/>
              </w:rPr>
              <w:tab/>
            </w:r>
            <w:r>
              <w:rPr>
                <w:noProof/>
                <w:webHidden/>
              </w:rPr>
              <w:fldChar w:fldCharType="begin"/>
            </w:r>
            <w:r>
              <w:rPr>
                <w:noProof/>
                <w:webHidden/>
              </w:rPr>
              <w:instrText xml:space="preserve"> PAGEREF _Toc79152349 \h </w:instrText>
            </w:r>
            <w:r>
              <w:rPr>
                <w:noProof/>
                <w:webHidden/>
              </w:rPr>
            </w:r>
            <w:r>
              <w:rPr>
                <w:noProof/>
                <w:webHidden/>
              </w:rPr>
              <w:fldChar w:fldCharType="separate"/>
            </w:r>
            <w:r>
              <w:rPr>
                <w:noProof/>
                <w:webHidden/>
              </w:rPr>
              <w:t>6</w:t>
            </w:r>
            <w:r>
              <w:rPr>
                <w:noProof/>
                <w:webHidden/>
              </w:rPr>
              <w:fldChar w:fldCharType="end"/>
            </w:r>
          </w:hyperlink>
        </w:p>
        <w:p w:rsidR="00C70070" w:rsidRDefault="00C70070">
          <w:pPr>
            <w:pStyle w:val="TOC3"/>
            <w:tabs>
              <w:tab w:val="left" w:pos="1100"/>
              <w:tab w:val="right" w:leader="dot" w:pos="9016"/>
            </w:tabs>
            <w:rPr>
              <w:rFonts w:asciiTheme="minorHAnsi" w:eastAsiaTheme="minorEastAsia" w:hAnsiTheme="minorHAnsi" w:cstheme="minorBidi"/>
              <w:noProof/>
              <w:sz w:val="22"/>
              <w:lang w:eastAsia="en-GB"/>
            </w:rPr>
          </w:pPr>
          <w:hyperlink w:anchor="_Toc79152350" w:history="1">
            <w:r w:rsidRPr="00BC1C40">
              <w:rPr>
                <w:rStyle w:val="Hyperlink"/>
                <w:noProof/>
              </w:rPr>
              <w:t>a.</w:t>
            </w:r>
            <w:r>
              <w:rPr>
                <w:rFonts w:asciiTheme="minorHAnsi" w:eastAsiaTheme="minorEastAsia" w:hAnsiTheme="minorHAnsi" w:cstheme="minorBidi"/>
                <w:noProof/>
                <w:sz w:val="22"/>
                <w:lang w:eastAsia="en-GB"/>
              </w:rPr>
              <w:tab/>
            </w:r>
            <w:r w:rsidRPr="00BC1C40">
              <w:rPr>
                <w:rStyle w:val="Hyperlink"/>
                <w:noProof/>
              </w:rPr>
              <w:t>Issues of completeness of data</w:t>
            </w:r>
            <w:r>
              <w:rPr>
                <w:noProof/>
                <w:webHidden/>
              </w:rPr>
              <w:tab/>
            </w:r>
            <w:r>
              <w:rPr>
                <w:noProof/>
                <w:webHidden/>
              </w:rPr>
              <w:fldChar w:fldCharType="begin"/>
            </w:r>
            <w:r>
              <w:rPr>
                <w:noProof/>
                <w:webHidden/>
              </w:rPr>
              <w:instrText xml:space="preserve"> PAGEREF _Toc79152350 \h </w:instrText>
            </w:r>
            <w:r>
              <w:rPr>
                <w:noProof/>
                <w:webHidden/>
              </w:rPr>
            </w:r>
            <w:r>
              <w:rPr>
                <w:noProof/>
                <w:webHidden/>
              </w:rPr>
              <w:fldChar w:fldCharType="separate"/>
            </w:r>
            <w:r>
              <w:rPr>
                <w:noProof/>
                <w:webHidden/>
              </w:rPr>
              <w:t>6</w:t>
            </w:r>
            <w:r>
              <w:rPr>
                <w:noProof/>
                <w:webHidden/>
              </w:rPr>
              <w:fldChar w:fldCharType="end"/>
            </w:r>
          </w:hyperlink>
        </w:p>
        <w:p w:rsidR="00C70070" w:rsidRDefault="00C70070">
          <w:pPr>
            <w:pStyle w:val="TOC3"/>
            <w:tabs>
              <w:tab w:val="left" w:pos="1100"/>
              <w:tab w:val="right" w:leader="dot" w:pos="9016"/>
            </w:tabs>
            <w:rPr>
              <w:rFonts w:asciiTheme="minorHAnsi" w:eastAsiaTheme="minorEastAsia" w:hAnsiTheme="minorHAnsi" w:cstheme="minorBidi"/>
              <w:noProof/>
              <w:sz w:val="22"/>
              <w:lang w:eastAsia="en-GB"/>
            </w:rPr>
          </w:pPr>
          <w:hyperlink w:anchor="_Toc79152351" w:history="1">
            <w:r w:rsidRPr="00BC1C40">
              <w:rPr>
                <w:rStyle w:val="Hyperlink"/>
                <w:noProof/>
              </w:rPr>
              <w:t>b.</w:t>
            </w:r>
            <w:r>
              <w:rPr>
                <w:rFonts w:asciiTheme="minorHAnsi" w:eastAsiaTheme="minorEastAsia" w:hAnsiTheme="minorHAnsi" w:cstheme="minorBidi"/>
                <w:noProof/>
                <w:sz w:val="22"/>
                <w:lang w:eastAsia="en-GB"/>
              </w:rPr>
              <w:tab/>
            </w:r>
            <w:r w:rsidRPr="00BC1C40">
              <w:rPr>
                <w:rStyle w:val="Hyperlink"/>
                <w:noProof/>
              </w:rPr>
              <w:t>Matters relating to the reliability of comparisons with previous years</w:t>
            </w:r>
            <w:r>
              <w:rPr>
                <w:noProof/>
                <w:webHidden/>
              </w:rPr>
              <w:tab/>
            </w:r>
            <w:r>
              <w:rPr>
                <w:noProof/>
                <w:webHidden/>
              </w:rPr>
              <w:fldChar w:fldCharType="begin"/>
            </w:r>
            <w:r>
              <w:rPr>
                <w:noProof/>
                <w:webHidden/>
              </w:rPr>
              <w:instrText xml:space="preserve"> PAGEREF _Toc79152351 \h </w:instrText>
            </w:r>
            <w:r>
              <w:rPr>
                <w:noProof/>
                <w:webHidden/>
              </w:rPr>
            </w:r>
            <w:r>
              <w:rPr>
                <w:noProof/>
                <w:webHidden/>
              </w:rPr>
              <w:fldChar w:fldCharType="separate"/>
            </w:r>
            <w:r>
              <w:rPr>
                <w:noProof/>
                <w:webHidden/>
              </w:rPr>
              <w:t>6</w:t>
            </w:r>
            <w:r>
              <w:rPr>
                <w:noProof/>
                <w:webHidden/>
              </w:rPr>
              <w:fldChar w:fldCharType="end"/>
            </w:r>
          </w:hyperlink>
        </w:p>
        <w:p w:rsidR="00C70070" w:rsidRDefault="00C70070">
          <w:pPr>
            <w:pStyle w:val="TOC1"/>
            <w:tabs>
              <w:tab w:val="right" w:leader="dot" w:pos="9016"/>
            </w:tabs>
            <w:rPr>
              <w:rFonts w:asciiTheme="minorHAnsi" w:eastAsiaTheme="minorEastAsia" w:hAnsiTheme="minorHAnsi" w:cstheme="minorBidi"/>
              <w:noProof/>
              <w:sz w:val="22"/>
              <w:lang w:eastAsia="en-GB"/>
            </w:rPr>
          </w:pPr>
          <w:hyperlink w:anchor="_Toc79152352" w:history="1">
            <w:r w:rsidRPr="00BC1C40">
              <w:rPr>
                <w:rStyle w:val="Hyperlink"/>
                <w:noProof/>
              </w:rPr>
              <w:t>Workforce Race Equality Indicators</w:t>
            </w:r>
            <w:r>
              <w:rPr>
                <w:noProof/>
                <w:webHidden/>
              </w:rPr>
              <w:tab/>
            </w:r>
            <w:r>
              <w:rPr>
                <w:noProof/>
                <w:webHidden/>
              </w:rPr>
              <w:fldChar w:fldCharType="begin"/>
            </w:r>
            <w:r>
              <w:rPr>
                <w:noProof/>
                <w:webHidden/>
              </w:rPr>
              <w:instrText xml:space="preserve"> PAGEREF _Toc79152352 \h </w:instrText>
            </w:r>
            <w:r>
              <w:rPr>
                <w:noProof/>
                <w:webHidden/>
              </w:rPr>
            </w:r>
            <w:r>
              <w:rPr>
                <w:noProof/>
                <w:webHidden/>
              </w:rPr>
              <w:fldChar w:fldCharType="separate"/>
            </w:r>
            <w:r>
              <w:rPr>
                <w:noProof/>
                <w:webHidden/>
              </w:rPr>
              <w:t>7</w:t>
            </w:r>
            <w:r>
              <w:rPr>
                <w:noProof/>
                <w:webHidden/>
              </w:rPr>
              <w:fldChar w:fldCharType="end"/>
            </w:r>
          </w:hyperlink>
        </w:p>
        <w:p w:rsidR="00C70070" w:rsidRDefault="00C70070">
          <w:pPr>
            <w:pStyle w:val="TOC2"/>
            <w:tabs>
              <w:tab w:val="right" w:leader="dot" w:pos="9016"/>
            </w:tabs>
            <w:rPr>
              <w:rFonts w:asciiTheme="minorHAnsi" w:eastAsiaTheme="minorEastAsia" w:hAnsiTheme="minorHAnsi" w:cstheme="minorBidi"/>
              <w:noProof/>
              <w:sz w:val="22"/>
              <w:lang w:eastAsia="en-GB"/>
            </w:rPr>
          </w:pPr>
          <w:hyperlink w:anchor="_Toc79152353" w:history="1">
            <w:r w:rsidRPr="00BC1C40">
              <w:rPr>
                <w:rStyle w:val="Hyperlink"/>
                <w:noProof/>
              </w:rPr>
              <w:t>Indicator 1 - Percentage of staff in each of the AfC Bands 1-9 and VSM (including executive Board members) compared with the percentage of staff in the overall workforce</w:t>
            </w:r>
            <w:r>
              <w:rPr>
                <w:noProof/>
                <w:webHidden/>
              </w:rPr>
              <w:tab/>
            </w:r>
            <w:r>
              <w:rPr>
                <w:noProof/>
                <w:webHidden/>
              </w:rPr>
              <w:fldChar w:fldCharType="begin"/>
            </w:r>
            <w:r>
              <w:rPr>
                <w:noProof/>
                <w:webHidden/>
              </w:rPr>
              <w:instrText xml:space="preserve"> PAGEREF _Toc79152353 \h </w:instrText>
            </w:r>
            <w:r>
              <w:rPr>
                <w:noProof/>
                <w:webHidden/>
              </w:rPr>
            </w:r>
            <w:r>
              <w:rPr>
                <w:noProof/>
                <w:webHidden/>
              </w:rPr>
              <w:fldChar w:fldCharType="separate"/>
            </w:r>
            <w:r>
              <w:rPr>
                <w:noProof/>
                <w:webHidden/>
              </w:rPr>
              <w:t>7</w:t>
            </w:r>
            <w:r>
              <w:rPr>
                <w:noProof/>
                <w:webHidden/>
              </w:rPr>
              <w:fldChar w:fldCharType="end"/>
            </w:r>
          </w:hyperlink>
        </w:p>
        <w:p w:rsidR="00C70070" w:rsidRDefault="00C70070">
          <w:pPr>
            <w:pStyle w:val="TOC3"/>
            <w:tabs>
              <w:tab w:val="right" w:leader="dot" w:pos="9016"/>
            </w:tabs>
            <w:rPr>
              <w:rFonts w:asciiTheme="minorHAnsi" w:eastAsiaTheme="minorEastAsia" w:hAnsiTheme="minorHAnsi" w:cstheme="minorBidi"/>
              <w:noProof/>
              <w:sz w:val="22"/>
              <w:lang w:eastAsia="en-GB"/>
            </w:rPr>
          </w:pPr>
          <w:hyperlink w:anchor="_Toc79152354" w:history="1">
            <w:r w:rsidRPr="00BC1C40">
              <w:rPr>
                <w:rStyle w:val="Hyperlink"/>
                <w:noProof/>
              </w:rPr>
              <w:t>Brighton and Sussex University Hospitals NHS Trust:</w:t>
            </w:r>
            <w:r>
              <w:rPr>
                <w:noProof/>
                <w:webHidden/>
              </w:rPr>
              <w:tab/>
            </w:r>
            <w:r>
              <w:rPr>
                <w:noProof/>
                <w:webHidden/>
              </w:rPr>
              <w:fldChar w:fldCharType="begin"/>
            </w:r>
            <w:r>
              <w:rPr>
                <w:noProof/>
                <w:webHidden/>
              </w:rPr>
              <w:instrText xml:space="preserve"> PAGEREF _Toc79152354 \h </w:instrText>
            </w:r>
            <w:r>
              <w:rPr>
                <w:noProof/>
                <w:webHidden/>
              </w:rPr>
            </w:r>
            <w:r>
              <w:rPr>
                <w:noProof/>
                <w:webHidden/>
              </w:rPr>
              <w:fldChar w:fldCharType="separate"/>
            </w:r>
            <w:r>
              <w:rPr>
                <w:noProof/>
                <w:webHidden/>
              </w:rPr>
              <w:t>7</w:t>
            </w:r>
            <w:r>
              <w:rPr>
                <w:noProof/>
                <w:webHidden/>
              </w:rPr>
              <w:fldChar w:fldCharType="end"/>
            </w:r>
          </w:hyperlink>
        </w:p>
        <w:p w:rsidR="00C70070" w:rsidRDefault="00C70070">
          <w:pPr>
            <w:pStyle w:val="TOC3"/>
            <w:tabs>
              <w:tab w:val="right" w:leader="dot" w:pos="9016"/>
            </w:tabs>
            <w:rPr>
              <w:rFonts w:asciiTheme="minorHAnsi" w:eastAsiaTheme="minorEastAsia" w:hAnsiTheme="minorHAnsi" w:cstheme="minorBidi"/>
              <w:noProof/>
              <w:sz w:val="22"/>
              <w:lang w:eastAsia="en-GB"/>
            </w:rPr>
          </w:pPr>
          <w:hyperlink w:anchor="_Toc79152355" w:history="1">
            <w:r w:rsidRPr="00BC1C40">
              <w:rPr>
                <w:rStyle w:val="Hyperlink"/>
                <w:noProof/>
              </w:rPr>
              <w:t>Western Sussex Hospitals NHS FoundationTrust:</w:t>
            </w:r>
            <w:r>
              <w:rPr>
                <w:noProof/>
                <w:webHidden/>
              </w:rPr>
              <w:tab/>
            </w:r>
            <w:r>
              <w:rPr>
                <w:noProof/>
                <w:webHidden/>
              </w:rPr>
              <w:fldChar w:fldCharType="begin"/>
            </w:r>
            <w:r>
              <w:rPr>
                <w:noProof/>
                <w:webHidden/>
              </w:rPr>
              <w:instrText xml:space="preserve"> PAGEREF _Toc79152355 \h </w:instrText>
            </w:r>
            <w:r>
              <w:rPr>
                <w:noProof/>
                <w:webHidden/>
              </w:rPr>
            </w:r>
            <w:r>
              <w:rPr>
                <w:noProof/>
                <w:webHidden/>
              </w:rPr>
              <w:fldChar w:fldCharType="separate"/>
            </w:r>
            <w:r>
              <w:rPr>
                <w:noProof/>
                <w:webHidden/>
              </w:rPr>
              <w:t>9</w:t>
            </w:r>
            <w:r>
              <w:rPr>
                <w:noProof/>
                <w:webHidden/>
              </w:rPr>
              <w:fldChar w:fldCharType="end"/>
            </w:r>
          </w:hyperlink>
        </w:p>
        <w:p w:rsidR="00C70070" w:rsidRDefault="00C70070">
          <w:pPr>
            <w:pStyle w:val="TOC2"/>
            <w:tabs>
              <w:tab w:val="right" w:leader="dot" w:pos="9016"/>
            </w:tabs>
            <w:rPr>
              <w:rFonts w:asciiTheme="minorHAnsi" w:eastAsiaTheme="minorEastAsia" w:hAnsiTheme="minorHAnsi" w:cstheme="minorBidi"/>
              <w:noProof/>
              <w:sz w:val="22"/>
              <w:lang w:eastAsia="en-GB"/>
            </w:rPr>
          </w:pPr>
          <w:hyperlink w:anchor="_Toc79152356" w:history="1">
            <w:r w:rsidRPr="00BC1C40">
              <w:rPr>
                <w:rStyle w:val="Hyperlink"/>
                <w:noProof/>
              </w:rPr>
              <w:t>Indicator 2 - Relative likelihood of applicants being appointed from shortlisting across all posts</w:t>
            </w:r>
            <w:r>
              <w:rPr>
                <w:noProof/>
                <w:webHidden/>
              </w:rPr>
              <w:tab/>
            </w:r>
            <w:r>
              <w:rPr>
                <w:noProof/>
                <w:webHidden/>
              </w:rPr>
              <w:fldChar w:fldCharType="begin"/>
            </w:r>
            <w:r>
              <w:rPr>
                <w:noProof/>
                <w:webHidden/>
              </w:rPr>
              <w:instrText xml:space="preserve"> PAGEREF _Toc79152356 \h </w:instrText>
            </w:r>
            <w:r>
              <w:rPr>
                <w:noProof/>
                <w:webHidden/>
              </w:rPr>
            </w:r>
            <w:r>
              <w:rPr>
                <w:noProof/>
                <w:webHidden/>
              </w:rPr>
              <w:fldChar w:fldCharType="separate"/>
            </w:r>
            <w:r>
              <w:rPr>
                <w:noProof/>
                <w:webHidden/>
              </w:rPr>
              <w:t>11</w:t>
            </w:r>
            <w:r>
              <w:rPr>
                <w:noProof/>
                <w:webHidden/>
              </w:rPr>
              <w:fldChar w:fldCharType="end"/>
            </w:r>
          </w:hyperlink>
        </w:p>
        <w:p w:rsidR="00C70070" w:rsidRDefault="00C70070">
          <w:pPr>
            <w:pStyle w:val="TOC3"/>
            <w:tabs>
              <w:tab w:val="right" w:leader="dot" w:pos="9016"/>
            </w:tabs>
            <w:rPr>
              <w:rFonts w:asciiTheme="minorHAnsi" w:eastAsiaTheme="minorEastAsia" w:hAnsiTheme="minorHAnsi" w:cstheme="minorBidi"/>
              <w:noProof/>
              <w:sz w:val="22"/>
              <w:lang w:eastAsia="en-GB"/>
            </w:rPr>
          </w:pPr>
          <w:hyperlink w:anchor="_Toc79152357" w:history="1">
            <w:r w:rsidRPr="00BC1C40">
              <w:rPr>
                <w:rStyle w:val="Hyperlink"/>
                <w:noProof/>
              </w:rPr>
              <w:t>Brighton and Sussex University Hospitals NHS Trust:</w:t>
            </w:r>
            <w:r>
              <w:rPr>
                <w:noProof/>
                <w:webHidden/>
              </w:rPr>
              <w:tab/>
            </w:r>
            <w:r>
              <w:rPr>
                <w:noProof/>
                <w:webHidden/>
              </w:rPr>
              <w:fldChar w:fldCharType="begin"/>
            </w:r>
            <w:r>
              <w:rPr>
                <w:noProof/>
                <w:webHidden/>
              </w:rPr>
              <w:instrText xml:space="preserve"> PAGEREF _Toc79152357 \h </w:instrText>
            </w:r>
            <w:r>
              <w:rPr>
                <w:noProof/>
                <w:webHidden/>
              </w:rPr>
            </w:r>
            <w:r>
              <w:rPr>
                <w:noProof/>
                <w:webHidden/>
              </w:rPr>
              <w:fldChar w:fldCharType="separate"/>
            </w:r>
            <w:r>
              <w:rPr>
                <w:noProof/>
                <w:webHidden/>
              </w:rPr>
              <w:t>11</w:t>
            </w:r>
            <w:r>
              <w:rPr>
                <w:noProof/>
                <w:webHidden/>
              </w:rPr>
              <w:fldChar w:fldCharType="end"/>
            </w:r>
          </w:hyperlink>
        </w:p>
        <w:p w:rsidR="00C70070" w:rsidRDefault="00C70070">
          <w:pPr>
            <w:pStyle w:val="TOC3"/>
            <w:tabs>
              <w:tab w:val="right" w:leader="dot" w:pos="9016"/>
            </w:tabs>
            <w:rPr>
              <w:rFonts w:asciiTheme="minorHAnsi" w:eastAsiaTheme="minorEastAsia" w:hAnsiTheme="minorHAnsi" w:cstheme="minorBidi"/>
              <w:noProof/>
              <w:sz w:val="22"/>
              <w:lang w:eastAsia="en-GB"/>
            </w:rPr>
          </w:pPr>
          <w:hyperlink w:anchor="_Toc79152358" w:history="1">
            <w:r w:rsidRPr="00BC1C40">
              <w:rPr>
                <w:rStyle w:val="Hyperlink"/>
                <w:noProof/>
              </w:rPr>
              <w:t>Western Sussex Hospitals NHS Foundation Trust:</w:t>
            </w:r>
            <w:r>
              <w:rPr>
                <w:noProof/>
                <w:webHidden/>
              </w:rPr>
              <w:tab/>
            </w:r>
            <w:r>
              <w:rPr>
                <w:noProof/>
                <w:webHidden/>
              </w:rPr>
              <w:fldChar w:fldCharType="begin"/>
            </w:r>
            <w:r>
              <w:rPr>
                <w:noProof/>
                <w:webHidden/>
              </w:rPr>
              <w:instrText xml:space="preserve"> PAGEREF _Toc79152358 \h </w:instrText>
            </w:r>
            <w:r>
              <w:rPr>
                <w:noProof/>
                <w:webHidden/>
              </w:rPr>
            </w:r>
            <w:r>
              <w:rPr>
                <w:noProof/>
                <w:webHidden/>
              </w:rPr>
              <w:fldChar w:fldCharType="separate"/>
            </w:r>
            <w:r>
              <w:rPr>
                <w:noProof/>
                <w:webHidden/>
              </w:rPr>
              <w:t>12</w:t>
            </w:r>
            <w:r>
              <w:rPr>
                <w:noProof/>
                <w:webHidden/>
              </w:rPr>
              <w:fldChar w:fldCharType="end"/>
            </w:r>
          </w:hyperlink>
        </w:p>
        <w:p w:rsidR="00C70070" w:rsidRDefault="00C70070">
          <w:pPr>
            <w:pStyle w:val="TOC2"/>
            <w:tabs>
              <w:tab w:val="right" w:leader="dot" w:pos="9016"/>
            </w:tabs>
            <w:rPr>
              <w:rFonts w:asciiTheme="minorHAnsi" w:eastAsiaTheme="minorEastAsia" w:hAnsiTheme="minorHAnsi" w:cstheme="minorBidi"/>
              <w:noProof/>
              <w:sz w:val="22"/>
              <w:lang w:eastAsia="en-GB"/>
            </w:rPr>
          </w:pPr>
          <w:hyperlink w:anchor="_Toc79152359" w:history="1">
            <w:r w:rsidRPr="00BC1C40">
              <w:rPr>
                <w:rStyle w:val="Hyperlink"/>
                <w:noProof/>
              </w:rPr>
              <w:t>Indicator 3 - Relative likelihood of staff entering the formal disciplinary process, as measured by entry into a formal disciplinary investigation</w:t>
            </w:r>
            <w:r>
              <w:rPr>
                <w:noProof/>
                <w:webHidden/>
              </w:rPr>
              <w:tab/>
            </w:r>
            <w:r>
              <w:rPr>
                <w:noProof/>
                <w:webHidden/>
              </w:rPr>
              <w:fldChar w:fldCharType="begin"/>
            </w:r>
            <w:r>
              <w:rPr>
                <w:noProof/>
                <w:webHidden/>
              </w:rPr>
              <w:instrText xml:space="preserve"> PAGEREF _Toc79152359 \h </w:instrText>
            </w:r>
            <w:r>
              <w:rPr>
                <w:noProof/>
                <w:webHidden/>
              </w:rPr>
            </w:r>
            <w:r>
              <w:rPr>
                <w:noProof/>
                <w:webHidden/>
              </w:rPr>
              <w:fldChar w:fldCharType="separate"/>
            </w:r>
            <w:r>
              <w:rPr>
                <w:noProof/>
                <w:webHidden/>
              </w:rPr>
              <w:t>14</w:t>
            </w:r>
            <w:r>
              <w:rPr>
                <w:noProof/>
                <w:webHidden/>
              </w:rPr>
              <w:fldChar w:fldCharType="end"/>
            </w:r>
          </w:hyperlink>
        </w:p>
        <w:p w:rsidR="00C70070" w:rsidRDefault="00C70070">
          <w:pPr>
            <w:pStyle w:val="TOC3"/>
            <w:tabs>
              <w:tab w:val="right" w:leader="dot" w:pos="9016"/>
            </w:tabs>
            <w:rPr>
              <w:rFonts w:asciiTheme="minorHAnsi" w:eastAsiaTheme="minorEastAsia" w:hAnsiTheme="minorHAnsi" w:cstheme="minorBidi"/>
              <w:noProof/>
              <w:sz w:val="22"/>
              <w:lang w:eastAsia="en-GB"/>
            </w:rPr>
          </w:pPr>
          <w:hyperlink w:anchor="_Toc79152360" w:history="1">
            <w:r w:rsidRPr="00BC1C40">
              <w:rPr>
                <w:rStyle w:val="Hyperlink"/>
                <w:noProof/>
              </w:rPr>
              <w:t>Brighton and Sussex University Hospitals NHS Trust:</w:t>
            </w:r>
            <w:r>
              <w:rPr>
                <w:noProof/>
                <w:webHidden/>
              </w:rPr>
              <w:tab/>
            </w:r>
            <w:r>
              <w:rPr>
                <w:noProof/>
                <w:webHidden/>
              </w:rPr>
              <w:fldChar w:fldCharType="begin"/>
            </w:r>
            <w:r>
              <w:rPr>
                <w:noProof/>
                <w:webHidden/>
              </w:rPr>
              <w:instrText xml:space="preserve"> PAGEREF _Toc79152360 \h </w:instrText>
            </w:r>
            <w:r>
              <w:rPr>
                <w:noProof/>
                <w:webHidden/>
              </w:rPr>
            </w:r>
            <w:r>
              <w:rPr>
                <w:noProof/>
                <w:webHidden/>
              </w:rPr>
              <w:fldChar w:fldCharType="separate"/>
            </w:r>
            <w:r>
              <w:rPr>
                <w:noProof/>
                <w:webHidden/>
              </w:rPr>
              <w:t>14</w:t>
            </w:r>
            <w:r>
              <w:rPr>
                <w:noProof/>
                <w:webHidden/>
              </w:rPr>
              <w:fldChar w:fldCharType="end"/>
            </w:r>
          </w:hyperlink>
        </w:p>
        <w:p w:rsidR="00C70070" w:rsidRDefault="00C70070">
          <w:pPr>
            <w:pStyle w:val="TOC3"/>
            <w:tabs>
              <w:tab w:val="right" w:leader="dot" w:pos="9016"/>
            </w:tabs>
            <w:rPr>
              <w:rFonts w:asciiTheme="minorHAnsi" w:eastAsiaTheme="minorEastAsia" w:hAnsiTheme="minorHAnsi" w:cstheme="minorBidi"/>
              <w:noProof/>
              <w:sz w:val="22"/>
              <w:lang w:eastAsia="en-GB"/>
            </w:rPr>
          </w:pPr>
          <w:hyperlink w:anchor="_Toc79152361" w:history="1">
            <w:r w:rsidRPr="00BC1C40">
              <w:rPr>
                <w:rStyle w:val="Hyperlink"/>
                <w:noProof/>
              </w:rPr>
              <w:t>Western Sussex Hospitals NHS Foundation Trust:</w:t>
            </w:r>
            <w:r>
              <w:rPr>
                <w:noProof/>
                <w:webHidden/>
              </w:rPr>
              <w:tab/>
            </w:r>
            <w:r>
              <w:rPr>
                <w:noProof/>
                <w:webHidden/>
              </w:rPr>
              <w:fldChar w:fldCharType="begin"/>
            </w:r>
            <w:r>
              <w:rPr>
                <w:noProof/>
                <w:webHidden/>
              </w:rPr>
              <w:instrText xml:space="preserve"> PAGEREF _Toc79152361 \h </w:instrText>
            </w:r>
            <w:r>
              <w:rPr>
                <w:noProof/>
                <w:webHidden/>
              </w:rPr>
            </w:r>
            <w:r>
              <w:rPr>
                <w:noProof/>
                <w:webHidden/>
              </w:rPr>
              <w:fldChar w:fldCharType="separate"/>
            </w:r>
            <w:r>
              <w:rPr>
                <w:noProof/>
                <w:webHidden/>
              </w:rPr>
              <w:t>15</w:t>
            </w:r>
            <w:r>
              <w:rPr>
                <w:noProof/>
                <w:webHidden/>
              </w:rPr>
              <w:fldChar w:fldCharType="end"/>
            </w:r>
          </w:hyperlink>
        </w:p>
        <w:p w:rsidR="00C70070" w:rsidRDefault="00C70070">
          <w:pPr>
            <w:pStyle w:val="TOC2"/>
            <w:tabs>
              <w:tab w:val="right" w:leader="dot" w:pos="9016"/>
            </w:tabs>
            <w:rPr>
              <w:rFonts w:asciiTheme="minorHAnsi" w:eastAsiaTheme="minorEastAsia" w:hAnsiTheme="minorHAnsi" w:cstheme="minorBidi"/>
              <w:noProof/>
              <w:sz w:val="22"/>
              <w:lang w:eastAsia="en-GB"/>
            </w:rPr>
          </w:pPr>
          <w:hyperlink w:anchor="_Toc79152362" w:history="1">
            <w:r w:rsidRPr="00BC1C40">
              <w:rPr>
                <w:rStyle w:val="Hyperlink"/>
                <w:noProof/>
              </w:rPr>
              <w:t>Indicator 4 - Relative likelihood of staff accessing non-mandatory training and CPD.</w:t>
            </w:r>
            <w:r>
              <w:rPr>
                <w:noProof/>
                <w:webHidden/>
              </w:rPr>
              <w:tab/>
            </w:r>
            <w:r>
              <w:rPr>
                <w:noProof/>
                <w:webHidden/>
              </w:rPr>
              <w:fldChar w:fldCharType="begin"/>
            </w:r>
            <w:r>
              <w:rPr>
                <w:noProof/>
                <w:webHidden/>
              </w:rPr>
              <w:instrText xml:space="preserve"> PAGEREF _Toc79152362 \h </w:instrText>
            </w:r>
            <w:r>
              <w:rPr>
                <w:noProof/>
                <w:webHidden/>
              </w:rPr>
            </w:r>
            <w:r>
              <w:rPr>
                <w:noProof/>
                <w:webHidden/>
              </w:rPr>
              <w:fldChar w:fldCharType="separate"/>
            </w:r>
            <w:r>
              <w:rPr>
                <w:noProof/>
                <w:webHidden/>
              </w:rPr>
              <w:t>16</w:t>
            </w:r>
            <w:r>
              <w:rPr>
                <w:noProof/>
                <w:webHidden/>
              </w:rPr>
              <w:fldChar w:fldCharType="end"/>
            </w:r>
          </w:hyperlink>
        </w:p>
        <w:p w:rsidR="00C70070" w:rsidRDefault="00C70070">
          <w:pPr>
            <w:pStyle w:val="TOC3"/>
            <w:tabs>
              <w:tab w:val="right" w:leader="dot" w:pos="9016"/>
            </w:tabs>
            <w:rPr>
              <w:rFonts w:asciiTheme="minorHAnsi" w:eastAsiaTheme="minorEastAsia" w:hAnsiTheme="minorHAnsi" w:cstheme="minorBidi"/>
              <w:noProof/>
              <w:sz w:val="22"/>
              <w:lang w:eastAsia="en-GB"/>
            </w:rPr>
          </w:pPr>
          <w:hyperlink w:anchor="_Toc79152363" w:history="1">
            <w:r w:rsidRPr="00BC1C40">
              <w:rPr>
                <w:rStyle w:val="Hyperlink"/>
                <w:noProof/>
              </w:rPr>
              <w:t>Brighton and Sussex University Hospitals NHS Trust:</w:t>
            </w:r>
            <w:r>
              <w:rPr>
                <w:noProof/>
                <w:webHidden/>
              </w:rPr>
              <w:tab/>
            </w:r>
            <w:r>
              <w:rPr>
                <w:noProof/>
                <w:webHidden/>
              </w:rPr>
              <w:fldChar w:fldCharType="begin"/>
            </w:r>
            <w:r>
              <w:rPr>
                <w:noProof/>
                <w:webHidden/>
              </w:rPr>
              <w:instrText xml:space="preserve"> PAGEREF _Toc79152363 \h </w:instrText>
            </w:r>
            <w:r>
              <w:rPr>
                <w:noProof/>
                <w:webHidden/>
              </w:rPr>
            </w:r>
            <w:r>
              <w:rPr>
                <w:noProof/>
                <w:webHidden/>
              </w:rPr>
              <w:fldChar w:fldCharType="separate"/>
            </w:r>
            <w:r>
              <w:rPr>
                <w:noProof/>
                <w:webHidden/>
              </w:rPr>
              <w:t>16</w:t>
            </w:r>
            <w:r>
              <w:rPr>
                <w:noProof/>
                <w:webHidden/>
              </w:rPr>
              <w:fldChar w:fldCharType="end"/>
            </w:r>
          </w:hyperlink>
        </w:p>
        <w:p w:rsidR="00C70070" w:rsidRDefault="00C70070">
          <w:pPr>
            <w:pStyle w:val="TOC3"/>
            <w:tabs>
              <w:tab w:val="right" w:leader="dot" w:pos="9016"/>
            </w:tabs>
            <w:rPr>
              <w:rFonts w:asciiTheme="minorHAnsi" w:eastAsiaTheme="minorEastAsia" w:hAnsiTheme="minorHAnsi" w:cstheme="minorBidi"/>
              <w:noProof/>
              <w:sz w:val="22"/>
              <w:lang w:eastAsia="en-GB"/>
            </w:rPr>
          </w:pPr>
          <w:hyperlink w:anchor="_Toc79152364" w:history="1">
            <w:r w:rsidRPr="00BC1C40">
              <w:rPr>
                <w:rStyle w:val="Hyperlink"/>
                <w:noProof/>
              </w:rPr>
              <w:t>Western Sussex Hospitals NHS Foundation Trust:</w:t>
            </w:r>
            <w:r>
              <w:rPr>
                <w:noProof/>
                <w:webHidden/>
              </w:rPr>
              <w:tab/>
            </w:r>
            <w:r>
              <w:rPr>
                <w:noProof/>
                <w:webHidden/>
              </w:rPr>
              <w:fldChar w:fldCharType="begin"/>
            </w:r>
            <w:r>
              <w:rPr>
                <w:noProof/>
                <w:webHidden/>
              </w:rPr>
              <w:instrText xml:space="preserve"> PAGEREF _Toc79152364 \h </w:instrText>
            </w:r>
            <w:r>
              <w:rPr>
                <w:noProof/>
                <w:webHidden/>
              </w:rPr>
            </w:r>
            <w:r>
              <w:rPr>
                <w:noProof/>
                <w:webHidden/>
              </w:rPr>
              <w:fldChar w:fldCharType="separate"/>
            </w:r>
            <w:r>
              <w:rPr>
                <w:noProof/>
                <w:webHidden/>
              </w:rPr>
              <w:t>19</w:t>
            </w:r>
            <w:r>
              <w:rPr>
                <w:noProof/>
                <w:webHidden/>
              </w:rPr>
              <w:fldChar w:fldCharType="end"/>
            </w:r>
          </w:hyperlink>
        </w:p>
        <w:p w:rsidR="00C70070" w:rsidRDefault="00C70070">
          <w:pPr>
            <w:pStyle w:val="TOC2"/>
            <w:tabs>
              <w:tab w:val="right" w:leader="dot" w:pos="9016"/>
            </w:tabs>
            <w:rPr>
              <w:rFonts w:asciiTheme="minorHAnsi" w:eastAsiaTheme="minorEastAsia" w:hAnsiTheme="minorHAnsi" w:cstheme="minorBidi"/>
              <w:noProof/>
              <w:sz w:val="22"/>
              <w:lang w:eastAsia="en-GB"/>
            </w:rPr>
          </w:pPr>
          <w:hyperlink w:anchor="_Toc79152365" w:history="1">
            <w:r w:rsidRPr="00BC1C40">
              <w:rPr>
                <w:rStyle w:val="Hyperlink"/>
                <w:noProof/>
              </w:rPr>
              <w:t>Indicator 5 - Percentage of staff experiencing harassment, bullying or abuse from patients, relatives, or the public in last 12 months – KF25 from NHS Staff Survey</w:t>
            </w:r>
            <w:r>
              <w:rPr>
                <w:noProof/>
                <w:webHidden/>
              </w:rPr>
              <w:tab/>
            </w:r>
            <w:r>
              <w:rPr>
                <w:noProof/>
                <w:webHidden/>
              </w:rPr>
              <w:fldChar w:fldCharType="begin"/>
            </w:r>
            <w:r>
              <w:rPr>
                <w:noProof/>
                <w:webHidden/>
              </w:rPr>
              <w:instrText xml:space="preserve"> PAGEREF _Toc79152365 \h </w:instrText>
            </w:r>
            <w:r>
              <w:rPr>
                <w:noProof/>
                <w:webHidden/>
              </w:rPr>
            </w:r>
            <w:r>
              <w:rPr>
                <w:noProof/>
                <w:webHidden/>
              </w:rPr>
              <w:fldChar w:fldCharType="separate"/>
            </w:r>
            <w:r>
              <w:rPr>
                <w:noProof/>
                <w:webHidden/>
              </w:rPr>
              <w:t>20</w:t>
            </w:r>
            <w:r>
              <w:rPr>
                <w:noProof/>
                <w:webHidden/>
              </w:rPr>
              <w:fldChar w:fldCharType="end"/>
            </w:r>
          </w:hyperlink>
        </w:p>
        <w:p w:rsidR="00C70070" w:rsidRDefault="00C70070">
          <w:pPr>
            <w:pStyle w:val="TOC3"/>
            <w:tabs>
              <w:tab w:val="right" w:leader="dot" w:pos="9016"/>
            </w:tabs>
            <w:rPr>
              <w:rFonts w:asciiTheme="minorHAnsi" w:eastAsiaTheme="minorEastAsia" w:hAnsiTheme="minorHAnsi" w:cstheme="minorBidi"/>
              <w:noProof/>
              <w:sz w:val="22"/>
              <w:lang w:eastAsia="en-GB"/>
            </w:rPr>
          </w:pPr>
          <w:hyperlink w:anchor="_Toc79152366" w:history="1">
            <w:r w:rsidRPr="00BC1C40">
              <w:rPr>
                <w:rStyle w:val="Hyperlink"/>
                <w:noProof/>
              </w:rPr>
              <w:t>Brighton and Sussex University Hospitals NHS Trust:</w:t>
            </w:r>
            <w:r>
              <w:rPr>
                <w:noProof/>
                <w:webHidden/>
              </w:rPr>
              <w:tab/>
            </w:r>
            <w:r>
              <w:rPr>
                <w:noProof/>
                <w:webHidden/>
              </w:rPr>
              <w:fldChar w:fldCharType="begin"/>
            </w:r>
            <w:r>
              <w:rPr>
                <w:noProof/>
                <w:webHidden/>
              </w:rPr>
              <w:instrText xml:space="preserve"> PAGEREF _Toc79152366 \h </w:instrText>
            </w:r>
            <w:r>
              <w:rPr>
                <w:noProof/>
                <w:webHidden/>
              </w:rPr>
            </w:r>
            <w:r>
              <w:rPr>
                <w:noProof/>
                <w:webHidden/>
              </w:rPr>
              <w:fldChar w:fldCharType="separate"/>
            </w:r>
            <w:r>
              <w:rPr>
                <w:noProof/>
                <w:webHidden/>
              </w:rPr>
              <w:t>20</w:t>
            </w:r>
            <w:r>
              <w:rPr>
                <w:noProof/>
                <w:webHidden/>
              </w:rPr>
              <w:fldChar w:fldCharType="end"/>
            </w:r>
          </w:hyperlink>
        </w:p>
        <w:p w:rsidR="00C70070" w:rsidRDefault="00C70070">
          <w:pPr>
            <w:pStyle w:val="TOC3"/>
            <w:tabs>
              <w:tab w:val="right" w:leader="dot" w:pos="9016"/>
            </w:tabs>
            <w:rPr>
              <w:rFonts w:asciiTheme="minorHAnsi" w:eastAsiaTheme="minorEastAsia" w:hAnsiTheme="minorHAnsi" w:cstheme="minorBidi"/>
              <w:noProof/>
              <w:sz w:val="22"/>
              <w:lang w:eastAsia="en-GB"/>
            </w:rPr>
          </w:pPr>
          <w:hyperlink w:anchor="_Toc79152367" w:history="1">
            <w:r w:rsidRPr="00BC1C40">
              <w:rPr>
                <w:rStyle w:val="Hyperlink"/>
                <w:noProof/>
              </w:rPr>
              <w:t>Western Sussex NHS Foundation Trust</w:t>
            </w:r>
            <w:r>
              <w:rPr>
                <w:noProof/>
                <w:webHidden/>
              </w:rPr>
              <w:tab/>
            </w:r>
            <w:r>
              <w:rPr>
                <w:noProof/>
                <w:webHidden/>
              </w:rPr>
              <w:fldChar w:fldCharType="begin"/>
            </w:r>
            <w:r>
              <w:rPr>
                <w:noProof/>
                <w:webHidden/>
              </w:rPr>
              <w:instrText xml:space="preserve"> PAGEREF _Toc79152367 \h </w:instrText>
            </w:r>
            <w:r>
              <w:rPr>
                <w:noProof/>
                <w:webHidden/>
              </w:rPr>
            </w:r>
            <w:r>
              <w:rPr>
                <w:noProof/>
                <w:webHidden/>
              </w:rPr>
              <w:fldChar w:fldCharType="separate"/>
            </w:r>
            <w:r>
              <w:rPr>
                <w:noProof/>
                <w:webHidden/>
              </w:rPr>
              <w:t>21</w:t>
            </w:r>
            <w:r>
              <w:rPr>
                <w:noProof/>
                <w:webHidden/>
              </w:rPr>
              <w:fldChar w:fldCharType="end"/>
            </w:r>
          </w:hyperlink>
        </w:p>
        <w:p w:rsidR="00C70070" w:rsidRDefault="00C70070">
          <w:pPr>
            <w:pStyle w:val="TOC2"/>
            <w:tabs>
              <w:tab w:val="right" w:leader="dot" w:pos="9016"/>
            </w:tabs>
            <w:rPr>
              <w:rFonts w:asciiTheme="minorHAnsi" w:eastAsiaTheme="minorEastAsia" w:hAnsiTheme="minorHAnsi" w:cstheme="minorBidi"/>
              <w:noProof/>
              <w:sz w:val="22"/>
              <w:lang w:eastAsia="en-GB"/>
            </w:rPr>
          </w:pPr>
          <w:hyperlink w:anchor="_Toc79152368" w:history="1">
            <w:r w:rsidRPr="00BC1C40">
              <w:rPr>
                <w:rStyle w:val="Hyperlink"/>
                <w:noProof/>
              </w:rPr>
              <w:t>Indicator 6 - Percentage of staff experiencing harassment, bullying, or abuse from staff in last 12 months – KF26 from NHS Staff Survey</w:t>
            </w:r>
            <w:r>
              <w:rPr>
                <w:noProof/>
                <w:webHidden/>
              </w:rPr>
              <w:tab/>
            </w:r>
            <w:r>
              <w:rPr>
                <w:noProof/>
                <w:webHidden/>
              </w:rPr>
              <w:fldChar w:fldCharType="begin"/>
            </w:r>
            <w:r>
              <w:rPr>
                <w:noProof/>
                <w:webHidden/>
              </w:rPr>
              <w:instrText xml:space="preserve"> PAGEREF _Toc79152368 \h </w:instrText>
            </w:r>
            <w:r>
              <w:rPr>
                <w:noProof/>
                <w:webHidden/>
              </w:rPr>
            </w:r>
            <w:r>
              <w:rPr>
                <w:noProof/>
                <w:webHidden/>
              </w:rPr>
              <w:fldChar w:fldCharType="separate"/>
            </w:r>
            <w:r>
              <w:rPr>
                <w:noProof/>
                <w:webHidden/>
              </w:rPr>
              <w:t>22</w:t>
            </w:r>
            <w:r>
              <w:rPr>
                <w:noProof/>
                <w:webHidden/>
              </w:rPr>
              <w:fldChar w:fldCharType="end"/>
            </w:r>
          </w:hyperlink>
        </w:p>
        <w:p w:rsidR="00C70070" w:rsidRDefault="00C70070">
          <w:pPr>
            <w:pStyle w:val="TOC3"/>
            <w:tabs>
              <w:tab w:val="right" w:leader="dot" w:pos="9016"/>
            </w:tabs>
            <w:rPr>
              <w:rFonts w:asciiTheme="minorHAnsi" w:eastAsiaTheme="minorEastAsia" w:hAnsiTheme="minorHAnsi" w:cstheme="minorBidi"/>
              <w:noProof/>
              <w:sz w:val="22"/>
              <w:lang w:eastAsia="en-GB"/>
            </w:rPr>
          </w:pPr>
          <w:hyperlink w:anchor="_Toc79152369" w:history="1">
            <w:r w:rsidRPr="00BC1C40">
              <w:rPr>
                <w:rStyle w:val="Hyperlink"/>
                <w:noProof/>
              </w:rPr>
              <w:t>Brighton and Sussex University Hospitals NHS Trust:</w:t>
            </w:r>
            <w:r>
              <w:rPr>
                <w:noProof/>
                <w:webHidden/>
              </w:rPr>
              <w:tab/>
            </w:r>
            <w:r>
              <w:rPr>
                <w:noProof/>
                <w:webHidden/>
              </w:rPr>
              <w:fldChar w:fldCharType="begin"/>
            </w:r>
            <w:r>
              <w:rPr>
                <w:noProof/>
                <w:webHidden/>
              </w:rPr>
              <w:instrText xml:space="preserve"> PAGEREF _Toc79152369 \h </w:instrText>
            </w:r>
            <w:r>
              <w:rPr>
                <w:noProof/>
                <w:webHidden/>
              </w:rPr>
            </w:r>
            <w:r>
              <w:rPr>
                <w:noProof/>
                <w:webHidden/>
              </w:rPr>
              <w:fldChar w:fldCharType="separate"/>
            </w:r>
            <w:r>
              <w:rPr>
                <w:noProof/>
                <w:webHidden/>
              </w:rPr>
              <w:t>22</w:t>
            </w:r>
            <w:r>
              <w:rPr>
                <w:noProof/>
                <w:webHidden/>
              </w:rPr>
              <w:fldChar w:fldCharType="end"/>
            </w:r>
          </w:hyperlink>
        </w:p>
        <w:p w:rsidR="00C70070" w:rsidRDefault="00C70070">
          <w:pPr>
            <w:pStyle w:val="TOC3"/>
            <w:tabs>
              <w:tab w:val="right" w:leader="dot" w:pos="9016"/>
            </w:tabs>
            <w:rPr>
              <w:rFonts w:asciiTheme="minorHAnsi" w:eastAsiaTheme="minorEastAsia" w:hAnsiTheme="minorHAnsi" w:cstheme="minorBidi"/>
              <w:noProof/>
              <w:sz w:val="22"/>
              <w:lang w:eastAsia="en-GB"/>
            </w:rPr>
          </w:pPr>
          <w:hyperlink w:anchor="_Toc79152370" w:history="1">
            <w:r w:rsidRPr="00BC1C40">
              <w:rPr>
                <w:rStyle w:val="Hyperlink"/>
                <w:noProof/>
              </w:rPr>
              <w:t>Western Sussex NHS Foundation Trust</w:t>
            </w:r>
            <w:r>
              <w:rPr>
                <w:noProof/>
                <w:webHidden/>
              </w:rPr>
              <w:tab/>
            </w:r>
            <w:r>
              <w:rPr>
                <w:noProof/>
                <w:webHidden/>
              </w:rPr>
              <w:fldChar w:fldCharType="begin"/>
            </w:r>
            <w:r>
              <w:rPr>
                <w:noProof/>
                <w:webHidden/>
              </w:rPr>
              <w:instrText xml:space="preserve"> PAGEREF _Toc79152370 \h </w:instrText>
            </w:r>
            <w:r>
              <w:rPr>
                <w:noProof/>
                <w:webHidden/>
              </w:rPr>
            </w:r>
            <w:r>
              <w:rPr>
                <w:noProof/>
                <w:webHidden/>
              </w:rPr>
              <w:fldChar w:fldCharType="separate"/>
            </w:r>
            <w:r>
              <w:rPr>
                <w:noProof/>
                <w:webHidden/>
              </w:rPr>
              <w:t>23</w:t>
            </w:r>
            <w:r>
              <w:rPr>
                <w:noProof/>
                <w:webHidden/>
              </w:rPr>
              <w:fldChar w:fldCharType="end"/>
            </w:r>
          </w:hyperlink>
        </w:p>
        <w:p w:rsidR="00C70070" w:rsidRDefault="00C70070">
          <w:pPr>
            <w:pStyle w:val="TOC2"/>
            <w:tabs>
              <w:tab w:val="right" w:leader="dot" w:pos="9016"/>
            </w:tabs>
            <w:rPr>
              <w:rFonts w:asciiTheme="minorHAnsi" w:eastAsiaTheme="minorEastAsia" w:hAnsiTheme="minorHAnsi" w:cstheme="minorBidi"/>
              <w:noProof/>
              <w:sz w:val="22"/>
              <w:lang w:eastAsia="en-GB"/>
            </w:rPr>
          </w:pPr>
          <w:hyperlink w:anchor="_Toc79152371" w:history="1">
            <w:r w:rsidRPr="00BC1C40">
              <w:rPr>
                <w:rStyle w:val="Hyperlink"/>
                <w:noProof/>
              </w:rPr>
              <w:t>Indicator 7 - Percentage believing that trust provides equal opportunities for career progression or promotion – KF21 from NHS Staff Survey</w:t>
            </w:r>
            <w:r>
              <w:rPr>
                <w:noProof/>
                <w:webHidden/>
              </w:rPr>
              <w:tab/>
            </w:r>
            <w:r>
              <w:rPr>
                <w:noProof/>
                <w:webHidden/>
              </w:rPr>
              <w:fldChar w:fldCharType="begin"/>
            </w:r>
            <w:r>
              <w:rPr>
                <w:noProof/>
                <w:webHidden/>
              </w:rPr>
              <w:instrText xml:space="preserve"> PAGEREF _Toc79152371 \h </w:instrText>
            </w:r>
            <w:r>
              <w:rPr>
                <w:noProof/>
                <w:webHidden/>
              </w:rPr>
            </w:r>
            <w:r>
              <w:rPr>
                <w:noProof/>
                <w:webHidden/>
              </w:rPr>
              <w:fldChar w:fldCharType="separate"/>
            </w:r>
            <w:r>
              <w:rPr>
                <w:noProof/>
                <w:webHidden/>
              </w:rPr>
              <w:t>24</w:t>
            </w:r>
            <w:r>
              <w:rPr>
                <w:noProof/>
                <w:webHidden/>
              </w:rPr>
              <w:fldChar w:fldCharType="end"/>
            </w:r>
          </w:hyperlink>
        </w:p>
        <w:p w:rsidR="00C70070" w:rsidRDefault="00C70070">
          <w:pPr>
            <w:pStyle w:val="TOC3"/>
            <w:tabs>
              <w:tab w:val="right" w:leader="dot" w:pos="9016"/>
            </w:tabs>
            <w:rPr>
              <w:rFonts w:asciiTheme="minorHAnsi" w:eastAsiaTheme="minorEastAsia" w:hAnsiTheme="minorHAnsi" w:cstheme="minorBidi"/>
              <w:noProof/>
              <w:sz w:val="22"/>
              <w:lang w:eastAsia="en-GB"/>
            </w:rPr>
          </w:pPr>
          <w:hyperlink w:anchor="_Toc79152372" w:history="1">
            <w:r w:rsidRPr="00BC1C40">
              <w:rPr>
                <w:rStyle w:val="Hyperlink"/>
                <w:noProof/>
              </w:rPr>
              <w:t>Brighton and Sussex University Hospitals NHS Trust:</w:t>
            </w:r>
            <w:r>
              <w:rPr>
                <w:noProof/>
                <w:webHidden/>
              </w:rPr>
              <w:tab/>
            </w:r>
            <w:r>
              <w:rPr>
                <w:noProof/>
                <w:webHidden/>
              </w:rPr>
              <w:fldChar w:fldCharType="begin"/>
            </w:r>
            <w:r>
              <w:rPr>
                <w:noProof/>
                <w:webHidden/>
              </w:rPr>
              <w:instrText xml:space="preserve"> PAGEREF _Toc79152372 \h </w:instrText>
            </w:r>
            <w:r>
              <w:rPr>
                <w:noProof/>
                <w:webHidden/>
              </w:rPr>
            </w:r>
            <w:r>
              <w:rPr>
                <w:noProof/>
                <w:webHidden/>
              </w:rPr>
              <w:fldChar w:fldCharType="separate"/>
            </w:r>
            <w:r>
              <w:rPr>
                <w:noProof/>
                <w:webHidden/>
              </w:rPr>
              <w:t>24</w:t>
            </w:r>
            <w:r>
              <w:rPr>
                <w:noProof/>
                <w:webHidden/>
              </w:rPr>
              <w:fldChar w:fldCharType="end"/>
            </w:r>
          </w:hyperlink>
        </w:p>
        <w:p w:rsidR="00C70070" w:rsidRDefault="00C70070">
          <w:pPr>
            <w:pStyle w:val="TOC3"/>
            <w:tabs>
              <w:tab w:val="right" w:leader="dot" w:pos="9016"/>
            </w:tabs>
            <w:rPr>
              <w:rFonts w:asciiTheme="minorHAnsi" w:eastAsiaTheme="minorEastAsia" w:hAnsiTheme="minorHAnsi" w:cstheme="minorBidi"/>
              <w:noProof/>
              <w:sz w:val="22"/>
              <w:lang w:eastAsia="en-GB"/>
            </w:rPr>
          </w:pPr>
          <w:hyperlink w:anchor="_Toc79152373" w:history="1">
            <w:r w:rsidRPr="00BC1C40">
              <w:rPr>
                <w:rStyle w:val="Hyperlink"/>
                <w:noProof/>
              </w:rPr>
              <w:t>Western Sussex NHS Foundation Trust</w:t>
            </w:r>
            <w:r>
              <w:rPr>
                <w:noProof/>
                <w:webHidden/>
              </w:rPr>
              <w:tab/>
            </w:r>
            <w:r>
              <w:rPr>
                <w:noProof/>
                <w:webHidden/>
              </w:rPr>
              <w:fldChar w:fldCharType="begin"/>
            </w:r>
            <w:r>
              <w:rPr>
                <w:noProof/>
                <w:webHidden/>
              </w:rPr>
              <w:instrText xml:space="preserve"> PAGEREF _Toc79152373 \h </w:instrText>
            </w:r>
            <w:r>
              <w:rPr>
                <w:noProof/>
                <w:webHidden/>
              </w:rPr>
            </w:r>
            <w:r>
              <w:rPr>
                <w:noProof/>
                <w:webHidden/>
              </w:rPr>
              <w:fldChar w:fldCharType="separate"/>
            </w:r>
            <w:r>
              <w:rPr>
                <w:noProof/>
                <w:webHidden/>
              </w:rPr>
              <w:t>25</w:t>
            </w:r>
            <w:r>
              <w:rPr>
                <w:noProof/>
                <w:webHidden/>
              </w:rPr>
              <w:fldChar w:fldCharType="end"/>
            </w:r>
          </w:hyperlink>
        </w:p>
        <w:p w:rsidR="00C70070" w:rsidRDefault="00C70070">
          <w:pPr>
            <w:pStyle w:val="TOC2"/>
            <w:tabs>
              <w:tab w:val="right" w:leader="dot" w:pos="9016"/>
            </w:tabs>
            <w:rPr>
              <w:rFonts w:asciiTheme="minorHAnsi" w:eastAsiaTheme="minorEastAsia" w:hAnsiTheme="minorHAnsi" w:cstheme="minorBidi"/>
              <w:noProof/>
              <w:sz w:val="22"/>
              <w:lang w:eastAsia="en-GB"/>
            </w:rPr>
          </w:pPr>
          <w:hyperlink w:anchor="_Toc79152374" w:history="1">
            <w:r w:rsidRPr="00BC1C40">
              <w:rPr>
                <w:rStyle w:val="Hyperlink"/>
                <w:noProof/>
              </w:rPr>
              <w:t>Indicator 8 - In the last 12 months, have you personally experienced discrimination at work from your Manager/team leader or other colleagues? Q15(b) from the Staff Survey</w:t>
            </w:r>
            <w:r>
              <w:rPr>
                <w:noProof/>
                <w:webHidden/>
              </w:rPr>
              <w:tab/>
            </w:r>
            <w:r>
              <w:rPr>
                <w:noProof/>
                <w:webHidden/>
              </w:rPr>
              <w:fldChar w:fldCharType="begin"/>
            </w:r>
            <w:r>
              <w:rPr>
                <w:noProof/>
                <w:webHidden/>
              </w:rPr>
              <w:instrText xml:space="preserve"> PAGEREF _Toc79152374 \h </w:instrText>
            </w:r>
            <w:r>
              <w:rPr>
                <w:noProof/>
                <w:webHidden/>
              </w:rPr>
            </w:r>
            <w:r>
              <w:rPr>
                <w:noProof/>
                <w:webHidden/>
              </w:rPr>
              <w:fldChar w:fldCharType="separate"/>
            </w:r>
            <w:r>
              <w:rPr>
                <w:noProof/>
                <w:webHidden/>
              </w:rPr>
              <w:t>26</w:t>
            </w:r>
            <w:r>
              <w:rPr>
                <w:noProof/>
                <w:webHidden/>
              </w:rPr>
              <w:fldChar w:fldCharType="end"/>
            </w:r>
          </w:hyperlink>
        </w:p>
        <w:p w:rsidR="00C70070" w:rsidRDefault="00C70070">
          <w:pPr>
            <w:pStyle w:val="TOC3"/>
            <w:tabs>
              <w:tab w:val="right" w:leader="dot" w:pos="9016"/>
            </w:tabs>
            <w:rPr>
              <w:rFonts w:asciiTheme="minorHAnsi" w:eastAsiaTheme="minorEastAsia" w:hAnsiTheme="minorHAnsi" w:cstheme="minorBidi"/>
              <w:noProof/>
              <w:sz w:val="22"/>
              <w:lang w:eastAsia="en-GB"/>
            </w:rPr>
          </w:pPr>
          <w:hyperlink w:anchor="_Toc79152375" w:history="1">
            <w:r w:rsidRPr="00BC1C40">
              <w:rPr>
                <w:rStyle w:val="Hyperlink"/>
                <w:noProof/>
              </w:rPr>
              <w:t>Brighton and Sussex University Hospitals NHS Trust:</w:t>
            </w:r>
            <w:r>
              <w:rPr>
                <w:noProof/>
                <w:webHidden/>
              </w:rPr>
              <w:tab/>
            </w:r>
            <w:r>
              <w:rPr>
                <w:noProof/>
                <w:webHidden/>
              </w:rPr>
              <w:fldChar w:fldCharType="begin"/>
            </w:r>
            <w:r>
              <w:rPr>
                <w:noProof/>
                <w:webHidden/>
              </w:rPr>
              <w:instrText xml:space="preserve"> PAGEREF _Toc79152375 \h </w:instrText>
            </w:r>
            <w:r>
              <w:rPr>
                <w:noProof/>
                <w:webHidden/>
              </w:rPr>
            </w:r>
            <w:r>
              <w:rPr>
                <w:noProof/>
                <w:webHidden/>
              </w:rPr>
              <w:fldChar w:fldCharType="separate"/>
            </w:r>
            <w:r>
              <w:rPr>
                <w:noProof/>
                <w:webHidden/>
              </w:rPr>
              <w:t>26</w:t>
            </w:r>
            <w:r>
              <w:rPr>
                <w:noProof/>
                <w:webHidden/>
              </w:rPr>
              <w:fldChar w:fldCharType="end"/>
            </w:r>
          </w:hyperlink>
        </w:p>
        <w:p w:rsidR="00C70070" w:rsidRDefault="00C70070">
          <w:pPr>
            <w:pStyle w:val="TOC3"/>
            <w:tabs>
              <w:tab w:val="right" w:leader="dot" w:pos="9016"/>
            </w:tabs>
            <w:rPr>
              <w:rFonts w:asciiTheme="minorHAnsi" w:eastAsiaTheme="minorEastAsia" w:hAnsiTheme="minorHAnsi" w:cstheme="minorBidi"/>
              <w:noProof/>
              <w:sz w:val="22"/>
              <w:lang w:eastAsia="en-GB"/>
            </w:rPr>
          </w:pPr>
          <w:hyperlink w:anchor="_Toc79152376" w:history="1">
            <w:r w:rsidRPr="00BC1C40">
              <w:rPr>
                <w:rStyle w:val="Hyperlink"/>
                <w:noProof/>
              </w:rPr>
              <w:t>Western Sussex NHS Foundation Trust</w:t>
            </w:r>
            <w:r>
              <w:rPr>
                <w:noProof/>
                <w:webHidden/>
              </w:rPr>
              <w:tab/>
            </w:r>
            <w:r>
              <w:rPr>
                <w:noProof/>
                <w:webHidden/>
              </w:rPr>
              <w:fldChar w:fldCharType="begin"/>
            </w:r>
            <w:r>
              <w:rPr>
                <w:noProof/>
                <w:webHidden/>
              </w:rPr>
              <w:instrText xml:space="preserve"> PAGEREF _Toc79152376 \h </w:instrText>
            </w:r>
            <w:r>
              <w:rPr>
                <w:noProof/>
                <w:webHidden/>
              </w:rPr>
            </w:r>
            <w:r>
              <w:rPr>
                <w:noProof/>
                <w:webHidden/>
              </w:rPr>
              <w:fldChar w:fldCharType="separate"/>
            </w:r>
            <w:r>
              <w:rPr>
                <w:noProof/>
                <w:webHidden/>
              </w:rPr>
              <w:t>27</w:t>
            </w:r>
            <w:r>
              <w:rPr>
                <w:noProof/>
                <w:webHidden/>
              </w:rPr>
              <w:fldChar w:fldCharType="end"/>
            </w:r>
          </w:hyperlink>
        </w:p>
        <w:p w:rsidR="00C70070" w:rsidRDefault="00C70070">
          <w:pPr>
            <w:pStyle w:val="TOC2"/>
            <w:tabs>
              <w:tab w:val="right" w:leader="dot" w:pos="9016"/>
            </w:tabs>
            <w:rPr>
              <w:rFonts w:asciiTheme="minorHAnsi" w:eastAsiaTheme="minorEastAsia" w:hAnsiTheme="minorHAnsi" w:cstheme="minorBidi"/>
              <w:noProof/>
              <w:sz w:val="22"/>
              <w:lang w:eastAsia="en-GB"/>
            </w:rPr>
          </w:pPr>
          <w:hyperlink w:anchor="_Toc79152377" w:history="1">
            <w:r w:rsidRPr="00BC1C40">
              <w:rPr>
                <w:rStyle w:val="Hyperlink"/>
                <w:noProof/>
              </w:rPr>
              <w:t>Indicator 9 - compare the difference for white and BME staff: Percentage difference between:</w:t>
            </w:r>
            <w:r>
              <w:rPr>
                <w:noProof/>
                <w:webHidden/>
              </w:rPr>
              <w:tab/>
            </w:r>
            <w:r>
              <w:rPr>
                <w:noProof/>
                <w:webHidden/>
              </w:rPr>
              <w:fldChar w:fldCharType="begin"/>
            </w:r>
            <w:r>
              <w:rPr>
                <w:noProof/>
                <w:webHidden/>
              </w:rPr>
              <w:instrText xml:space="preserve"> PAGEREF _Toc79152377 \h </w:instrText>
            </w:r>
            <w:r>
              <w:rPr>
                <w:noProof/>
                <w:webHidden/>
              </w:rPr>
            </w:r>
            <w:r>
              <w:rPr>
                <w:noProof/>
                <w:webHidden/>
              </w:rPr>
              <w:fldChar w:fldCharType="separate"/>
            </w:r>
            <w:r>
              <w:rPr>
                <w:noProof/>
                <w:webHidden/>
              </w:rPr>
              <w:t>28</w:t>
            </w:r>
            <w:r>
              <w:rPr>
                <w:noProof/>
                <w:webHidden/>
              </w:rPr>
              <w:fldChar w:fldCharType="end"/>
            </w:r>
          </w:hyperlink>
        </w:p>
        <w:p w:rsidR="00C70070" w:rsidRDefault="00C70070">
          <w:pPr>
            <w:pStyle w:val="TOC3"/>
            <w:tabs>
              <w:tab w:val="right" w:leader="dot" w:pos="9016"/>
            </w:tabs>
            <w:rPr>
              <w:rFonts w:asciiTheme="minorHAnsi" w:eastAsiaTheme="minorEastAsia" w:hAnsiTheme="minorHAnsi" w:cstheme="minorBidi"/>
              <w:noProof/>
              <w:sz w:val="22"/>
              <w:lang w:eastAsia="en-GB"/>
            </w:rPr>
          </w:pPr>
          <w:hyperlink w:anchor="_Toc79152378" w:history="1">
            <w:r w:rsidRPr="00BC1C40">
              <w:rPr>
                <w:rStyle w:val="Hyperlink"/>
                <w:noProof/>
              </w:rPr>
              <w:t>Brighton and Sussex University Hospitals NHS Trust:</w:t>
            </w:r>
            <w:r>
              <w:rPr>
                <w:noProof/>
                <w:webHidden/>
              </w:rPr>
              <w:tab/>
            </w:r>
            <w:r>
              <w:rPr>
                <w:noProof/>
                <w:webHidden/>
              </w:rPr>
              <w:fldChar w:fldCharType="begin"/>
            </w:r>
            <w:r>
              <w:rPr>
                <w:noProof/>
                <w:webHidden/>
              </w:rPr>
              <w:instrText xml:space="preserve"> PAGEREF _Toc79152378 \h </w:instrText>
            </w:r>
            <w:r>
              <w:rPr>
                <w:noProof/>
                <w:webHidden/>
              </w:rPr>
            </w:r>
            <w:r>
              <w:rPr>
                <w:noProof/>
                <w:webHidden/>
              </w:rPr>
              <w:fldChar w:fldCharType="separate"/>
            </w:r>
            <w:r>
              <w:rPr>
                <w:noProof/>
                <w:webHidden/>
              </w:rPr>
              <w:t>28</w:t>
            </w:r>
            <w:r>
              <w:rPr>
                <w:noProof/>
                <w:webHidden/>
              </w:rPr>
              <w:fldChar w:fldCharType="end"/>
            </w:r>
          </w:hyperlink>
        </w:p>
        <w:p w:rsidR="00C70070" w:rsidRDefault="00C70070">
          <w:pPr>
            <w:pStyle w:val="TOC3"/>
            <w:tabs>
              <w:tab w:val="right" w:leader="dot" w:pos="9016"/>
            </w:tabs>
            <w:rPr>
              <w:rFonts w:asciiTheme="minorHAnsi" w:eastAsiaTheme="minorEastAsia" w:hAnsiTheme="minorHAnsi" w:cstheme="minorBidi"/>
              <w:noProof/>
              <w:sz w:val="22"/>
              <w:lang w:eastAsia="en-GB"/>
            </w:rPr>
          </w:pPr>
          <w:hyperlink w:anchor="_Toc79152379" w:history="1">
            <w:r w:rsidRPr="00BC1C40">
              <w:rPr>
                <w:rStyle w:val="Hyperlink"/>
                <w:noProof/>
              </w:rPr>
              <w:t>Western Sussex NHS Foundation Trust:</w:t>
            </w:r>
            <w:r>
              <w:rPr>
                <w:noProof/>
                <w:webHidden/>
              </w:rPr>
              <w:tab/>
            </w:r>
            <w:r>
              <w:rPr>
                <w:noProof/>
                <w:webHidden/>
              </w:rPr>
              <w:fldChar w:fldCharType="begin"/>
            </w:r>
            <w:r>
              <w:rPr>
                <w:noProof/>
                <w:webHidden/>
              </w:rPr>
              <w:instrText xml:space="preserve"> PAGEREF _Toc79152379 \h </w:instrText>
            </w:r>
            <w:r>
              <w:rPr>
                <w:noProof/>
                <w:webHidden/>
              </w:rPr>
            </w:r>
            <w:r>
              <w:rPr>
                <w:noProof/>
                <w:webHidden/>
              </w:rPr>
              <w:fldChar w:fldCharType="separate"/>
            </w:r>
            <w:r>
              <w:rPr>
                <w:noProof/>
                <w:webHidden/>
              </w:rPr>
              <w:t>2</w:t>
            </w:r>
            <w:r>
              <w:rPr>
                <w:noProof/>
                <w:webHidden/>
              </w:rPr>
              <w:t>8</w:t>
            </w:r>
            <w:r>
              <w:rPr>
                <w:noProof/>
                <w:webHidden/>
              </w:rPr>
              <w:fldChar w:fldCharType="end"/>
            </w:r>
          </w:hyperlink>
        </w:p>
        <w:p w:rsidR="00674167" w:rsidRDefault="00674167">
          <w:r>
            <w:rPr>
              <w:b/>
              <w:bCs/>
              <w:noProof/>
            </w:rPr>
            <w:fldChar w:fldCharType="end"/>
          </w:r>
        </w:p>
      </w:sdtContent>
    </w:sdt>
    <w:p w:rsidR="00674167" w:rsidRDefault="00674167">
      <w:pPr>
        <w:widowControl w:val="0"/>
        <w:rPr>
          <w:rFonts w:eastAsiaTheme="majorEastAsia" w:cstheme="majorBidi"/>
          <w:b/>
          <w:bCs/>
          <w:color w:val="0070C0"/>
          <w:sz w:val="40"/>
          <w:szCs w:val="28"/>
        </w:rPr>
      </w:pPr>
      <w:r>
        <w:br w:type="page"/>
      </w:r>
    </w:p>
    <w:p w:rsidR="00935BD1" w:rsidRDefault="00935BD1" w:rsidP="00935BD1">
      <w:pPr>
        <w:pStyle w:val="Heading1"/>
      </w:pPr>
      <w:bookmarkStart w:id="0" w:name="Introduction"/>
      <w:bookmarkStart w:id="1" w:name="_Toc79152339"/>
      <w:r w:rsidRPr="00935BD1">
        <w:lastRenderedPageBreak/>
        <w:t>Introduction</w:t>
      </w:r>
      <w:bookmarkEnd w:id="1"/>
    </w:p>
    <w:p w:rsidR="00935BD1" w:rsidRPr="00935BD1" w:rsidRDefault="00935BD1" w:rsidP="00935BD1"/>
    <w:p w:rsidR="00935BD1" w:rsidRPr="00F97AF8" w:rsidRDefault="00935BD1" w:rsidP="00935BD1">
      <w:pPr>
        <w:rPr>
          <w:i/>
          <w:iCs/>
          <w:szCs w:val="24"/>
        </w:rPr>
      </w:pPr>
      <w:r w:rsidRPr="281FA404">
        <w:rPr>
          <w:szCs w:val="24"/>
        </w:rPr>
        <w:t>“</w:t>
      </w:r>
      <w:r w:rsidRPr="281FA404">
        <w:rPr>
          <w:i/>
          <w:iCs/>
          <w:szCs w:val="24"/>
        </w:rPr>
        <w:t xml:space="preserve">It can’t be right </w:t>
      </w:r>
      <w:proofErr w:type="gramStart"/>
      <w:r w:rsidRPr="281FA404">
        <w:rPr>
          <w:i/>
          <w:iCs/>
          <w:szCs w:val="24"/>
        </w:rPr>
        <w:t>that</w:t>
      </w:r>
      <w:proofErr w:type="gramEnd"/>
      <w:r w:rsidRPr="281FA404">
        <w:rPr>
          <w:i/>
          <w:iCs/>
          <w:szCs w:val="24"/>
        </w:rPr>
        <w:t xml:space="preserve"> ten years after the launch of the NHS race-equality plan, while 41% of NHS staff in London are from Black and ethnic minority backgrounds, similar in proportion to the Londoners they serve, only 8% of trust board directors are, with two-fifths of London trust boards having no BME directors at all.</w:t>
      </w:r>
    </w:p>
    <w:p w:rsidR="00935BD1" w:rsidRPr="00F97AF8" w:rsidRDefault="00935BD1" w:rsidP="00935BD1">
      <w:pPr>
        <w:rPr>
          <w:szCs w:val="24"/>
        </w:rPr>
      </w:pPr>
      <w:r w:rsidRPr="281FA404">
        <w:rPr>
          <w:i/>
          <w:iCs/>
          <w:szCs w:val="24"/>
        </w:rPr>
        <w:t>Similar patterns apply elsewhere, and have actually been going backwards</w:t>
      </w:r>
      <w:r w:rsidRPr="281FA404">
        <w:rPr>
          <w:szCs w:val="24"/>
        </w:rPr>
        <w:t>”.</w:t>
      </w:r>
    </w:p>
    <w:p w:rsidR="00935BD1" w:rsidRPr="00F97AF8" w:rsidRDefault="00935BD1" w:rsidP="00935BD1">
      <w:pPr>
        <w:jc w:val="right"/>
        <w:rPr>
          <w:b/>
          <w:bCs/>
          <w:szCs w:val="24"/>
        </w:rPr>
      </w:pPr>
      <w:r w:rsidRPr="5D672D39">
        <w:rPr>
          <w:b/>
          <w:bCs/>
          <w:szCs w:val="24"/>
        </w:rPr>
        <w:t>Simon Stevens, Chief Executive – NHS England, May 2014</w:t>
      </w:r>
    </w:p>
    <w:p w:rsidR="00935BD1" w:rsidRPr="00F97AF8" w:rsidRDefault="00935BD1" w:rsidP="00935BD1">
      <w:pPr>
        <w:rPr>
          <w:szCs w:val="24"/>
        </w:rPr>
      </w:pPr>
      <w:r w:rsidRPr="281FA404">
        <w:rPr>
          <w:szCs w:val="24"/>
        </w:rPr>
        <w:t>The NHS has a workforce of 1.4 million people, of which 20% are from a Black or Minority Ethnic (BME) background. Whilst there is a good representation of BME people in GP, hospital doctor and nursing and midwifery roles – this does not always translate to career progression and representation at more senior levels. Of BME staff in senior management roles in the NHS in England, there are:</w:t>
      </w:r>
    </w:p>
    <w:p w:rsidR="00935BD1" w:rsidRPr="00F97AF8" w:rsidRDefault="00935BD1" w:rsidP="00935BD1">
      <w:pPr>
        <w:pStyle w:val="ListParagraph"/>
        <w:numPr>
          <w:ilvl w:val="0"/>
          <w:numId w:val="38"/>
        </w:numPr>
      </w:pPr>
      <w:r w:rsidRPr="00F97AF8">
        <w:t>8   BME CEOs (236 Trusts) as of March 2019</w:t>
      </w:r>
    </w:p>
    <w:p w:rsidR="00935BD1" w:rsidRPr="00F97AF8" w:rsidRDefault="00935BD1" w:rsidP="00935BD1">
      <w:pPr>
        <w:pStyle w:val="ListParagraph"/>
        <w:numPr>
          <w:ilvl w:val="0"/>
          <w:numId w:val="38"/>
        </w:numPr>
      </w:pPr>
      <w:r w:rsidRPr="00F97AF8">
        <w:t>9   BME Chairs as of March 2018</w:t>
      </w:r>
    </w:p>
    <w:p w:rsidR="00935BD1" w:rsidRPr="00F97AF8" w:rsidRDefault="00935BD1" w:rsidP="00935BD1">
      <w:pPr>
        <w:pStyle w:val="ListParagraph"/>
        <w:numPr>
          <w:ilvl w:val="0"/>
          <w:numId w:val="38"/>
        </w:numPr>
      </w:pPr>
      <w:r w:rsidRPr="00F97AF8">
        <w:t>11 BME Executive Directors of Nursing as of March 2019</w:t>
      </w:r>
    </w:p>
    <w:p w:rsidR="00935BD1" w:rsidRPr="00F97AF8" w:rsidRDefault="00935BD1" w:rsidP="00935BD1">
      <w:pPr>
        <w:pStyle w:val="ListParagraph"/>
        <w:numPr>
          <w:ilvl w:val="0"/>
          <w:numId w:val="38"/>
        </w:numPr>
      </w:pPr>
      <w:r w:rsidRPr="00F97AF8">
        <w:t>37 BME Medical Directors as of March 2018</w:t>
      </w:r>
    </w:p>
    <w:p w:rsidR="00935BD1" w:rsidRPr="00F97AF8" w:rsidRDefault="00935BD1" w:rsidP="00935BD1">
      <w:pPr>
        <w:pStyle w:val="ListParagraph"/>
        <w:numPr>
          <w:ilvl w:val="0"/>
          <w:numId w:val="38"/>
        </w:numPr>
      </w:pPr>
      <w:r w:rsidRPr="00F97AF8">
        <w:t>Less than 6% of very senior managers are from BME backgrounds</w:t>
      </w:r>
    </w:p>
    <w:p w:rsidR="00935BD1" w:rsidRPr="00F97AF8" w:rsidRDefault="00935BD1" w:rsidP="00935BD1">
      <w:pPr>
        <w:rPr>
          <w:szCs w:val="24"/>
        </w:rPr>
      </w:pPr>
      <w:r w:rsidRPr="5D672D39">
        <w:rPr>
          <w:szCs w:val="24"/>
        </w:rPr>
        <w:t xml:space="preserve">The </w:t>
      </w:r>
      <w:r>
        <w:rPr>
          <w:szCs w:val="24"/>
        </w:rPr>
        <w:t xml:space="preserve">NHS </w:t>
      </w:r>
      <w:r w:rsidRPr="5D672D39">
        <w:rPr>
          <w:szCs w:val="24"/>
        </w:rPr>
        <w:t xml:space="preserve">Workforce Race Equality Standard (WRES) was developed to help shine a light on where NHS organisations are doing well across a range of </w:t>
      </w:r>
      <w:r w:rsidR="00F73272">
        <w:rPr>
          <w:szCs w:val="24"/>
        </w:rPr>
        <w:t>equality measures</w:t>
      </w:r>
      <w:r w:rsidRPr="5D672D39">
        <w:rPr>
          <w:szCs w:val="24"/>
        </w:rPr>
        <w:t xml:space="preserve"> and identify areas for improvement where progress can then be tracked. The WRES uses statistical data to demonstrate the experience and outcomes for BME staff compared to white staff through many stages of their employment journey. The standard requires NHS Trusts to develop action plans to address any areas of inequity that the data highlights.</w:t>
      </w:r>
    </w:p>
    <w:p w:rsidR="00935BD1" w:rsidRDefault="00935BD1" w:rsidP="00935BD1">
      <w:r w:rsidRPr="00F97AF8">
        <w:t>The WRES is an annual process and helps NHS organisation demonstrate that they are making progress year on year by improving working conditions for BME staff in the NHS.</w:t>
      </w:r>
    </w:p>
    <w:p w:rsidR="00935BD1" w:rsidRDefault="00935BD1" w:rsidP="00935BD1">
      <w:pPr>
        <w:rPr>
          <w:szCs w:val="24"/>
        </w:rPr>
      </w:pPr>
      <w:r w:rsidRPr="281FA404">
        <w:rPr>
          <w:szCs w:val="24"/>
        </w:rPr>
        <w:t>This reporting period includes the Coronavirus Pandemic; further details can also be found in the Trust’s Annual Equality Report.</w:t>
      </w:r>
    </w:p>
    <w:p w:rsidR="00935BD1" w:rsidRDefault="00935BD1" w:rsidP="00935BD1">
      <w:pPr>
        <w:rPr>
          <w:szCs w:val="24"/>
        </w:rPr>
      </w:pPr>
      <w:r w:rsidRPr="281FA404">
        <w:rPr>
          <w:szCs w:val="24"/>
        </w:rPr>
        <w:t>The report uses the acronym BME</w:t>
      </w:r>
      <w:r w:rsidR="00F73272">
        <w:rPr>
          <w:szCs w:val="24"/>
        </w:rPr>
        <w:t>,</w:t>
      </w:r>
      <w:r w:rsidRPr="281FA404">
        <w:rPr>
          <w:szCs w:val="24"/>
        </w:rPr>
        <w:t xml:space="preserve"> recognising that within this</w:t>
      </w:r>
      <w:r w:rsidR="00F73272">
        <w:rPr>
          <w:szCs w:val="24"/>
        </w:rPr>
        <w:t>,</w:t>
      </w:r>
      <w:r w:rsidRPr="281FA404">
        <w:rPr>
          <w:szCs w:val="24"/>
        </w:rPr>
        <w:t xml:space="preserve"> there are numerous ethnic backgrounds and diversity included within the WRES analysis. It is not used to suggest that the i</w:t>
      </w:r>
      <w:r w:rsidR="00F73272">
        <w:rPr>
          <w:szCs w:val="24"/>
        </w:rPr>
        <w:t>dentified issues affect all BME staff equally or that each group’s treatment or needs</w:t>
      </w:r>
      <w:r w:rsidRPr="281FA404">
        <w:rPr>
          <w:szCs w:val="24"/>
        </w:rPr>
        <w:t xml:space="preserve"> are the same.  </w:t>
      </w:r>
    </w:p>
    <w:p w:rsidR="00935BD1" w:rsidRDefault="00935BD1" w:rsidP="00935BD1">
      <w:pPr>
        <w:rPr>
          <w:szCs w:val="24"/>
        </w:rPr>
      </w:pPr>
      <w:r w:rsidRPr="281FA404">
        <w:rPr>
          <w:szCs w:val="24"/>
        </w:rPr>
        <w:t>As Western Sussex Hospitals NHS Foundation Trust and Brighton and Sussex University Hospitals Trust merged on 1</w:t>
      </w:r>
      <w:r w:rsidRPr="281FA404">
        <w:rPr>
          <w:szCs w:val="24"/>
          <w:vertAlign w:val="superscript"/>
        </w:rPr>
        <w:t>st</w:t>
      </w:r>
      <w:r w:rsidRPr="281FA404">
        <w:rPr>
          <w:szCs w:val="24"/>
        </w:rPr>
        <w:t xml:space="preserve"> April 2021</w:t>
      </w:r>
      <w:r w:rsidR="00F73272">
        <w:rPr>
          <w:szCs w:val="24"/>
        </w:rPr>
        <w:t>,</w:t>
      </w:r>
      <w:r w:rsidRPr="281FA404">
        <w:rPr>
          <w:szCs w:val="24"/>
        </w:rPr>
        <w:t xml:space="preserve"> this report contains data for both </w:t>
      </w:r>
      <w:r w:rsidRPr="281FA404">
        <w:rPr>
          <w:szCs w:val="24"/>
        </w:rPr>
        <w:lastRenderedPageBreak/>
        <w:t>Trusts. However, the data snapshot period falls outside of the merger. It provides an overview of the closing position of each of the previous Trusts</w:t>
      </w:r>
      <w:r w:rsidR="00F73272">
        <w:rPr>
          <w:szCs w:val="24"/>
        </w:rPr>
        <w:t>. It,</w:t>
      </w:r>
      <w:r w:rsidRPr="281FA404">
        <w:rPr>
          <w:szCs w:val="24"/>
        </w:rPr>
        <w:t xml:space="preserve"> therefore</w:t>
      </w:r>
      <w:r w:rsidR="00F73272">
        <w:rPr>
          <w:szCs w:val="24"/>
        </w:rPr>
        <w:t>,</w:t>
      </w:r>
      <w:r w:rsidRPr="281FA404">
        <w:rPr>
          <w:szCs w:val="24"/>
        </w:rPr>
        <w:t xml:space="preserve"> will be the baseline from which future progress is measured for the new combined Trust, University Hospitals Sussex, as we pursue equality and inclusion for all staff.</w:t>
      </w:r>
    </w:p>
    <w:p w:rsidR="00935BD1" w:rsidRDefault="00935BD1" w:rsidP="00935BD1">
      <w:pPr>
        <w:rPr>
          <w:szCs w:val="24"/>
        </w:rPr>
      </w:pPr>
    </w:p>
    <w:p w:rsidR="00935BD1" w:rsidRDefault="007B2836" w:rsidP="007B2836">
      <w:pPr>
        <w:pStyle w:val="Heading1"/>
      </w:pPr>
      <w:bookmarkStart w:id="2" w:name="_Toc79152340"/>
      <w:r w:rsidRPr="007B2836">
        <w:t>Background Information</w:t>
      </w:r>
      <w:bookmarkEnd w:id="2"/>
    </w:p>
    <w:p w:rsidR="007B2836" w:rsidRDefault="007B2836" w:rsidP="007B2836"/>
    <w:p w:rsidR="007B2836" w:rsidRDefault="007B2836" w:rsidP="00D77FCE">
      <w:pPr>
        <w:pStyle w:val="Heading2"/>
      </w:pPr>
      <w:bookmarkStart w:id="3" w:name="_Toc79152341"/>
      <w:r w:rsidRPr="004950B1">
        <w:t>T</w:t>
      </w:r>
      <w:r>
        <w:t>he t</w:t>
      </w:r>
      <w:r w:rsidRPr="004950B1">
        <w:t>otal number of staff</w:t>
      </w:r>
      <w:r w:rsidR="00D77FCE">
        <w:t xml:space="preserve"> in the Trusts</w:t>
      </w:r>
      <w:r w:rsidRPr="004950B1">
        <w:t>:</w:t>
      </w:r>
      <w:bookmarkEnd w:id="3"/>
    </w:p>
    <w:p w:rsidR="007B2836" w:rsidRDefault="007B2836" w:rsidP="007A344D">
      <w:pPr>
        <w:pStyle w:val="Heading3"/>
      </w:pPr>
      <w:bookmarkStart w:id="4" w:name="_Toc79152342"/>
      <w:bookmarkEnd w:id="0"/>
      <w:r w:rsidRPr="00C66827">
        <w:t>Brighton and Sussex University Hospitals NHS Trust</w:t>
      </w:r>
      <w:r>
        <w:t>:</w:t>
      </w:r>
      <w:bookmarkEnd w:id="4"/>
    </w:p>
    <w:p w:rsidR="007B2836" w:rsidRPr="00D77FCE" w:rsidRDefault="007A344D" w:rsidP="007B2836">
      <w:pPr>
        <w:rPr>
          <w:b/>
        </w:rPr>
      </w:pPr>
      <w:r>
        <w:br/>
      </w:r>
      <w:r w:rsidR="007B2836" w:rsidRPr="00D77FCE">
        <w:rPr>
          <w:b/>
        </w:rPr>
        <w:t>In 2020:</w:t>
      </w:r>
    </w:p>
    <w:p w:rsidR="007B2836" w:rsidRDefault="007B2836" w:rsidP="007B2836">
      <w:r>
        <w:t xml:space="preserve">Total headcount: </w:t>
      </w:r>
      <w:r>
        <w:tab/>
        <w:t>8598</w:t>
      </w:r>
      <w:r w:rsidR="00D77FCE">
        <w:t xml:space="preserve"> staff</w:t>
      </w:r>
    </w:p>
    <w:p w:rsidR="007B2836" w:rsidRDefault="007B2836" w:rsidP="007B2836">
      <w:r>
        <w:t>White Staff:</w:t>
      </w:r>
      <w:r>
        <w:tab/>
      </w:r>
      <w:r>
        <w:tab/>
        <w:t>6731 (78.3%</w:t>
      </w:r>
      <w:r w:rsidR="007A344D">
        <w:t xml:space="preserve"> of the workforce</w:t>
      </w:r>
      <w:proofErr w:type="gramStart"/>
      <w:r>
        <w:t>)</w:t>
      </w:r>
      <w:proofErr w:type="gramEnd"/>
      <w:r>
        <w:br/>
        <w:t>BME Staff:</w:t>
      </w:r>
      <w:r>
        <w:tab/>
      </w:r>
      <w:r>
        <w:tab/>
        <w:t>1585 (18.4%</w:t>
      </w:r>
      <w:r w:rsidR="007A344D">
        <w:t xml:space="preserve"> of the workforce</w:t>
      </w:r>
      <w:r>
        <w:t>)</w:t>
      </w:r>
      <w:r>
        <w:br/>
        <w:t>Unknown Ethnicity:</w:t>
      </w:r>
      <w:r>
        <w:tab/>
      </w:r>
      <w:r w:rsidR="00D77FCE">
        <w:t xml:space="preserve">  </w:t>
      </w:r>
      <w:r>
        <w:t>282 (3.3%</w:t>
      </w:r>
      <w:r w:rsidR="007A344D">
        <w:t xml:space="preserve"> of the workforce</w:t>
      </w:r>
      <w:r>
        <w:t>)</w:t>
      </w:r>
    </w:p>
    <w:p w:rsidR="00D77FCE" w:rsidRDefault="00D77FCE" w:rsidP="007B2836">
      <w:r>
        <w:t>Overall in 2020, 96.7% of the workforce had declared their ethnicity.</w:t>
      </w:r>
    </w:p>
    <w:p w:rsidR="007B2836" w:rsidRPr="00D77FCE" w:rsidRDefault="007B2836" w:rsidP="007B2836">
      <w:pPr>
        <w:rPr>
          <w:b/>
        </w:rPr>
      </w:pPr>
      <w:r w:rsidRPr="00D77FCE">
        <w:rPr>
          <w:b/>
        </w:rPr>
        <w:t>In 2021:</w:t>
      </w:r>
    </w:p>
    <w:p w:rsidR="007B2836" w:rsidRDefault="007B2836" w:rsidP="007B2836">
      <w:r>
        <w:t xml:space="preserve">Total headcount: </w:t>
      </w:r>
      <w:r>
        <w:tab/>
        <w:t>8873</w:t>
      </w:r>
      <w:r w:rsidR="00D77FCE">
        <w:t xml:space="preserve"> staff</w:t>
      </w:r>
    </w:p>
    <w:p w:rsidR="007B2836" w:rsidRDefault="007B2836" w:rsidP="007B2836">
      <w:r>
        <w:t>White Staff:</w:t>
      </w:r>
      <w:r>
        <w:tab/>
      </w:r>
      <w:r>
        <w:tab/>
        <w:t>6890 (77.7%</w:t>
      </w:r>
      <w:r w:rsidR="007A344D">
        <w:t xml:space="preserve"> of the workforce</w:t>
      </w:r>
      <w:proofErr w:type="gramStart"/>
      <w:r>
        <w:t>)</w:t>
      </w:r>
      <w:proofErr w:type="gramEnd"/>
      <w:r>
        <w:br/>
        <w:t>BME Staff:</w:t>
      </w:r>
      <w:r>
        <w:tab/>
      </w:r>
      <w:r>
        <w:tab/>
        <w:t>1725 (19.4%</w:t>
      </w:r>
      <w:r w:rsidR="007A344D">
        <w:t xml:space="preserve"> of the workforce</w:t>
      </w:r>
      <w:r>
        <w:t>)</w:t>
      </w:r>
      <w:r>
        <w:br/>
        <w:t>Unknown Ethnicity:</w:t>
      </w:r>
      <w:r>
        <w:tab/>
      </w:r>
      <w:r w:rsidR="00D77FCE">
        <w:t xml:space="preserve">  </w:t>
      </w:r>
      <w:r>
        <w:t>258 (2.9%</w:t>
      </w:r>
      <w:r w:rsidR="007A344D">
        <w:t xml:space="preserve"> of the workforce</w:t>
      </w:r>
      <w:r>
        <w:t>)</w:t>
      </w:r>
    </w:p>
    <w:p w:rsidR="00D77FCE" w:rsidRDefault="00D77FCE" w:rsidP="007B2836">
      <w:r>
        <w:t>Overall in 2021, 97.1% of the workforce had declared their ethnicity.</w:t>
      </w:r>
    </w:p>
    <w:p w:rsidR="007B2836" w:rsidRDefault="00D77FCE" w:rsidP="007A344D">
      <w:pPr>
        <w:pStyle w:val="Heading3"/>
      </w:pPr>
      <w:r>
        <w:br/>
      </w:r>
      <w:bookmarkStart w:id="5" w:name="_Toc79152343"/>
      <w:r w:rsidR="007B2836">
        <w:t>Western Sussex Hospitals Foundation NHS</w:t>
      </w:r>
      <w:r w:rsidR="007B2836" w:rsidRPr="00C66827">
        <w:t xml:space="preserve"> Trust</w:t>
      </w:r>
      <w:r w:rsidR="007B2836">
        <w:t>:</w:t>
      </w:r>
      <w:bookmarkEnd w:id="5"/>
    </w:p>
    <w:p w:rsidR="007B2836" w:rsidRPr="00D77FCE" w:rsidRDefault="007A344D" w:rsidP="007B2836">
      <w:pPr>
        <w:rPr>
          <w:b/>
        </w:rPr>
      </w:pPr>
      <w:r>
        <w:br/>
      </w:r>
      <w:r w:rsidR="007B2836" w:rsidRPr="00D77FCE">
        <w:rPr>
          <w:b/>
        </w:rPr>
        <w:t>In 2020:</w:t>
      </w:r>
    </w:p>
    <w:p w:rsidR="007B2836" w:rsidRDefault="007B2836" w:rsidP="007B2836">
      <w:r>
        <w:t xml:space="preserve">Total headcount: </w:t>
      </w:r>
      <w:r>
        <w:tab/>
      </w:r>
      <w:r w:rsidR="00D77FCE" w:rsidRPr="00D77FCE">
        <w:t>7317</w:t>
      </w:r>
      <w:r w:rsidR="00D77FCE">
        <w:t xml:space="preserve"> staff</w:t>
      </w:r>
    </w:p>
    <w:p w:rsidR="007B2836" w:rsidRDefault="007B2836" w:rsidP="007B2836">
      <w:r>
        <w:t>White Staff:</w:t>
      </w:r>
      <w:r>
        <w:tab/>
      </w:r>
      <w:r>
        <w:tab/>
      </w:r>
      <w:r w:rsidR="00D77FCE">
        <w:t>5650</w:t>
      </w:r>
      <w:r>
        <w:t xml:space="preserve"> (7</w:t>
      </w:r>
      <w:r w:rsidR="00D77FCE">
        <w:t>7.2</w:t>
      </w:r>
      <w:r>
        <w:t>%</w:t>
      </w:r>
      <w:r w:rsidR="007A344D">
        <w:t xml:space="preserve"> of the workforce</w:t>
      </w:r>
      <w:proofErr w:type="gramStart"/>
      <w:r>
        <w:t>)</w:t>
      </w:r>
      <w:proofErr w:type="gramEnd"/>
      <w:r>
        <w:br/>
        <w:t>BME Staff:</w:t>
      </w:r>
      <w:r>
        <w:tab/>
      </w:r>
      <w:r>
        <w:tab/>
        <w:t>1</w:t>
      </w:r>
      <w:r w:rsidR="00D77FCE">
        <w:t>219</w:t>
      </w:r>
      <w:r>
        <w:t xml:space="preserve"> (1</w:t>
      </w:r>
      <w:r w:rsidR="00D77FCE">
        <w:t>6.7</w:t>
      </w:r>
      <w:r>
        <w:t>%</w:t>
      </w:r>
      <w:r w:rsidR="007A344D">
        <w:t xml:space="preserve"> of the workforce</w:t>
      </w:r>
      <w:r>
        <w:t>)</w:t>
      </w:r>
      <w:r>
        <w:br/>
        <w:t>Unknown Ethnicity:</w:t>
      </w:r>
      <w:r>
        <w:tab/>
      </w:r>
      <w:r w:rsidR="00D77FCE">
        <w:t xml:space="preserve">  448</w:t>
      </w:r>
      <w:r>
        <w:t xml:space="preserve"> (</w:t>
      </w:r>
      <w:r w:rsidR="00D77FCE">
        <w:t>6.1</w:t>
      </w:r>
      <w:r>
        <w:t>%</w:t>
      </w:r>
      <w:r w:rsidR="007A344D">
        <w:t xml:space="preserve"> of the workforce</w:t>
      </w:r>
      <w:r>
        <w:t>)</w:t>
      </w:r>
    </w:p>
    <w:p w:rsidR="00D77FCE" w:rsidRDefault="00D77FCE" w:rsidP="00D77FCE">
      <w:r>
        <w:t>Overall in 2020, 93.9% of the workforce had declared their ethnicity.</w:t>
      </w:r>
    </w:p>
    <w:p w:rsidR="00D77FCE" w:rsidRDefault="00D77FCE" w:rsidP="007B2836"/>
    <w:p w:rsidR="007B2836" w:rsidRPr="00D77FCE" w:rsidRDefault="007B2836" w:rsidP="007B2836">
      <w:pPr>
        <w:rPr>
          <w:b/>
        </w:rPr>
      </w:pPr>
      <w:r w:rsidRPr="00D77FCE">
        <w:rPr>
          <w:b/>
        </w:rPr>
        <w:lastRenderedPageBreak/>
        <w:t>In 2021:</w:t>
      </w:r>
    </w:p>
    <w:p w:rsidR="007B2836" w:rsidRDefault="007B2836" w:rsidP="007B2836">
      <w:r>
        <w:t xml:space="preserve">Total headcount: </w:t>
      </w:r>
      <w:r>
        <w:tab/>
      </w:r>
      <w:r w:rsidR="00D77FCE" w:rsidRPr="00D77FCE">
        <w:t>7519</w:t>
      </w:r>
      <w:r w:rsidR="00D77FCE">
        <w:t xml:space="preserve"> staff</w:t>
      </w:r>
    </w:p>
    <w:p w:rsidR="007B2836" w:rsidRDefault="007B2836" w:rsidP="007B2836">
      <w:r>
        <w:t>White Staff:</w:t>
      </w:r>
      <w:r>
        <w:tab/>
      </w:r>
      <w:r>
        <w:tab/>
      </w:r>
      <w:r w:rsidR="00D77FCE">
        <w:t>5763</w:t>
      </w:r>
      <w:r>
        <w:t xml:space="preserve"> (7</w:t>
      </w:r>
      <w:r w:rsidR="00D77FCE">
        <w:t>6.6</w:t>
      </w:r>
      <w:r>
        <w:t>%)</w:t>
      </w:r>
      <w:r>
        <w:br/>
        <w:t>BME Staff:</w:t>
      </w:r>
      <w:r>
        <w:tab/>
      </w:r>
      <w:r>
        <w:tab/>
        <w:t>1</w:t>
      </w:r>
      <w:r w:rsidR="00D77FCE">
        <w:t>359</w:t>
      </w:r>
      <w:r>
        <w:t xml:space="preserve"> (1</w:t>
      </w:r>
      <w:r w:rsidR="00D77FCE">
        <w:t>8.1</w:t>
      </w:r>
      <w:r>
        <w:t>%)</w:t>
      </w:r>
      <w:r>
        <w:br/>
        <w:t>Unknown Ethnicity:</w:t>
      </w:r>
      <w:r>
        <w:tab/>
      </w:r>
      <w:r w:rsidR="00D77FCE">
        <w:t xml:space="preserve">  397</w:t>
      </w:r>
      <w:r>
        <w:t xml:space="preserve"> (</w:t>
      </w:r>
      <w:r w:rsidR="00D77FCE">
        <w:t>5.3</w:t>
      </w:r>
      <w:r>
        <w:t>%)</w:t>
      </w:r>
    </w:p>
    <w:p w:rsidR="00D77FCE" w:rsidRDefault="00D77FCE" w:rsidP="00D77FCE">
      <w:r>
        <w:t>Overall in 2021, 94.7% of the workforce had declared their ethnicity.</w:t>
      </w:r>
    </w:p>
    <w:p w:rsidR="002B260B" w:rsidRDefault="002B260B" w:rsidP="002B260B"/>
    <w:p w:rsidR="00D77FCE" w:rsidRDefault="00E87505" w:rsidP="002B260B">
      <w:pPr>
        <w:pStyle w:val="Heading2"/>
      </w:pPr>
      <w:bookmarkStart w:id="6" w:name="_Toc79152344"/>
      <w:r>
        <w:t>S</w:t>
      </w:r>
      <w:r w:rsidR="002B260B" w:rsidRPr="004950B1">
        <w:t>teps taken in the last reporting period to improve the level of self-reporting by ethnicity</w:t>
      </w:r>
      <w:bookmarkEnd w:id="6"/>
    </w:p>
    <w:p w:rsidR="007B2836" w:rsidRDefault="002B260B" w:rsidP="007B2836">
      <w:r w:rsidRPr="00F70467">
        <w:t xml:space="preserve">We collect information relating to staff ethnicity as part of the recruitment process. In addition, </w:t>
      </w:r>
      <w:proofErr w:type="gramStart"/>
      <w:r w:rsidRPr="00F70467">
        <w:t xml:space="preserve">staff </w:t>
      </w:r>
      <w:r w:rsidR="00C740BF">
        <w:t>who have</w:t>
      </w:r>
      <w:proofErr w:type="gramEnd"/>
      <w:r w:rsidR="00C740BF">
        <w:t xml:space="preserve"> access to Electronic Staff Records self-service (and a range of other tools) can</w:t>
      </w:r>
      <w:r w:rsidRPr="00F70467">
        <w:t xml:space="preserve"> update that ethnicity at any time.</w:t>
      </w:r>
      <w:r w:rsidRPr="00F70467">
        <w:br/>
      </w:r>
    </w:p>
    <w:p w:rsidR="002B260B" w:rsidRPr="007B2836" w:rsidRDefault="00684D3B" w:rsidP="002B260B">
      <w:pPr>
        <w:pStyle w:val="Heading2"/>
      </w:pPr>
      <w:bookmarkStart w:id="7" w:name="_Toc79152345"/>
      <w:r>
        <w:t>Planned steps</w:t>
      </w:r>
      <w:r w:rsidR="002B260B" w:rsidRPr="5D672D39">
        <w:t xml:space="preserve"> during the current reporting period to improve the level of self-reporting by ethnicity?</w:t>
      </w:r>
      <w:bookmarkEnd w:id="7"/>
    </w:p>
    <w:p w:rsidR="002B260B" w:rsidRDefault="002B260B" w:rsidP="002B260B">
      <w:pPr>
        <w:rPr>
          <w:szCs w:val="24"/>
        </w:rPr>
      </w:pPr>
      <w:r w:rsidRPr="002B260B">
        <w:rPr>
          <w:szCs w:val="24"/>
        </w:rPr>
        <w:t>We appreciate that the declaration within the organisation is high; however,</w:t>
      </w:r>
      <w:r>
        <w:rPr>
          <w:szCs w:val="24"/>
        </w:rPr>
        <w:t xml:space="preserve"> we </w:t>
      </w:r>
      <w:r w:rsidRPr="002B260B">
        <w:rPr>
          <w:szCs w:val="24"/>
        </w:rPr>
        <w:t>will continue to run programmes to increase declaration and review our information to candidates to encourage this.</w:t>
      </w:r>
    </w:p>
    <w:p w:rsidR="002B260B" w:rsidRDefault="002B260B" w:rsidP="002B260B">
      <w:pPr>
        <w:rPr>
          <w:b/>
        </w:rPr>
      </w:pPr>
    </w:p>
    <w:p w:rsidR="002B260B" w:rsidRDefault="002B260B" w:rsidP="002B260B">
      <w:pPr>
        <w:pStyle w:val="Heading2"/>
      </w:pPr>
      <w:bookmarkStart w:id="8" w:name="_Toc79152346"/>
      <w:r>
        <w:t>What period does the organisation’s workforce data refer to?</w:t>
      </w:r>
      <w:bookmarkEnd w:id="8"/>
    </w:p>
    <w:p w:rsidR="002B260B" w:rsidRDefault="002B260B" w:rsidP="002B260B">
      <w:r>
        <w:t>The reporting period is 1</w:t>
      </w:r>
      <w:r w:rsidRPr="00676313">
        <w:rPr>
          <w:vertAlign w:val="superscript"/>
        </w:rPr>
        <w:t>st</w:t>
      </w:r>
      <w:r>
        <w:t xml:space="preserve"> April 2020 to 31</w:t>
      </w:r>
      <w:r w:rsidRPr="00676313">
        <w:rPr>
          <w:vertAlign w:val="superscript"/>
        </w:rPr>
        <w:t>st</w:t>
      </w:r>
      <w:r>
        <w:t xml:space="preserve"> March 2021.</w:t>
      </w:r>
    </w:p>
    <w:p w:rsidR="002B260B" w:rsidRDefault="002B260B" w:rsidP="002B260B"/>
    <w:p w:rsidR="00C740BF" w:rsidRDefault="002B260B" w:rsidP="00C740BF">
      <w:pPr>
        <w:pStyle w:val="Heading2"/>
        <w:rPr>
          <w:rFonts w:cs="Arial"/>
          <w:sz w:val="24"/>
        </w:rPr>
      </w:pPr>
      <w:bookmarkStart w:id="9" w:name="_Toc79152347"/>
      <w:r>
        <w:t>How is BME defined under the WRES?</w:t>
      </w:r>
      <w:bookmarkEnd w:id="9"/>
    </w:p>
    <w:p w:rsidR="002B260B" w:rsidRPr="00C740BF" w:rsidRDefault="00C740BF" w:rsidP="00C740BF">
      <w:r w:rsidRPr="00C740BF">
        <w:t>In line with the categories taken from the 2001 Census:</w:t>
      </w:r>
    </w:p>
    <w:p w:rsidR="00C740BF" w:rsidRDefault="00C740BF">
      <w:pPr>
        <w:widowControl w:val="0"/>
      </w:pPr>
      <w:r>
        <w:t>The BME category includes:</w:t>
      </w:r>
    </w:p>
    <w:p w:rsidR="00C740BF" w:rsidRPr="00C740BF" w:rsidRDefault="00C740BF" w:rsidP="00C740BF">
      <w:pPr>
        <w:pStyle w:val="ListParagraph"/>
        <w:widowControl w:val="0"/>
        <w:numPr>
          <w:ilvl w:val="0"/>
          <w:numId w:val="40"/>
        </w:numPr>
      </w:pPr>
      <w:r w:rsidRPr="00C740BF">
        <w:t>D – Mixed white and black Caribbean</w:t>
      </w:r>
    </w:p>
    <w:p w:rsidR="00C740BF" w:rsidRPr="00C740BF" w:rsidRDefault="00C740BF" w:rsidP="00C740BF">
      <w:pPr>
        <w:pStyle w:val="ListParagraph"/>
        <w:widowControl w:val="0"/>
        <w:numPr>
          <w:ilvl w:val="0"/>
          <w:numId w:val="40"/>
        </w:numPr>
      </w:pPr>
      <w:r w:rsidRPr="00C740BF">
        <w:t>E – Mixed white and black African</w:t>
      </w:r>
    </w:p>
    <w:p w:rsidR="00C740BF" w:rsidRPr="00C740BF" w:rsidRDefault="00C740BF" w:rsidP="00C740BF">
      <w:pPr>
        <w:pStyle w:val="ListParagraph"/>
        <w:widowControl w:val="0"/>
        <w:numPr>
          <w:ilvl w:val="0"/>
          <w:numId w:val="40"/>
        </w:numPr>
      </w:pPr>
      <w:r w:rsidRPr="00C740BF">
        <w:t>F – Mixed white and Asian</w:t>
      </w:r>
    </w:p>
    <w:p w:rsidR="00C740BF" w:rsidRPr="00C740BF" w:rsidRDefault="00C740BF" w:rsidP="00C740BF">
      <w:pPr>
        <w:pStyle w:val="ListParagraph"/>
        <w:widowControl w:val="0"/>
        <w:numPr>
          <w:ilvl w:val="0"/>
          <w:numId w:val="40"/>
        </w:numPr>
      </w:pPr>
      <w:r w:rsidRPr="00C740BF">
        <w:t>G – Any other mixed background</w:t>
      </w:r>
    </w:p>
    <w:p w:rsidR="00C740BF" w:rsidRPr="00C740BF" w:rsidRDefault="00C740BF" w:rsidP="00C740BF">
      <w:pPr>
        <w:pStyle w:val="ListParagraph"/>
        <w:widowControl w:val="0"/>
        <w:numPr>
          <w:ilvl w:val="0"/>
          <w:numId w:val="40"/>
        </w:numPr>
      </w:pPr>
      <w:r w:rsidRPr="00C740BF">
        <w:t>H – Asian or Asian British – Indian</w:t>
      </w:r>
    </w:p>
    <w:p w:rsidR="00C740BF" w:rsidRPr="00C740BF" w:rsidRDefault="00C740BF" w:rsidP="00C740BF">
      <w:pPr>
        <w:pStyle w:val="ListParagraph"/>
        <w:widowControl w:val="0"/>
        <w:numPr>
          <w:ilvl w:val="0"/>
          <w:numId w:val="40"/>
        </w:numPr>
      </w:pPr>
      <w:r w:rsidRPr="00C740BF">
        <w:t>J – Asian or Asian British – Pakistani</w:t>
      </w:r>
    </w:p>
    <w:p w:rsidR="00C740BF" w:rsidRPr="00C740BF" w:rsidRDefault="00C740BF" w:rsidP="00C740BF">
      <w:pPr>
        <w:pStyle w:val="ListParagraph"/>
        <w:widowControl w:val="0"/>
        <w:numPr>
          <w:ilvl w:val="0"/>
          <w:numId w:val="40"/>
        </w:numPr>
      </w:pPr>
      <w:r w:rsidRPr="00C740BF">
        <w:t>K – Asian or Asian British – Bangladeshi</w:t>
      </w:r>
    </w:p>
    <w:p w:rsidR="00C740BF" w:rsidRPr="00C740BF" w:rsidRDefault="00C740BF" w:rsidP="00C740BF">
      <w:pPr>
        <w:pStyle w:val="ListParagraph"/>
        <w:widowControl w:val="0"/>
        <w:numPr>
          <w:ilvl w:val="0"/>
          <w:numId w:val="40"/>
        </w:numPr>
      </w:pPr>
      <w:r w:rsidRPr="00C740BF">
        <w:t>L – Any other Asian background</w:t>
      </w:r>
    </w:p>
    <w:p w:rsidR="00C740BF" w:rsidRPr="00C740BF" w:rsidRDefault="00C740BF" w:rsidP="00C740BF">
      <w:pPr>
        <w:pStyle w:val="ListParagraph"/>
        <w:widowControl w:val="0"/>
        <w:numPr>
          <w:ilvl w:val="0"/>
          <w:numId w:val="40"/>
        </w:numPr>
      </w:pPr>
      <w:r w:rsidRPr="00C740BF">
        <w:t>M – Black or black British – Caribbean</w:t>
      </w:r>
    </w:p>
    <w:p w:rsidR="00C740BF" w:rsidRPr="00C740BF" w:rsidRDefault="00C740BF" w:rsidP="00C740BF">
      <w:pPr>
        <w:pStyle w:val="ListParagraph"/>
        <w:widowControl w:val="0"/>
        <w:numPr>
          <w:ilvl w:val="0"/>
          <w:numId w:val="40"/>
        </w:numPr>
      </w:pPr>
      <w:r w:rsidRPr="00C740BF">
        <w:t>N – Black or black British – African</w:t>
      </w:r>
    </w:p>
    <w:p w:rsidR="00C740BF" w:rsidRPr="00C740BF" w:rsidRDefault="00C740BF" w:rsidP="00C740BF">
      <w:pPr>
        <w:pStyle w:val="ListParagraph"/>
        <w:widowControl w:val="0"/>
        <w:numPr>
          <w:ilvl w:val="0"/>
          <w:numId w:val="40"/>
        </w:numPr>
      </w:pPr>
      <w:r w:rsidRPr="00C740BF">
        <w:lastRenderedPageBreak/>
        <w:t>P – Any other black background</w:t>
      </w:r>
    </w:p>
    <w:p w:rsidR="00C740BF" w:rsidRPr="00C740BF" w:rsidRDefault="00C740BF" w:rsidP="00C740BF">
      <w:pPr>
        <w:pStyle w:val="ListParagraph"/>
        <w:widowControl w:val="0"/>
        <w:numPr>
          <w:ilvl w:val="0"/>
          <w:numId w:val="40"/>
        </w:numPr>
      </w:pPr>
      <w:r w:rsidRPr="00C740BF">
        <w:t>R – Chinese</w:t>
      </w:r>
    </w:p>
    <w:p w:rsidR="00C740BF" w:rsidRDefault="00C740BF" w:rsidP="00C740BF">
      <w:pPr>
        <w:pStyle w:val="ListParagraph"/>
        <w:widowControl w:val="0"/>
        <w:numPr>
          <w:ilvl w:val="0"/>
          <w:numId w:val="40"/>
        </w:numPr>
      </w:pPr>
      <w:r w:rsidRPr="00C740BF">
        <w:t>S – Any other ethnic group</w:t>
      </w:r>
    </w:p>
    <w:p w:rsidR="00C740BF" w:rsidRDefault="00C740BF" w:rsidP="00C740BF">
      <w:pPr>
        <w:widowControl w:val="0"/>
      </w:pPr>
      <w:r>
        <w:t>The White category includes:</w:t>
      </w:r>
    </w:p>
    <w:p w:rsidR="00C740BF" w:rsidRDefault="00C740BF" w:rsidP="00C740BF">
      <w:pPr>
        <w:pStyle w:val="ListParagraph"/>
      </w:pPr>
      <w:r>
        <w:t>A – White – British</w:t>
      </w:r>
    </w:p>
    <w:p w:rsidR="00C740BF" w:rsidRDefault="00C740BF" w:rsidP="00C740BF">
      <w:pPr>
        <w:pStyle w:val="ListParagraph"/>
      </w:pPr>
      <w:r>
        <w:t>B – White – Irish</w:t>
      </w:r>
    </w:p>
    <w:p w:rsidR="00C740BF" w:rsidRDefault="00C740BF" w:rsidP="00C740BF">
      <w:pPr>
        <w:pStyle w:val="ListParagraph"/>
      </w:pPr>
      <w:r>
        <w:t>C – Any other white background</w:t>
      </w:r>
    </w:p>
    <w:p w:rsidR="00C740BF" w:rsidRDefault="00C740BF" w:rsidP="00C740BF">
      <w:r>
        <w:t>The unknown category includes:</w:t>
      </w:r>
    </w:p>
    <w:p w:rsidR="00C740BF" w:rsidRDefault="00C740BF" w:rsidP="00C740BF">
      <w:pPr>
        <w:pStyle w:val="ListParagraph"/>
      </w:pPr>
      <w:r>
        <w:t>Z – not stated</w:t>
      </w:r>
    </w:p>
    <w:p w:rsidR="00C740BF" w:rsidRDefault="00C740BF" w:rsidP="00C740BF">
      <w:pPr>
        <w:pStyle w:val="ListParagraph"/>
      </w:pPr>
      <w:r>
        <w:t>Null (NHS Electronic Staff Records code)</w:t>
      </w:r>
    </w:p>
    <w:p w:rsidR="00950ED9" w:rsidRDefault="00C740BF" w:rsidP="00C740BF">
      <w:pPr>
        <w:pStyle w:val="ListParagraph"/>
      </w:pPr>
      <w:r>
        <w:t>Unknown (NHS Electronic Staff Records code)</w:t>
      </w:r>
    </w:p>
    <w:p w:rsidR="00CB55AA" w:rsidRDefault="00CB55AA" w:rsidP="00CB55AA"/>
    <w:p w:rsidR="00950ED9" w:rsidRDefault="00950ED9" w:rsidP="00950ED9">
      <w:pPr>
        <w:pStyle w:val="Heading2"/>
      </w:pPr>
      <w:bookmarkStart w:id="10" w:name="_Toc79152348"/>
      <w:r>
        <w:t>Population Demographics from the 2011 Census (Southeast England)</w:t>
      </w:r>
      <w:bookmarkEnd w:id="10"/>
    </w:p>
    <w:p w:rsidR="00950ED9" w:rsidRDefault="00950ED9" w:rsidP="00950ED9">
      <w:pPr>
        <w:pStyle w:val="ListParagraph"/>
      </w:pPr>
      <w:r>
        <w:t>9% BME population</w:t>
      </w:r>
    </w:p>
    <w:p w:rsidR="00214DCD" w:rsidRDefault="00950ED9" w:rsidP="00950ED9">
      <w:pPr>
        <w:pStyle w:val="ListParagraph"/>
      </w:pPr>
      <w:r>
        <w:t>91% White population</w:t>
      </w:r>
    </w:p>
    <w:p w:rsidR="00272392" w:rsidRPr="007D7E14" w:rsidRDefault="00272392" w:rsidP="00272392">
      <w:pPr>
        <w:pStyle w:val="Heading2"/>
      </w:pPr>
      <w:bookmarkStart w:id="11" w:name="Closing_Information"/>
      <w:bookmarkStart w:id="12" w:name="_Toc79152349"/>
      <w:r>
        <w:t>O</w:t>
      </w:r>
      <w:r w:rsidRPr="007D7E14">
        <w:t>ther factors or data which should be taken into consideration in assessing progress?</w:t>
      </w:r>
      <w:bookmarkEnd w:id="12"/>
    </w:p>
    <w:p w:rsidR="00272392" w:rsidRPr="0099283A" w:rsidRDefault="00272392" w:rsidP="00272392">
      <w:pPr>
        <w:rPr>
          <w:szCs w:val="24"/>
        </w:rPr>
      </w:pPr>
      <w:r w:rsidRPr="5D672D39">
        <w:rPr>
          <w:szCs w:val="24"/>
        </w:rPr>
        <w:t xml:space="preserve">In 2016 the NHS Staff Survey was open to all Trust staff to participate. As a result, a potential sample </w:t>
      </w:r>
      <w:r w:rsidR="00F73272">
        <w:rPr>
          <w:szCs w:val="24"/>
        </w:rPr>
        <w:t>(</w:t>
      </w:r>
      <w:r w:rsidRPr="5D672D39">
        <w:rPr>
          <w:szCs w:val="24"/>
        </w:rPr>
        <w:t xml:space="preserve">circa </w:t>
      </w:r>
      <w:r w:rsidR="00F73272">
        <w:rPr>
          <w:szCs w:val="24"/>
        </w:rPr>
        <w:t>16</w:t>
      </w:r>
      <w:r w:rsidRPr="5D672D39">
        <w:rPr>
          <w:szCs w:val="24"/>
        </w:rPr>
        <w:t>,000</w:t>
      </w:r>
      <w:r w:rsidR="00F73272">
        <w:rPr>
          <w:szCs w:val="24"/>
        </w:rPr>
        <w:t>)</w:t>
      </w:r>
      <w:r w:rsidRPr="5D672D39">
        <w:rPr>
          <w:szCs w:val="24"/>
        </w:rPr>
        <w:t xml:space="preserve"> </w:t>
      </w:r>
      <w:r w:rsidR="00F73272">
        <w:rPr>
          <w:szCs w:val="24"/>
        </w:rPr>
        <w:t xml:space="preserve">could </w:t>
      </w:r>
      <w:r w:rsidRPr="5D672D39">
        <w:rPr>
          <w:szCs w:val="24"/>
        </w:rPr>
        <w:t xml:space="preserve">participate instead of a restricted sample </w:t>
      </w:r>
      <w:r w:rsidR="00F73272">
        <w:rPr>
          <w:szCs w:val="24"/>
        </w:rPr>
        <w:t>(</w:t>
      </w:r>
      <w:r w:rsidRPr="5D672D39">
        <w:rPr>
          <w:szCs w:val="24"/>
        </w:rPr>
        <w:t>circa 800</w:t>
      </w:r>
      <w:r w:rsidR="00F73272">
        <w:rPr>
          <w:szCs w:val="24"/>
        </w:rPr>
        <w:t>)</w:t>
      </w:r>
      <w:r w:rsidRPr="5D672D39">
        <w:rPr>
          <w:szCs w:val="24"/>
        </w:rPr>
        <w:t xml:space="preserve"> in previous years.</w:t>
      </w:r>
    </w:p>
    <w:p w:rsidR="00272392" w:rsidRPr="0099283A" w:rsidRDefault="00272392" w:rsidP="00272392">
      <w:r w:rsidRPr="0099283A">
        <w:t>The Trust’s Annual Equality Report is also produced, and the workforce data is analysed for trends across recruitment, employee relations, training and development and demographics. The report is scrutinised and approved by the Trust’s Senior Management Team, and the actions feed into the Trust’s Equality Objectives.</w:t>
      </w:r>
    </w:p>
    <w:p w:rsidR="00272392" w:rsidRPr="0099283A" w:rsidRDefault="00272392" w:rsidP="00272392">
      <w:pPr>
        <w:pStyle w:val="ListParagraph"/>
        <w:numPr>
          <w:ilvl w:val="0"/>
          <w:numId w:val="2"/>
        </w:numPr>
        <w:ind w:left="360"/>
      </w:pPr>
      <w:bookmarkStart w:id="13" w:name="_Toc79152350"/>
      <w:r w:rsidRPr="00272392">
        <w:rPr>
          <w:rStyle w:val="Heading3Char"/>
        </w:rPr>
        <w:t>Issues of completeness of data</w:t>
      </w:r>
      <w:bookmarkEnd w:id="13"/>
      <w:r w:rsidRPr="00272392">
        <w:rPr>
          <w:rStyle w:val="Heading3Char"/>
        </w:rPr>
        <w:br/>
      </w:r>
      <w:proofErr w:type="gramStart"/>
      <w:r w:rsidRPr="0099283A">
        <w:t>This</w:t>
      </w:r>
      <w:proofErr w:type="gramEnd"/>
      <w:r w:rsidRPr="0099283A">
        <w:t xml:space="preserve"> report is based on information presented to the Trust’s Board in 2021.</w:t>
      </w:r>
    </w:p>
    <w:p w:rsidR="00272392" w:rsidRPr="0099283A" w:rsidRDefault="00272392" w:rsidP="00272392">
      <w:pPr>
        <w:pStyle w:val="ListParagraph"/>
        <w:numPr>
          <w:ilvl w:val="0"/>
          <w:numId w:val="0"/>
        </w:numPr>
        <w:ind w:left="360"/>
        <w:rPr>
          <w:b/>
        </w:rPr>
      </w:pPr>
    </w:p>
    <w:p w:rsidR="00272392" w:rsidRPr="0099283A" w:rsidRDefault="00272392" w:rsidP="00272392">
      <w:pPr>
        <w:pStyle w:val="ListParagraph"/>
        <w:numPr>
          <w:ilvl w:val="0"/>
          <w:numId w:val="2"/>
        </w:numPr>
        <w:ind w:left="360"/>
      </w:pPr>
      <w:bookmarkStart w:id="14" w:name="_Toc79152351"/>
      <w:r>
        <w:rPr>
          <w:rStyle w:val="Heading3Char"/>
        </w:rPr>
        <w:t>M</w:t>
      </w:r>
      <w:r w:rsidRPr="00272392">
        <w:rPr>
          <w:rStyle w:val="Heading3Char"/>
        </w:rPr>
        <w:t>atters relating to the reliability of comparisons with previous years</w:t>
      </w:r>
      <w:bookmarkEnd w:id="14"/>
      <w:r w:rsidRPr="00272392">
        <w:rPr>
          <w:rStyle w:val="Heading3Char"/>
        </w:rPr>
        <w:br/>
      </w:r>
      <w:proofErr w:type="gramStart"/>
      <w:r>
        <w:t>On</w:t>
      </w:r>
      <w:proofErr w:type="gramEnd"/>
      <w:r>
        <w:t xml:space="preserve"> completing data for the WRES report, it was realised that there had been an inconsistency in interpreting TRAC recruitment reports. This </w:t>
      </w:r>
      <w:r w:rsidR="00F73272">
        <w:t xml:space="preserve">inconsistency </w:t>
      </w:r>
      <w:r>
        <w:t>has now been rectified. In 2020 the likelihood was reported as 3.8, which should have been 1.42 for BSUH. For WSHFT, 1.32 was reported and should have been 1.35.</w:t>
      </w:r>
      <w:r>
        <w:br/>
      </w:r>
      <w:r>
        <w:br/>
        <w:t>The requirements for indicator three has changed for the 2020/21 reporting period. Instead of a 2-year rolling average, this is now based on year-end.</w:t>
      </w:r>
    </w:p>
    <w:p w:rsidR="00214DCD" w:rsidRPr="006D1E3C" w:rsidRDefault="00214DCD" w:rsidP="00214DCD">
      <w:pPr>
        <w:pStyle w:val="Heading1"/>
        <w:rPr>
          <w:rFonts w:cs="Arial"/>
          <w:sz w:val="20"/>
        </w:rPr>
      </w:pPr>
      <w:bookmarkStart w:id="15" w:name="_Toc79152352"/>
      <w:bookmarkEnd w:id="11"/>
      <w:r w:rsidRPr="006D1E3C">
        <w:lastRenderedPageBreak/>
        <w:t>Workforce Race Equality Indicators</w:t>
      </w:r>
      <w:bookmarkEnd w:id="15"/>
    </w:p>
    <w:p w:rsidR="00214DCD" w:rsidRDefault="00214DCD" w:rsidP="00214DCD">
      <w:r>
        <w:br/>
      </w:r>
      <w:r w:rsidR="00D325B7">
        <w:t>T</w:t>
      </w:r>
      <w:r w:rsidRPr="00214DCD">
        <w:t>he standard compares the metrics for white and BME staff (using declared status).</w:t>
      </w:r>
    </w:p>
    <w:p w:rsidR="00214DCD" w:rsidRPr="006D1E3C" w:rsidRDefault="00214DCD" w:rsidP="00214DCD">
      <w:pPr>
        <w:pStyle w:val="Heading2"/>
      </w:pPr>
      <w:bookmarkStart w:id="16" w:name="_Toc79152353"/>
      <w:r w:rsidRPr="007D7E14">
        <w:t xml:space="preserve">Indicator 1 - Percentage of staff in each of the </w:t>
      </w:r>
      <w:proofErr w:type="spellStart"/>
      <w:r w:rsidRPr="007D7E14">
        <w:t>AfC</w:t>
      </w:r>
      <w:proofErr w:type="spellEnd"/>
      <w:r w:rsidRPr="007D7E14">
        <w:t xml:space="preserve"> Bands 1-9 and VSM (including executive Board members) compared with the percentage of staff in the overall workforce</w:t>
      </w:r>
      <w:bookmarkEnd w:id="16"/>
    </w:p>
    <w:p w:rsidR="00214DCD" w:rsidRDefault="00214DCD" w:rsidP="00214DCD">
      <w:r>
        <w:br/>
      </w:r>
      <w:r w:rsidRPr="006D1E3C">
        <w:t>Note: Organisations should undertake this calculation separately for non-clinical and for clinical staff.</w:t>
      </w:r>
    </w:p>
    <w:p w:rsidR="00A97DB7" w:rsidRDefault="00A97DB7" w:rsidP="00A97DB7">
      <w:pPr>
        <w:pStyle w:val="Heading3"/>
      </w:pPr>
      <w:bookmarkStart w:id="17" w:name="_Toc79152354"/>
      <w:r w:rsidRPr="00A97DB7">
        <w:t>Brighton and Sussex University Hospitals NHS Trust:</w:t>
      </w:r>
      <w:bookmarkEnd w:id="17"/>
    </w:p>
    <w:p w:rsidR="00A97DB7" w:rsidRDefault="00A97DB7" w:rsidP="00A97DB7">
      <w:r>
        <w:t>*The overall percentage in the tables is compared to the 19.4% r</w:t>
      </w:r>
      <w:r w:rsidRPr="00726AAD">
        <w:t xml:space="preserve">epresentation </w:t>
      </w:r>
      <w:r>
        <w:t>of BME staff in the overall workforce.</w:t>
      </w:r>
      <w:r w:rsidR="00F67923">
        <w:t xml:space="preserve"> Items in bold text highlight a higher than expected representation of BME staff in that pay banding.</w:t>
      </w:r>
    </w:p>
    <w:p w:rsidR="00A97DB7" w:rsidRDefault="00A97DB7" w:rsidP="00A97DB7">
      <w:pPr>
        <w:tabs>
          <w:tab w:val="left" w:pos="3453"/>
        </w:tabs>
        <w:rPr>
          <w:b/>
        </w:rPr>
      </w:pPr>
      <w:r>
        <w:rPr>
          <w:b/>
        </w:rPr>
        <w:t>For Non-clinical Roles:</w:t>
      </w:r>
      <w:r>
        <w:rPr>
          <w:b/>
        </w:rPr>
        <w:tab/>
      </w:r>
    </w:p>
    <w:tbl>
      <w:tblPr>
        <w:tblW w:w="8787" w:type="dxa"/>
        <w:jc w:val="center"/>
        <w:tblLook w:val="04A0" w:firstRow="1" w:lastRow="0" w:firstColumn="1" w:lastColumn="0" w:noHBand="0" w:noVBand="1"/>
        <w:tblCaption w:val="Breakdown of BSUH workforce represenation in non-clinical roles by banding and ethnicity"/>
      </w:tblPr>
      <w:tblGrid>
        <w:gridCol w:w="2679"/>
        <w:gridCol w:w="870"/>
        <w:gridCol w:w="750"/>
        <w:gridCol w:w="1335"/>
        <w:gridCol w:w="790"/>
        <w:gridCol w:w="1229"/>
        <w:gridCol w:w="1134"/>
      </w:tblGrid>
      <w:tr w:rsidR="00A97DB7" w:rsidRPr="00342216" w:rsidTr="00BE14BF">
        <w:trPr>
          <w:cantSplit/>
          <w:trHeight w:val="660"/>
          <w:tblHeader/>
          <w:jc w:val="center"/>
        </w:trPr>
        <w:tc>
          <w:tcPr>
            <w:tcW w:w="26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7DB7" w:rsidRPr="00A97DB7" w:rsidRDefault="00A97DB7" w:rsidP="00A702A0">
            <w:pPr>
              <w:spacing w:after="0" w:line="240" w:lineRule="auto"/>
              <w:rPr>
                <w:rFonts w:eastAsia="Times New Roman"/>
                <w:b/>
                <w:color w:val="000000"/>
                <w:szCs w:val="24"/>
                <w:lang w:eastAsia="en-GB"/>
              </w:rPr>
            </w:pPr>
            <w:r w:rsidRPr="00A97DB7">
              <w:rPr>
                <w:rFonts w:eastAsia="Times New Roman"/>
                <w:b/>
                <w:color w:val="000000"/>
                <w:szCs w:val="24"/>
                <w:lang w:eastAsia="en-GB"/>
              </w:rPr>
              <w:t>Pay</w:t>
            </w:r>
            <w:r w:rsidR="00F67923">
              <w:rPr>
                <w:rFonts w:eastAsia="Times New Roman"/>
                <w:b/>
                <w:color w:val="000000"/>
                <w:szCs w:val="24"/>
                <w:lang w:eastAsia="en-GB"/>
              </w:rPr>
              <w:t xml:space="preserve"> </w:t>
            </w:r>
            <w:r w:rsidRPr="00A97DB7">
              <w:rPr>
                <w:rFonts w:eastAsia="Times New Roman"/>
                <w:b/>
                <w:color w:val="000000"/>
                <w:szCs w:val="24"/>
                <w:lang w:eastAsia="en-GB"/>
              </w:rPr>
              <w:t>banding</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7DB7" w:rsidRPr="00342216" w:rsidRDefault="00A97DB7" w:rsidP="00A702A0">
            <w:pPr>
              <w:spacing w:after="0" w:line="240" w:lineRule="auto"/>
              <w:rPr>
                <w:rFonts w:eastAsia="Times New Roman"/>
                <w:b/>
                <w:bCs/>
                <w:color w:val="000000"/>
                <w:szCs w:val="24"/>
                <w:lang w:eastAsia="en-GB"/>
              </w:rPr>
            </w:pPr>
            <w:r w:rsidRPr="00342216">
              <w:rPr>
                <w:rFonts w:eastAsia="Times New Roman"/>
                <w:b/>
                <w:bCs/>
                <w:color w:val="000000"/>
                <w:szCs w:val="24"/>
                <w:lang w:eastAsia="en-GB"/>
              </w:rPr>
              <w:t>White</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7DB7" w:rsidRPr="00342216" w:rsidRDefault="00A97DB7" w:rsidP="00A702A0">
            <w:pPr>
              <w:spacing w:after="0" w:line="240" w:lineRule="auto"/>
              <w:rPr>
                <w:rFonts w:eastAsia="Times New Roman"/>
                <w:b/>
                <w:bCs/>
                <w:color w:val="000000"/>
                <w:szCs w:val="24"/>
                <w:lang w:eastAsia="en-GB"/>
              </w:rPr>
            </w:pPr>
            <w:r w:rsidRPr="00342216">
              <w:rPr>
                <w:rFonts w:eastAsia="Times New Roman"/>
                <w:b/>
                <w:bCs/>
                <w:color w:val="000000"/>
                <w:szCs w:val="24"/>
                <w:lang w:eastAsia="en-GB"/>
              </w:rPr>
              <w:t>BME</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DB7" w:rsidRPr="00342216" w:rsidRDefault="00A97DB7" w:rsidP="00A702A0">
            <w:pPr>
              <w:spacing w:after="0" w:line="240" w:lineRule="auto"/>
              <w:rPr>
                <w:rFonts w:eastAsia="Times New Roman"/>
                <w:b/>
                <w:bCs/>
                <w:color w:val="000000"/>
                <w:szCs w:val="24"/>
                <w:lang w:eastAsia="en-GB"/>
              </w:rPr>
            </w:pPr>
            <w:r w:rsidRPr="00342216">
              <w:rPr>
                <w:rFonts w:eastAsia="Times New Roman"/>
                <w:b/>
                <w:bCs/>
                <w:color w:val="000000"/>
                <w:szCs w:val="24"/>
                <w:lang w:eastAsia="en-GB"/>
              </w:rPr>
              <w:t>Unknown</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7DB7" w:rsidRPr="00342216" w:rsidRDefault="00A97DB7" w:rsidP="00A702A0">
            <w:pPr>
              <w:spacing w:after="0" w:line="240" w:lineRule="auto"/>
              <w:rPr>
                <w:rFonts w:eastAsia="Times New Roman"/>
                <w:b/>
                <w:bCs/>
                <w:color w:val="000000"/>
                <w:szCs w:val="24"/>
                <w:lang w:eastAsia="en-GB"/>
              </w:rPr>
            </w:pPr>
            <w:r w:rsidRPr="00342216">
              <w:rPr>
                <w:rFonts w:eastAsia="Times New Roman"/>
                <w:b/>
                <w:bCs/>
                <w:color w:val="000000"/>
                <w:szCs w:val="24"/>
                <w:lang w:eastAsia="en-GB"/>
              </w:rPr>
              <w:t>Total</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7DB7" w:rsidRPr="00342216" w:rsidRDefault="00A97DB7" w:rsidP="00A702A0">
            <w:pPr>
              <w:spacing w:after="0" w:line="240" w:lineRule="auto"/>
              <w:rPr>
                <w:rFonts w:eastAsia="Times New Roman"/>
                <w:b/>
                <w:bCs/>
                <w:color w:val="000000"/>
                <w:szCs w:val="24"/>
                <w:lang w:eastAsia="en-GB"/>
              </w:rPr>
            </w:pPr>
            <w:r w:rsidRPr="00342216">
              <w:rPr>
                <w:rFonts w:eastAsia="Times New Roman"/>
                <w:b/>
                <w:bCs/>
                <w:color w:val="000000"/>
                <w:szCs w:val="24"/>
                <w:lang w:eastAsia="en-GB"/>
              </w:rPr>
              <w:t>White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7DB7" w:rsidRPr="00342216" w:rsidRDefault="00A97DB7" w:rsidP="00A702A0">
            <w:pPr>
              <w:spacing w:after="0" w:line="240" w:lineRule="auto"/>
              <w:rPr>
                <w:rFonts w:eastAsia="Times New Roman"/>
                <w:b/>
                <w:bCs/>
                <w:color w:val="000000"/>
                <w:szCs w:val="24"/>
                <w:lang w:eastAsia="en-GB"/>
              </w:rPr>
            </w:pPr>
            <w:r>
              <w:rPr>
                <w:rFonts w:eastAsia="Times New Roman"/>
                <w:b/>
                <w:bCs/>
                <w:color w:val="000000"/>
                <w:szCs w:val="24"/>
                <w:lang w:eastAsia="en-GB"/>
              </w:rPr>
              <w:t>*</w:t>
            </w:r>
            <w:r w:rsidRPr="00342216">
              <w:rPr>
                <w:rFonts w:eastAsia="Times New Roman"/>
                <w:b/>
                <w:bCs/>
                <w:color w:val="000000"/>
                <w:szCs w:val="24"/>
                <w:lang w:eastAsia="en-GB"/>
              </w:rPr>
              <w:t>BME %</w:t>
            </w:r>
          </w:p>
        </w:tc>
      </w:tr>
      <w:tr w:rsidR="00A97DB7" w:rsidRPr="00342216" w:rsidTr="00BE14BF">
        <w:trPr>
          <w:cantSplit/>
          <w:trHeight w:val="345"/>
          <w:tblHeader/>
          <w:jc w:val="center"/>
        </w:trPr>
        <w:tc>
          <w:tcPr>
            <w:tcW w:w="2679"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rPr>
                <w:rFonts w:eastAsia="Times New Roman"/>
                <w:b/>
                <w:bCs/>
                <w:color w:val="000000"/>
                <w:szCs w:val="24"/>
                <w:lang w:eastAsia="en-GB"/>
              </w:rPr>
            </w:pPr>
            <w:r w:rsidRPr="00342216">
              <w:rPr>
                <w:rFonts w:eastAsia="Times New Roman"/>
                <w:b/>
                <w:bCs/>
                <w:color w:val="000000"/>
                <w:szCs w:val="24"/>
                <w:lang w:eastAsia="en-GB"/>
              </w:rPr>
              <w:t>Band 1</w:t>
            </w:r>
          </w:p>
        </w:tc>
        <w:tc>
          <w:tcPr>
            <w:tcW w:w="870" w:type="dxa"/>
            <w:tcBorders>
              <w:top w:val="single" w:sz="4" w:space="0" w:color="auto"/>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59</w:t>
            </w:r>
          </w:p>
        </w:tc>
        <w:tc>
          <w:tcPr>
            <w:tcW w:w="750" w:type="dxa"/>
            <w:tcBorders>
              <w:top w:val="single" w:sz="4" w:space="0" w:color="auto"/>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23</w:t>
            </w:r>
          </w:p>
        </w:tc>
        <w:tc>
          <w:tcPr>
            <w:tcW w:w="1335" w:type="dxa"/>
            <w:tcBorders>
              <w:top w:val="single" w:sz="4" w:space="0" w:color="auto"/>
              <w:left w:val="nil"/>
              <w:bottom w:val="single" w:sz="12" w:space="0" w:color="auto"/>
              <w:right w:val="single" w:sz="12" w:space="0" w:color="auto"/>
            </w:tcBorders>
            <w:shd w:val="clear" w:color="auto" w:fill="auto"/>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7</w:t>
            </w:r>
          </w:p>
        </w:tc>
        <w:tc>
          <w:tcPr>
            <w:tcW w:w="790" w:type="dxa"/>
            <w:tcBorders>
              <w:top w:val="single" w:sz="4" w:space="0" w:color="auto"/>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89</w:t>
            </w:r>
          </w:p>
        </w:tc>
        <w:tc>
          <w:tcPr>
            <w:tcW w:w="1229" w:type="dxa"/>
            <w:tcBorders>
              <w:top w:val="single" w:sz="4" w:space="0" w:color="auto"/>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66.3%</w:t>
            </w:r>
          </w:p>
        </w:tc>
        <w:tc>
          <w:tcPr>
            <w:tcW w:w="1134" w:type="dxa"/>
            <w:tcBorders>
              <w:top w:val="single" w:sz="4" w:space="0" w:color="auto"/>
              <w:left w:val="nil"/>
              <w:bottom w:val="single" w:sz="12" w:space="0" w:color="auto"/>
              <w:right w:val="single" w:sz="12" w:space="0" w:color="auto"/>
            </w:tcBorders>
            <w:shd w:val="clear" w:color="auto" w:fill="auto"/>
            <w:noWrap/>
            <w:vAlign w:val="center"/>
            <w:hideMark/>
          </w:tcPr>
          <w:p w:rsidR="00A97DB7" w:rsidRPr="00F67923" w:rsidRDefault="00A97DB7" w:rsidP="001E0F80">
            <w:pPr>
              <w:spacing w:after="0" w:line="240" w:lineRule="auto"/>
              <w:jc w:val="center"/>
              <w:rPr>
                <w:rFonts w:eastAsia="Times New Roman"/>
                <w:b/>
                <w:szCs w:val="24"/>
                <w:lang w:eastAsia="en-GB"/>
              </w:rPr>
            </w:pPr>
            <w:r w:rsidRPr="00F67923">
              <w:rPr>
                <w:rFonts w:eastAsia="Times New Roman"/>
                <w:b/>
                <w:szCs w:val="24"/>
                <w:lang w:eastAsia="en-GB"/>
              </w:rPr>
              <w:t>25.8%</w:t>
            </w:r>
          </w:p>
        </w:tc>
      </w:tr>
      <w:tr w:rsidR="00A97DB7" w:rsidRPr="00342216" w:rsidTr="00BE14BF">
        <w:trPr>
          <w:cantSplit/>
          <w:trHeight w:val="345"/>
          <w:tblHeader/>
          <w:jc w:val="center"/>
        </w:trPr>
        <w:tc>
          <w:tcPr>
            <w:tcW w:w="2679" w:type="dxa"/>
            <w:tcBorders>
              <w:top w:val="nil"/>
              <w:left w:val="single" w:sz="12" w:space="0" w:color="auto"/>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rPr>
                <w:rFonts w:eastAsia="Times New Roman"/>
                <w:b/>
                <w:bCs/>
                <w:color w:val="000000"/>
                <w:szCs w:val="24"/>
                <w:lang w:eastAsia="en-GB"/>
              </w:rPr>
            </w:pPr>
            <w:r w:rsidRPr="00342216">
              <w:rPr>
                <w:rFonts w:eastAsia="Times New Roman"/>
                <w:b/>
                <w:bCs/>
                <w:color w:val="000000"/>
                <w:szCs w:val="24"/>
                <w:lang w:eastAsia="en-GB"/>
              </w:rPr>
              <w:t>Band 2</w:t>
            </w:r>
          </w:p>
        </w:tc>
        <w:tc>
          <w:tcPr>
            <w:tcW w:w="87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639</w:t>
            </w:r>
          </w:p>
        </w:tc>
        <w:tc>
          <w:tcPr>
            <w:tcW w:w="75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110</w:t>
            </w:r>
          </w:p>
        </w:tc>
        <w:tc>
          <w:tcPr>
            <w:tcW w:w="1335" w:type="dxa"/>
            <w:tcBorders>
              <w:top w:val="nil"/>
              <w:left w:val="nil"/>
              <w:bottom w:val="single" w:sz="12" w:space="0" w:color="auto"/>
              <w:right w:val="single" w:sz="12" w:space="0" w:color="auto"/>
            </w:tcBorders>
            <w:shd w:val="clear" w:color="auto" w:fill="auto"/>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19</w:t>
            </w:r>
          </w:p>
        </w:tc>
        <w:tc>
          <w:tcPr>
            <w:tcW w:w="79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768</w:t>
            </w:r>
          </w:p>
        </w:tc>
        <w:tc>
          <w:tcPr>
            <w:tcW w:w="1229"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83.2%</w:t>
            </w:r>
          </w:p>
        </w:tc>
        <w:tc>
          <w:tcPr>
            <w:tcW w:w="1134" w:type="dxa"/>
            <w:tcBorders>
              <w:top w:val="nil"/>
              <w:left w:val="nil"/>
              <w:bottom w:val="single" w:sz="12" w:space="0" w:color="auto"/>
              <w:right w:val="single" w:sz="12" w:space="0" w:color="auto"/>
            </w:tcBorders>
            <w:shd w:val="clear" w:color="auto" w:fill="auto"/>
            <w:noWrap/>
            <w:vAlign w:val="center"/>
            <w:hideMark/>
          </w:tcPr>
          <w:p w:rsidR="00A97DB7" w:rsidRPr="00F67923" w:rsidRDefault="00A97DB7" w:rsidP="001E0F80">
            <w:pPr>
              <w:spacing w:after="0" w:line="240" w:lineRule="auto"/>
              <w:jc w:val="center"/>
              <w:rPr>
                <w:rFonts w:eastAsia="Times New Roman"/>
                <w:szCs w:val="24"/>
                <w:lang w:eastAsia="en-GB"/>
              </w:rPr>
            </w:pPr>
            <w:r w:rsidRPr="00F67923">
              <w:rPr>
                <w:rFonts w:eastAsia="Times New Roman"/>
                <w:szCs w:val="24"/>
                <w:lang w:eastAsia="en-GB"/>
              </w:rPr>
              <w:t>14.3%</w:t>
            </w:r>
          </w:p>
        </w:tc>
      </w:tr>
      <w:tr w:rsidR="00A97DB7" w:rsidRPr="00342216" w:rsidTr="00BE14BF">
        <w:trPr>
          <w:cantSplit/>
          <w:trHeight w:val="345"/>
          <w:tblHeader/>
          <w:jc w:val="center"/>
        </w:trPr>
        <w:tc>
          <w:tcPr>
            <w:tcW w:w="2679" w:type="dxa"/>
            <w:tcBorders>
              <w:top w:val="nil"/>
              <w:left w:val="single" w:sz="12" w:space="0" w:color="auto"/>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rPr>
                <w:rFonts w:eastAsia="Times New Roman"/>
                <w:b/>
                <w:bCs/>
                <w:color w:val="000000"/>
                <w:szCs w:val="24"/>
                <w:lang w:eastAsia="en-GB"/>
              </w:rPr>
            </w:pPr>
            <w:r w:rsidRPr="00342216">
              <w:rPr>
                <w:rFonts w:eastAsia="Times New Roman"/>
                <w:b/>
                <w:bCs/>
                <w:color w:val="000000"/>
                <w:szCs w:val="24"/>
                <w:lang w:eastAsia="en-GB"/>
              </w:rPr>
              <w:t>Band 3</w:t>
            </w:r>
          </w:p>
        </w:tc>
        <w:tc>
          <w:tcPr>
            <w:tcW w:w="87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512</w:t>
            </w:r>
          </w:p>
        </w:tc>
        <w:tc>
          <w:tcPr>
            <w:tcW w:w="75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55</w:t>
            </w:r>
          </w:p>
        </w:tc>
        <w:tc>
          <w:tcPr>
            <w:tcW w:w="1335" w:type="dxa"/>
            <w:tcBorders>
              <w:top w:val="nil"/>
              <w:left w:val="nil"/>
              <w:bottom w:val="single" w:sz="12" w:space="0" w:color="auto"/>
              <w:right w:val="single" w:sz="12" w:space="0" w:color="auto"/>
            </w:tcBorders>
            <w:shd w:val="clear" w:color="auto" w:fill="auto"/>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8</w:t>
            </w:r>
          </w:p>
        </w:tc>
        <w:tc>
          <w:tcPr>
            <w:tcW w:w="79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575</w:t>
            </w:r>
          </w:p>
        </w:tc>
        <w:tc>
          <w:tcPr>
            <w:tcW w:w="1229"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89.0%</w:t>
            </w:r>
          </w:p>
        </w:tc>
        <w:tc>
          <w:tcPr>
            <w:tcW w:w="1134" w:type="dxa"/>
            <w:tcBorders>
              <w:top w:val="nil"/>
              <w:left w:val="nil"/>
              <w:bottom w:val="single" w:sz="12" w:space="0" w:color="auto"/>
              <w:right w:val="single" w:sz="12" w:space="0" w:color="auto"/>
            </w:tcBorders>
            <w:shd w:val="clear" w:color="auto" w:fill="auto"/>
            <w:noWrap/>
            <w:vAlign w:val="center"/>
            <w:hideMark/>
          </w:tcPr>
          <w:p w:rsidR="00A97DB7" w:rsidRPr="00F67923" w:rsidRDefault="00A97DB7" w:rsidP="001E0F80">
            <w:pPr>
              <w:spacing w:after="0" w:line="240" w:lineRule="auto"/>
              <w:jc w:val="center"/>
              <w:rPr>
                <w:rFonts w:eastAsia="Times New Roman"/>
                <w:szCs w:val="24"/>
                <w:lang w:eastAsia="en-GB"/>
              </w:rPr>
            </w:pPr>
            <w:r w:rsidRPr="00F67923">
              <w:rPr>
                <w:rFonts w:eastAsia="Times New Roman"/>
                <w:szCs w:val="24"/>
                <w:lang w:eastAsia="en-GB"/>
              </w:rPr>
              <w:t>9.6%</w:t>
            </w:r>
          </w:p>
        </w:tc>
      </w:tr>
      <w:tr w:rsidR="00A97DB7" w:rsidRPr="00342216" w:rsidTr="00BE14BF">
        <w:trPr>
          <w:cantSplit/>
          <w:trHeight w:val="345"/>
          <w:tblHeader/>
          <w:jc w:val="center"/>
        </w:trPr>
        <w:tc>
          <w:tcPr>
            <w:tcW w:w="2679" w:type="dxa"/>
            <w:tcBorders>
              <w:top w:val="nil"/>
              <w:left w:val="single" w:sz="12" w:space="0" w:color="auto"/>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rPr>
                <w:rFonts w:eastAsia="Times New Roman"/>
                <w:b/>
                <w:bCs/>
                <w:color w:val="000000"/>
                <w:szCs w:val="24"/>
                <w:lang w:eastAsia="en-GB"/>
              </w:rPr>
            </w:pPr>
            <w:r w:rsidRPr="00342216">
              <w:rPr>
                <w:rFonts w:eastAsia="Times New Roman"/>
                <w:b/>
                <w:bCs/>
                <w:color w:val="000000"/>
                <w:szCs w:val="24"/>
                <w:lang w:eastAsia="en-GB"/>
              </w:rPr>
              <w:t>Band 4</w:t>
            </w:r>
          </w:p>
        </w:tc>
        <w:tc>
          <w:tcPr>
            <w:tcW w:w="87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391</w:t>
            </w:r>
          </w:p>
        </w:tc>
        <w:tc>
          <w:tcPr>
            <w:tcW w:w="75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18</w:t>
            </w:r>
          </w:p>
        </w:tc>
        <w:tc>
          <w:tcPr>
            <w:tcW w:w="1335" w:type="dxa"/>
            <w:tcBorders>
              <w:top w:val="nil"/>
              <w:left w:val="nil"/>
              <w:bottom w:val="single" w:sz="12" w:space="0" w:color="auto"/>
              <w:right w:val="single" w:sz="12" w:space="0" w:color="auto"/>
            </w:tcBorders>
            <w:shd w:val="clear" w:color="auto" w:fill="auto"/>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10</w:t>
            </w:r>
          </w:p>
        </w:tc>
        <w:tc>
          <w:tcPr>
            <w:tcW w:w="79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419</w:t>
            </w:r>
          </w:p>
        </w:tc>
        <w:tc>
          <w:tcPr>
            <w:tcW w:w="1229"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93.3%</w:t>
            </w:r>
          </w:p>
        </w:tc>
        <w:tc>
          <w:tcPr>
            <w:tcW w:w="1134" w:type="dxa"/>
            <w:tcBorders>
              <w:top w:val="nil"/>
              <w:left w:val="nil"/>
              <w:bottom w:val="single" w:sz="12" w:space="0" w:color="auto"/>
              <w:right w:val="single" w:sz="12" w:space="0" w:color="auto"/>
            </w:tcBorders>
            <w:shd w:val="clear" w:color="auto" w:fill="auto"/>
            <w:noWrap/>
            <w:vAlign w:val="center"/>
            <w:hideMark/>
          </w:tcPr>
          <w:p w:rsidR="00A97DB7" w:rsidRPr="00F67923" w:rsidRDefault="00A97DB7" w:rsidP="001E0F80">
            <w:pPr>
              <w:spacing w:after="0" w:line="240" w:lineRule="auto"/>
              <w:jc w:val="center"/>
              <w:rPr>
                <w:rFonts w:eastAsia="Times New Roman"/>
                <w:szCs w:val="24"/>
                <w:lang w:eastAsia="en-GB"/>
              </w:rPr>
            </w:pPr>
            <w:r w:rsidRPr="00F67923">
              <w:rPr>
                <w:rFonts w:eastAsia="Times New Roman"/>
                <w:szCs w:val="24"/>
                <w:lang w:eastAsia="en-GB"/>
              </w:rPr>
              <w:t>4.3%</w:t>
            </w:r>
          </w:p>
        </w:tc>
      </w:tr>
      <w:tr w:rsidR="00A97DB7" w:rsidRPr="00342216" w:rsidTr="00BE14BF">
        <w:trPr>
          <w:cantSplit/>
          <w:trHeight w:val="345"/>
          <w:tblHeader/>
          <w:jc w:val="center"/>
        </w:trPr>
        <w:tc>
          <w:tcPr>
            <w:tcW w:w="2679" w:type="dxa"/>
            <w:tcBorders>
              <w:top w:val="nil"/>
              <w:left w:val="single" w:sz="12" w:space="0" w:color="auto"/>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rPr>
                <w:rFonts w:eastAsia="Times New Roman"/>
                <w:b/>
                <w:bCs/>
                <w:color w:val="000000"/>
                <w:szCs w:val="24"/>
                <w:lang w:eastAsia="en-GB"/>
              </w:rPr>
            </w:pPr>
            <w:r w:rsidRPr="00342216">
              <w:rPr>
                <w:rFonts w:eastAsia="Times New Roman"/>
                <w:b/>
                <w:bCs/>
                <w:color w:val="000000"/>
                <w:szCs w:val="24"/>
                <w:lang w:eastAsia="en-GB"/>
              </w:rPr>
              <w:t>Band 5</w:t>
            </w:r>
          </w:p>
        </w:tc>
        <w:tc>
          <w:tcPr>
            <w:tcW w:w="87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182</w:t>
            </w:r>
          </w:p>
        </w:tc>
        <w:tc>
          <w:tcPr>
            <w:tcW w:w="75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17</w:t>
            </w:r>
          </w:p>
        </w:tc>
        <w:tc>
          <w:tcPr>
            <w:tcW w:w="1335" w:type="dxa"/>
            <w:tcBorders>
              <w:top w:val="nil"/>
              <w:left w:val="nil"/>
              <w:bottom w:val="single" w:sz="12" w:space="0" w:color="auto"/>
              <w:right w:val="single" w:sz="12" w:space="0" w:color="auto"/>
            </w:tcBorders>
            <w:shd w:val="clear" w:color="auto" w:fill="auto"/>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3</w:t>
            </w:r>
          </w:p>
        </w:tc>
        <w:tc>
          <w:tcPr>
            <w:tcW w:w="79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202</w:t>
            </w:r>
          </w:p>
        </w:tc>
        <w:tc>
          <w:tcPr>
            <w:tcW w:w="1229"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90.1%</w:t>
            </w:r>
          </w:p>
        </w:tc>
        <w:tc>
          <w:tcPr>
            <w:tcW w:w="1134" w:type="dxa"/>
            <w:tcBorders>
              <w:top w:val="nil"/>
              <w:left w:val="nil"/>
              <w:bottom w:val="single" w:sz="12" w:space="0" w:color="auto"/>
              <w:right w:val="single" w:sz="12" w:space="0" w:color="auto"/>
            </w:tcBorders>
            <w:shd w:val="clear" w:color="auto" w:fill="auto"/>
            <w:noWrap/>
            <w:vAlign w:val="center"/>
            <w:hideMark/>
          </w:tcPr>
          <w:p w:rsidR="00A97DB7" w:rsidRPr="00F67923" w:rsidRDefault="00A97DB7" w:rsidP="001E0F80">
            <w:pPr>
              <w:spacing w:after="0" w:line="240" w:lineRule="auto"/>
              <w:jc w:val="center"/>
              <w:rPr>
                <w:rFonts w:eastAsia="Times New Roman"/>
                <w:szCs w:val="24"/>
                <w:lang w:eastAsia="en-GB"/>
              </w:rPr>
            </w:pPr>
            <w:r w:rsidRPr="00F67923">
              <w:rPr>
                <w:rFonts w:eastAsia="Times New Roman"/>
                <w:szCs w:val="24"/>
                <w:lang w:eastAsia="en-GB"/>
              </w:rPr>
              <w:t>8.4%</w:t>
            </w:r>
          </w:p>
        </w:tc>
      </w:tr>
      <w:tr w:rsidR="00A97DB7" w:rsidRPr="00342216" w:rsidTr="00BE14BF">
        <w:trPr>
          <w:cantSplit/>
          <w:trHeight w:val="345"/>
          <w:tblHeader/>
          <w:jc w:val="center"/>
        </w:trPr>
        <w:tc>
          <w:tcPr>
            <w:tcW w:w="2679" w:type="dxa"/>
            <w:tcBorders>
              <w:top w:val="nil"/>
              <w:left w:val="single" w:sz="12" w:space="0" w:color="auto"/>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rPr>
                <w:rFonts w:eastAsia="Times New Roman"/>
                <w:b/>
                <w:bCs/>
                <w:color w:val="000000"/>
                <w:szCs w:val="24"/>
                <w:lang w:eastAsia="en-GB"/>
              </w:rPr>
            </w:pPr>
            <w:r w:rsidRPr="00342216">
              <w:rPr>
                <w:rFonts w:eastAsia="Times New Roman"/>
                <w:b/>
                <w:bCs/>
                <w:color w:val="000000"/>
                <w:szCs w:val="24"/>
                <w:lang w:eastAsia="en-GB"/>
              </w:rPr>
              <w:t>Band 6</w:t>
            </w:r>
          </w:p>
        </w:tc>
        <w:tc>
          <w:tcPr>
            <w:tcW w:w="87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121</w:t>
            </w:r>
          </w:p>
        </w:tc>
        <w:tc>
          <w:tcPr>
            <w:tcW w:w="75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8</w:t>
            </w:r>
          </w:p>
        </w:tc>
        <w:tc>
          <w:tcPr>
            <w:tcW w:w="1335" w:type="dxa"/>
            <w:tcBorders>
              <w:top w:val="nil"/>
              <w:left w:val="nil"/>
              <w:bottom w:val="single" w:sz="12" w:space="0" w:color="auto"/>
              <w:right w:val="single" w:sz="12" w:space="0" w:color="auto"/>
            </w:tcBorders>
            <w:shd w:val="clear" w:color="auto" w:fill="auto"/>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3</w:t>
            </w:r>
          </w:p>
        </w:tc>
        <w:tc>
          <w:tcPr>
            <w:tcW w:w="79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132</w:t>
            </w:r>
          </w:p>
        </w:tc>
        <w:tc>
          <w:tcPr>
            <w:tcW w:w="1229"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91.7%</w:t>
            </w:r>
          </w:p>
        </w:tc>
        <w:tc>
          <w:tcPr>
            <w:tcW w:w="1134" w:type="dxa"/>
            <w:tcBorders>
              <w:top w:val="nil"/>
              <w:left w:val="nil"/>
              <w:bottom w:val="single" w:sz="12" w:space="0" w:color="auto"/>
              <w:right w:val="single" w:sz="12" w:space="0" w:color="auto"/>
            </w:tcBorders>
            <w:shd w:val="clear" w:color="auto" w:fill="auto"/>
            <w:noWrap/>
            <w:vAlign w:val="center"/>
            <w:hideMark/>
          </w:tcPr>
          <w:p w:rsidR="00A97DB7" w:rsidRPr="00F67923" w:rsidRDefault="00A97DB7" w:rsidP="001E0F80">
            <w:pPr>
              <w:spacing w:after="0" w:line="240" w:lineRule="auto"/>
              <w:jc w:val="center"/>
              <w:rPr>
                <w:rFonts w:eastAsia="Times New Roman"/>
                <w:szCs w:val="24"/>
                <w:lang w:eastAsia="en-GB"/>
              </w:rPr>
            </w:pPr>
            <w:r w:rsidRPr="00F67923">
              <w:rPr>
                <w:rFonts w:eastAsia="Times New Roman"/>
                <w:szCs w:val="24"/>
                <w:lang w:eastAsia="en-GB"/>
              </w:rPr>
              <w:t>6.1%</w:t>
            </w:r>
          </w:p>
        </w:tc>
      </w:tr>
      <w:tr w:rsidR="00A97DB7" w:rsidRPr="00342216" w:rsidTr="00BE14BF">
        <w:trPr>
          <w:cantSplit/>
          <w:trHeight w:val="345"/>
          <w:tblHeader/>
          <w:jc w:val="center"/>
        </w:trPr>
        <w:tc>
          <w:tcPr>
            <w:tcW w:w="2679" w:type="dxa"/>
            <w:tcBorders>
              <w:top w:val="nil"/>
              <w:left w:val="single" w:sz="12" w:space="0" w:color="auto"/>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rPr>
                <w:rFonts w:eastAsia="Times New Roman"/>
                <w:b/>
                <w:bCs/>
                <w:color w:val="000000"/>
                <w:szCs w:val="24"/>
                <w:lang w:eastAsia="en-GB"/>
              </w:rPr>
            </w:pPr>
            <w:r w:rsidRPr="00342216">
              <w:rPr>
                <w:rFonts w:eastAsia="Times New Roman"/>
                <w:b/>
                <w:bCs/>
                <w:color w:val="000000"/>
                <w:szCs w:val="24"/>
                <w:lang w:eastAsia="en-GB"/>
              </w:rPr>
              <w:t>Band 7</w:t>
            </w:r>
          </w:p>
        </w:tc>
        <w:tc>
          <w:tcPr>
            <w:tcW w:w="87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95</w:t>
            </w:r>
          </w:p>
        </w:tc>
        <w:tc>
          <w:tcPr>
            <w:tcW w:w="75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8</w:t>
            </w:r>
          </w:p>
        </w:tc>
        <w:tc>
          <w:tcPr>
            <w:tcW w:w="1335" w:type="dxa"/>
            <w:tcBorders>
              <w:top w:val="nil"/>
              <w:left w:val="nil"/>
              <w:bottom w:val="single" w:sz="12" w:space="0" w:color="auto"/>
              <w:right w:val="single" w:sz="12" w:space="0" w:color="auto"/>
            </w:tcBorders>
            <w:shd w:val="clear" w:color="auto" w:fill="auto"/>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3</w:t>
            </w:r>
          </w:p>
        </w:tc>
        <w:tc>
          <w:tcPr>
            <w:tcW w:w="79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106</w:t>
            </w:r>
          </w:p>
        </w:tc>
        <w:tc>
          <w:tcPr>
            <w:tcW w:w="1229"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89.6%</w:t>
            </w:r>
          </w:p>
        </w:tc>
        <w:tc>
          <w:tcPr>
            <w:tcW w:w="1134" w:type="dxa"/>
            <w:tcBorders>
              <w:top w:val="nil"/>
              <w:left w:val="nil"/>
              <w:bottom w:val="single" w:sz="12" w:space="0" w:color="auto"/>
              <w:right w:val="single" w:sz="12" w:space="0" w:color="auto"/>
            </w:tcBorders>
            <w:shd w:val="clear" w:color="auto" w:fill="auto"/>
            <w:noWrap/>
            <w:vAlign w:val="center"/>
            <w:hideMark/>
          </w:tcPr>
          <w:p w:rsidR="00A97DB7" w:rsidRPr="00F67923" w:rsidRDefault="00A97DB7" w:rsidP="001E0F80">
            <w:pPr>
              <w:spacing w:after="0" w:line="240" w:lineRule="auto"/>
              <w:jc w:val="center"/>
              <w:rPr>
                <w:rFonts w:eastAsia="Times New Roman"/>
                <w:szCs w:val="24"/>
                <w:lang w:eastAsia="en-GB"/>
              </w:rPr>
            </w:pPr>
            <w:r w:rsidRPr="00F67923">
              <w:rPr>
                <w:rFonts w:eastAsia="Times New Roman"/>
                <w:szCs w:val="24"/>
                <w:lang w:eastAsia="en-GB"/>
              </w:rPr>
              <w:t>7.5%</w:t>
            </w:r>
          </w:p>
        </w:tc>
      </w:tr>
      <w:tr w:rsidR="00A97DB7" w:rsidRPr="00342216" w:rsidTr="00BE14BF">
        <w:trPr>
          <w:cantSplit/>
          <w:trHeight w:val="345"/>
          <w:tblHeader/>
          <w:jc w:val="center"/>
        </w:trPr>
        <w:tc>
          <w:tcPr>
            <w:tcW w:w="2679" w:type="dxa"/>
            <w:tcBorders>
              <w:top w:val="nil"/>
              <w:left w:val="single" w:sz="12" w:space="0" w:color="auto"/>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rPr>
                <w:rFonts w:eastAsia="Times New Roman"/>
                <w:b/>
                <w:bCs/>
                <w:color w:val="000000"/>
                <w:szCs w:val="24"/>
                <w:lang w:eastAsia="en-GB"/>
              </w:rPr>
            </w:pPr>
            <w:r w:rsidRPr="00342216">
              <w:rPr>
                <w:rFonts w:eastAsia="Times New Roman"/>
                <w:b/>
                <w:bCs/>
                <w:color w:val="000000"/>
                <w:szCs w:val="24"/>
                <w:lang w:eastAsia="en-GB"/>
              </w:rPr>
              <w:t>Band 8a</w:t>
            </w:r>
          </w:p>
        </w:tc>
        <w:tc>
          <w:tcPr>
            <w:tcW w:w="87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61</w:t>
            </w:r>
          </w:p>
        </w:tc>
        <w:tc>
          <w:tcPr>
            <w:tcW w:w="75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8</w:t>
            </w:r>
          </w:p>
        </w:tc>
        <w:tc>
          <w:tcPr>
            <w:tcW w:w="1335" w:type="dxa"/>
            <w:tcBorders>
              <w:top w:val="nil"/>
              <w:left w:val="nil"/>
              <w:bottom w:val="single" w:sz="12" w:space="0" w:color="auto"/>
              <w:right w:val="single" w:sz="12" w:space="0" w:color="auto"/>
            </w:tcBorders>
            <w:shd w:val="clear" w:color="auto" w:fill="auto"/>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2</w:t>
            </w:r>
          </w:p>
        </w:tc>
        <w:tc>
          <w:tcPr>
            <w:tcW w:w="79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71</w:t>
            </w:r>
          </w:p>
        </w:tc>
        <w:tc>
          <w:tcPr>
            <w:tcW w:w="1229"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85.9%</w:t>
            </w:r>
          </w:p>
        </w:tc>
        <w:tc>
          <w:tcPr>
            <w:tcW w:w="1134" w:type="dxa"/>
            <w:tcBorders>
              <w:top w:val="nil"/>
              <w:left w:val="nil"/>
              <w:bottom w:val="single" w:sz="12" w:space="0" w:color="auto"/>
              <w:right w:val="single" w:sz="12" w:space="0" w:color="auto"/>
            </w:tcBorders>
            <w:shd w:val="clear" w:color="auto" w:fill="auto"/>
            <w:noWrap/>
            <w:vAlign w:val="center"/>
            <w:hideMark/>
          </w:tcPr>
          <w:p w:rsidR="00A97DB7" w:rsidRPr="00F67923" w:rsidRDefault="00A97DB7" w:rsidP="001E0F80">
            <w:pPr>
              <w:spacing w:after="0" w:line="240" w:lineRule="auto"/>
              <w:jc w:val="center"/>
              <w:rPr>
                <w:rFonts w:eastAsia="Times New Roman"/>
                <w:szCs w:val="24"/>
                <w:lang w:eastAsia="en-GB"/>
              </w:rPr>
            </w:pPr>
            <w:r w:rsidRPr="00F67923">
              <w:rPr>
                <w:rFonts w:eastAsia="Times New Roman"/>
                <w:szCs w:val="24"/>
                <w:lang w:eastAsia="en-GB"/>
              </w:rPr>
              <w:t>11.3%</w:t>
            </w:r>
          </w:p>
        </w:tc>
      </w:tr>
      <w:tr w:rsidR="00A97DB7" w:rsidRPr="00342216" w:rsidTr="00BE14BF">
        <w:trPr>
          <w:cantSplit/>
          <w:trHeight w:val="345"/>
          <w:tblHeader/>
          <w:jc w:val="center"/>
        </w:trPr>
        <w:tc>
          <w:tcPr>
            <w:tcW w:w="2679" w:type="dxa"/>
            <w:tcBorders>
              <w:top w:val="nil"/>
              <w:left w:val="single" w:sz="12" w:space="0" w:color="auto"/>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rPr>
                <w:rFonts w:eastAsia="Times New Roman"/>
                <w:b/>
                <w:bCs/>
                <w:color w:val="000000"/>
                <w:szCs w:val="24"/>
                <w:lang w:eastAsia="en-GB"/>
              </w:rPr>
            </w:pPr>
            <w:r w:rsidRPr="00342216">
              <w:rPr>
                <w:rFonts w:eastAsia="Times New Roman"/>
                <w:b/>
                <w:bCs/>
                <w:color w:val="000000"/>
                <w:szCs w:val="24"/>
                <w:lang w:eastAsia="en-GB"/>
              </w:rPr>
              <w:t>Band 8b</w:t>
            </w:r>
          </w:p>
        </w:tc>
        <w:tc>
          <w:tcPr>
            <w:tcW w:w="87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50</w:t>
            </w:r>
          </w:p>
        </w:tc>
        <w:tc>
          <w:tcPr>
            <w:tcW w:w="75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3</w:t>
            </w:r>
          </w:p>
        </w:tc>
        <w:tc>
          <w:tcPr>
            <w:tcW w:w="1335" w:type="dxa"/>
            <w:tcBorders>
              <w:top w:val="nil"/>
              <w:left w:val="nil"/>
              <w:bottom w:val="single" w:sz="12" w:space="0" w:color="auto"/>
              <w:right w:val="single" w:sz="12" w:space="0" w:color="auto"/>
            </w:tcBorders>
            <w:shd w:val="clear" w:color="auto" w:fill="auto"/>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0</w:t>
            </w:r>
          </w:p>
        </w:tc>
        <w:tc>
          <w:tcPr>
            <w:tcW w:w="79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53</w:t>
            </w:r>
          </w:p>
        </w:tc>
        <w:tc>
          <w:tcPr>
            <w:tcW w:w="1229"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94.3%</w:t>
            </w:r>
          </w:p>
        </w:tc>
        <w:tc>
          <w:tcPr>
            <w:tcW w:w="1134" w:type="dxa"/>
            <w:tcBorders>
              <w:top w:val="nil"/>
              <w:left w:val="nil"/>
              <w:bottom w:val="single" w:sz="12" w:space="0" w:color="auto"/>
              <w:right w:val="single" w:sz="12" w:space="0" w:color="auto"/>
            </w:tcBorders>
            <w:shd w:val="clear" w:color="auto" w:fill="auto"/>
            <w:noWrap/>
            <w:vAlign w:val="center"/>
            <w:hideMark/>
          </w:tcPr>
          <w:p w:rsidR="00A97DB7" w:rsidRPr="00F67923" w:rsidRDefault="00A97DB7" w:rsidP="001E0F80">
            <w:pPr>
              <w:spacing w:after="0" w:line="240" w:lineRule="auto"/>
              <w:jc w:val="center"/>
              <w:rPr>
                <w:rFonts w:eastAsia="Times New Roman"/>
                <w:szCs w:val="24"/>
                <w:lang w:eastAsia="en-GB"/>
              </w:rPr>
            </w:pPr>
            <w:r w:rsidRPr="00F67923">
              <w:rPr>
                <w:rFonts w:eastAsia="Times New Roman"/>
                <w:szCs w:val="24"/>
                <w:lang w:eastAsia="en-GB"/>
              </w:rPr>
              <w:t>5.7%</w:t>
            </w:r>
          </w:p>
        </w:tc>
      </w:tr>
      <w:tr w:rsidR="00A97DB7" w:rsidRPr="00342216" w:rsidTr="00BE14BF">
        <w:trPr>
          <w:cantSplit/>
          <w:trHeight w:val="345"/>
          <w:tblHeader/>
          <w:jc w:val="center"/>
        </w:trPr>
        <w:tc>
          <w:tcPr>
            <w:tcW w:w="2679" w:type="dxa"/>
            <w:tcBorders>
              <w:top w:val="nil"/>
              <w:left w:val="single" w:sz="12" w:space="0" w:color="auto"/>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rPr>
                <w:rFonts w:eastAsia="Times New Roman"/>
                <w:b/>
                <w:bCs/>
                <w:color w:val="000000"/>
                <w:szCs w:val="24"/>
                <w:lang w:eastAsia="en-GB"/>
              </w:rPr>
            </w:pPr>
            <w:r w:rsidRPr="00342216">
              <w:rPr>
                <w:rFonts w:eastAsia="Times New Roman"/>
                <w:b/>
                <w:bCs/>
                <w:color w:val="000000"/>
                <w:szCs w:val="24"/>
                <w:lang w:eastAsia="en-GB"/>
              </w:rPr>
              <w:t>Band 8c</w:t>
            </w:r>
          </w:p>
        </w:tc>
        <w:tc>
          <w:tcPr>
            <w:tcW w:w="87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18</w:t>
            </w:r>
          </w:p>
        </w:tc>
        <w:tc>
          <w:tcPr>
            <w:tcW w:w="75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2</w:t>
            </w:r>
          </w:p>
        </w:tc>
        <w:tc>
          <w:tcPr>
            <w:tcW w:w="1335" w:type="dxa"/>
            <w:tcBorders>
              <w:top w:val="nil"/>
              <w:left w:val="nil"/>
              <w:bottom w:val="single" w:sz="12" w:space="0" w:color="auto"/>
              <w:right w:val="single" w:sz="12" w:space="0" w:color="auto"/>
            </w:tcBorders>
            <w:shd w:val="clear" w:color="auto" w:fill="auto"/>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1</w:t>
            </w:r>
          </w:p>
        </w:tc>
        <w:tc>
          <w:tcPr>
            <w:tcW w:w="79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21</w:t>
            </w:r>
          </w:p>
        </w:tc>
        <w:tc>
          <w:tcPr>
            <w:tcW w:w="1229"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85.7%</w:t>
            </w:r>
          </w:p>
        </w:tc>
        <w:tc>
          <w:tcPr>
            <w:tcW w:w="1134" w:type="dxa"/>
            <w:tcBorders>
              <w:top w:val="nil"/>
              <w:left w:val="nil"/>
              <w:bottom w:val="single" w:sz="12" w:space="0" w:color="auto"/>
              <w:right w:val="single" w:sz="12" w:space="0" w:color="auto"/>
            </w:tcBorders>
            <w:shd w:val="clear" w:color="auto" w:fill="auto"/>
            <w:noWrap/>
            <w:vAlign w:val="center"/>
            <w:hideMark/>
          </w:tcPr>
          <w:p w:rsidR="00A97DB7" w:rsidRPr="00F67923" w:rsidRDefault="00A97DB7" w:rsidP="001E0F80">
            <w:pPr>
              <w:spacing w:after="0" w:line="240" w:lineRule="auto"/>
              <w:jc w:val="center"/>
              <w:rPr>
                <w:rFonts w:eastAsia="Times New Roman"/>
                <w:szCs w:val="24"/>
                <w:lang w:eastAsia="en-GB"/>
              </w:rPr>
            </w:pPr>
            <w:r w:rsidRPr="00F67923">
              <w:rPr>
                <w:rFonts w:eastAsia="Times New Roman"/>
                <w:szCs w:val="24"/>
                <w:lang w:eastAsia="en-GB"/>
              </w:rPr>
              <w:t>9.5%</w:t>
            </w:r>
          </w:p>
        </w:tc>
      </w:tr>
      <w:tr w:rsidR="00A97DB7" w:rsidRPr="00342216" w:rsidTr="00BE14BF">
        <w:trPr>
          <w:cantSplit/>
          <w:trHeight w:val="345"/>
          <w:tblHeader/>
          <w:jc w:val="center"/>
        </w:trPr>
        <w:tc>
          <w:tcPr>
            <w:tcW w:w="2679" w:type="dxa"/>
            <w:tcBorders>
              <w:top w:val="nil"/>
              <w:left w:val="single" w:sz="12" w:space="0" w:color="auto"/>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rPr>
                <w:rFonts w:eastAsia="Times New Roman"/>
                <w:b/>
                <w:bCs/>
                <w:color w:val="000000"/>
                <w:szCs w:val="24"/>
                <w:lang w:eastAsia="en-GB"/>
              </w:rPr>
            </w:pPr>
            <w:r w:rsidRPr="00342216">
              <w:rPr>
                <w:rFonts w:eastAsia="Times New Roman"/>
                <w:b/>
                <w:bCs/>
                <w:color w:val="000000"/>
                <w:szCs w:val="24"/>
                <w:lang w:eastAsia="en-GB"/>
              </w:rPr>
              <w:t>Band 8d</w:t>
            </w:r>
          </w:p>
        </w:tc>
        <w:tc>
          <w:tcPr>
            <w:tcW w:w="87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9</w:t>
            </w:r>
          </w:p>
        </w:tc>
        <w:tc>
          <w:tcPr>
            <w:tcW w:w="75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2</w:t>
            </w:r>
          </w:p>
        </w:tc>
        <w:tc>
          <w:tcPr>
            <w:tcW w:w="1335" w:type="dxa"/>
            <w:tcBorders>
              <w:top w:val="nil"/>
              <w:left w:val="nil"/>
              <w:bottom w:val="single" w:sz="12" w:space="0" w:color="auto"/>
              <w:right w:val="single" w:sz="12" w:space="0" w:color="auto"/>
            </w:tcBorders>
            <w:shd w:val="clear" w:color="auto" w:fill="auto"/>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0</w:t>
            </w:r>
          </w:p>
        </w:tc>
        <w:tc>
          <w:tcPr>
            <w:tcW w:w="79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11</w:t>
            </w:r>
          </w:p>
        </w:tc>
        <w:tc>
          <w:tcPr>
            <w:tcW w:w="1229"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81.8%</w:t>
            </w:r>
          </w:p>
        </w:tc>
        <w:tc>
          <w:tcPr>
            <w:tcW w:w="1134" w:type="dxa"/>
            <w:tcBorders>
              <w:top w:val="nil"/>
              <w:left w:val="nil"/>
              <w:bottom w:val="single" w:sz="12" w:space="0" w:color="auto"/>
              <w:right w:val="single" w:sz="12" w:space="0" w:color="auto"/>
            </w:tcBorders>
            <w:shd w:val="clear" w:color="auto" w:fill="auto"/>
            <w:noWrap/>
            <w:vAlign w:val="center"/>
            <w:hideMark/>
          </w:tcPr>
          <w:p w:rsidR="00A97DB7" w:rsidRPr="00F67923" w:rsidRDefault="00A97DB7" w:rsidP="001E0F80">
            <w:pPr>
              <w:spacing w:after="0" w:line="240" w:lineRule="auto"/>
              <w:jc w:val="center"/>
              <w:rPr>
                <w:rFonts w:eastAsia="Times New Roman"/>
                <w:szCs w:val="24"/>
                <w:lang w:eastAsia="en-GB"/>
              </w:rPr>
            </w:pPr>
            <w:r w:rsidRPr="00F67923">
              <w:rPr>
                <w:rFonts w:eastAsia="Times New Roman"/>
                <w:szCs w:val="24"/>
                <w:lang w:eastAsia="en-GB"/>
              </w:rPr>
              <w:t>18.2%</w:t>
            </w:r>
          </w:p>
        </w:tc>
      </w:tr>
      <w:tr w:rsidR="00A97DB7" w:rsidRPr="00342216" w:rsidTr="00BE14BF">
        <w:trPr>
          <w:cantSplit/>
          <w:trHeight w:val="345"/>
          <w:tblHeader/>
          <w:jc w:val="center"/>
        </w:trPr>
        <w:tc>
          <w:tcPr>
            <w:tcW w:w="2679" w:type="dxa"/>
            <w:tcBorders>
              <w:top w:val="nil"/>
              <w:left w:val="single" w:sz="12" w:space="0" w:color="auto"/>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rPr>
                <w:rFonts w:eastAsia="Times New Roman"/>
                <w:b/>
                <w:bCs/>
                <w:color w:val="000000"/>
                <w:szCs w:val="24"/>
                <w:lang w:eastAsia="en-GB"/>
              </w:rPr>
            </w:pPr>
            <w:r w:rsidRPr="00342216">
              <w:rPr>
                <w:rFonts w:eastAsia="Times New Roman"/>
                <w:b/>
                <w:bCs/>
                <w:color w:val="000000"/>
                <w:szCs w:val="24"/>
                <w:lang w:eastAsia="en-GB"/>
              </w:rPr>
              <w:t>Band 9</w:t>
            </w:r>
          </w:p>
        </w:tc>
        <w:tc>
          <w:tcPr>
            <w:tcW w:w="87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12</w:t>
            </w:r>
          </w:p>
        </w:tc>
        <w:tc>
          <w:tcPr>
            <w:tcW w:w="75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1</w:t>
            </w:r>
          </w:p>
        </w:tc>
        <w:tc>
          <w:tcPr>
            <w:tcW w:w="1335" w:type="dxa"/>
            <w:tcBorders>
              <w:top w:val="nil"/>
              <w:left w:val="nil"/>
              <w:bottom w:val="single" w:sz="12" w:space="0" w:color="auto"/>
              <w:right w:val="single" w:sz="12" w:space="0" w:color="auto"/>
            </w:tcBorders>
            <w:shd w:val="clear" w:color="auto" w:fill="auto"/>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1</w:t>
            </w:r>
          </w:p>
        </w:tc>
        <w:tc>
          <w:tcPr>
            <w:tcW w:w="79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14</w:t>
            </w:r>
          </w:p>
        </w:tc>
        <w:tc>
          <w:tcPr>
            <w:tcW w:w="1229"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85.7%</w:t>
            </w:r>
          </w:p>
        </w:tc>
        <w:tc>
          <w:tcPr>
            <w:tcW w:w="1134" w:type="dxa"/>
            <w:tcBorders>
              <w:top w:val="nil"/>
              <w:left w:val="nil"/>
              <w:bottom w:val="single" w:sz="12" w:space="0" w:color="auto"/>
              <w:right w:val="single" w:sz="12" w:space="0" w:color="auto"/>
            </w:tcBorders>
            <w:shd w:val="clear" w:color="auto" w:fill="auto"/>
            <w:noWrap/>
            <w:vAlign w:val="center"/>
            <w:hideMark/>
          </w:tcPr>
          <w:p w:rsidR="00A97DB7" w:rsidRPr="00F67923" w:rsidRDefault="00A97DB7" w:rsidP="001E0F80">
            <w:pPr>
              <w:spacing w:after="0" w:line="240" w:lineRule="auto"/>
              <w:jc w:val="center"/>
              <w:rPr>
                <w:rFonts w:eastAsia="Times New Roman"/>
                <w:szCs w:val="24"/>
                <w:lang w:eastAsia="en-GB"/>
              </w:rPr>
            </w:pPr>
            <w:r w:rsidRPr="00F67923">
              <w:rPr>
                <w:rFonts w:eastAsia="Times New Roman"/>
                <w:szCs w:val="24"/>
                <w:lang w:eastAsia="en-GB"/>
              </w:rPr>
              <w:t>7.1%</w:t>
            </w:r>
          </w:p>
        </w:tc>
      </w:tr>
      <w:tr w:rsidR="00A97DB7" w:rsidRPr="00342216" w:rsidTr="00BE14BF">
        <w:trPr>
          <w:cantSplit/>
          <w:trHeight w:val="345"/>
          <w:tblHeader/>
          <w:jc w:val="center"/>
        </w:trPr>
        <w:tc>
          <w:tcPr>
            <w:tcW w:w="2679" w:type="dxa"/>
            <w:tcBorders>
              <w:top w:val="nil"/>
              <w:left w:val="single" w:sz="12" w:space="0" w:color="auto"/>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rPr>
                <w:rFonts w:eastAsia="Times New Roman"/>
                <w:b/>
                <w:bCs/>
                <w:color w:val="000000"/>
                <w:szCs w:val="24"/>
                <w:lang w:eastAsia="en-GB"/>
              </w:rPr>
            </w:pPr>
            <w:r w:rsidRPr="00342216">
              <w:rPr>
                <w:rFonts w:eastAsia="Times New Roman"/>
                <w:b/>
                <w:bCs/>
                <w:color w:val="000000"/>
                <w:szCs w:val="24"/>
                <w:lang w:eastAsia="en-GB"/>
              </w:rPr>
              <w:t>VSM</w:t>
            </w:r>
          </w:p>
        </w:tc>
        <w:tc>
          <w:tcPr>
            <w:tcW w:w="87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5</w:t>
            </w:r>
          </w:p>
        </w:tc>
        <w:tc>
          <w:tcPr>
            <w:tcW w:w="75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0</w:t>
            </w:r>
          </w:p>
        </w:tc>
        <w:tc>
          <w:tcPr>
            <w:tcW w:w="1335" w:type="dxa"/>
            <w:tcBorders>
              <w:top w:val="nil"/>
              <w:left w:val="nil"/>
              <w:bottom w:val="single" w:sz="12" w:space="0" w:color="auto"/>
              <w:right w:val="single" w:sz="12" w:space="0" w:color="auto"/>
            </w:tcBorders>
            <w:shd w:val="clear" w:color="auto" w:fill="auto"/>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3</w:t>
            </w:r>
          </w:p>
        </w:tc>
        <w:tc>
          <w:tcPr>
            <w:tcW w:w="79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8</w:t>
            </w:r>
          </w:p>
        </w:tc>
        <w:tc>
          <w:tcPr>
            <w:tcW w:w="1229"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62.5%</w:t>
            </w:r>
          </w:p>
        </w:tc>
        <w:tc>
          <w:tcPr>
            <w:tcW w:w="1134" w:type="dxa"/>
            <w:tcBorders>
              <w:top w:val="nil"/>
              <w:left w:val="nil"/>
              <w:bottom w:val="single" w:sz="12" w:space="0" w:color="auto"/>
              <w:right w:val="single" w:sz="12" w:space="0" w:color="auto"/>
            </w:tcBorders>
            <w:shd w:val="clear" w:color="auto" w:fill="auto"/>
            <w:noWrap/>
            <w:vAlign w:val="center"/>
            <w:hideMark/>
          </w:tcPr>
          <w:p w:rsidR="00A97DB7" w:rsidRPr="00F67923" w:rsidRDefault="00A97DB7" w:rsidP="001E0F80">
            <w:pPr>
              <w:spacing w:after="0" w:line="240" w:lineRule="auto"/>
              <w:jc w:val="center"/>
              <w:rPr>
                <w:rFonts w:eastAsia="Times New Roman"/>
                <w:szCs w:val="24"/>
                <w:lang w:eastAsia="en-GB"/>
              </w:rPr>
            </w:pPr>
            <w:r w:rsidRPr="00F67923">
              <w:rPr>
                <w:rFonts w:eastAsia="Times New Roman"/>
                <w:szCs w:val="24"/>
                <w:lang w:eastAsia="en-GB"/>
              </w:rPr>
              <w:t>0.0%</w:t>
            </w:r>
          </w:p>
        </w:tc>
      </w:tr>
      <w:tr w:rsidR="00A97DB7" w:rsidRPr="00342216" w:rsidTr="00BE14BF">
        <w:trPr>
          <w:cantSplit/>
          <w:trHeight w:val="345"/>
          <w:tblHeader/>
          <w:jc w:val="center"/>
        </w:trPr>
        <w:tc>
          <w:tcPr>
            <w:tcW w:w="2679" w:type="dxa"/>
            <w:tcBorders>
              <w:top w:val="nil"/>
              <w:left w:val="single" w:sz="12" w:space="0" w:color="auto"/>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rPr>
                <w:rFonts w:eastAsia="Times New Roman"/>
                <w:b/>
                <w:bCs/>
                <w:color w:val="000000"/>
                <w:szCs w:val="24"/>
                <w:lang w:eastAsia="en-GB"/>
              </w:rPr>
            </w:pPr>
            <w:r w:rsidRPr="00342216">
              <w:rPr>
                <w:rFonts w:eastAsia="Times New Roman"/>
                <w:b/>
                <w:bCs/>
                <w:color w:val="000000"/>
                <w:szCs w:val="24"/>
                <w:lang w:eastAsia="en-GB"/>
              </w:rPr>
              <w:t>Local Pay Scale</w:t>
            </w:r>
          </w:p>
        </w:tc>
        <w:tc>
          <w:tcPr>
            <w:tcW w:w="87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1</w:t>
            </w:r>
          </w:p>
        </w:tc>
        <w:tc>
          <w:tcPr>
            <w:tcW w:w="75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0</w:t>
            </w:r>
          </w:p>
        </w:tc>
        <w:tc>
          <w:tcPr>
            <w:tcW w:w="1335" w:type="dxa"/>
            <w:tcBorders>
              <w:top w:val="nil"/>
              <w:left w:val="nil"/>
              <w:bottom w:val="single" w:sz="12" w:space="0" w:color="auto"/>
              <w:right w:val="single" w:sz="12" w:space="0" w:color="auto"/>
            </w:tcBorders>
            <w:shd w:val="clear" w:color="auto" w:fill="auto"/>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0</w:t>
            </w:r>
          </w:p>
        </w:tc>
        <w:tc>
          <w:tcPr>
            <w:tcW w:w="790"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1</w:t>
            </w:r>
          </w:p>
        </w:tc>
        <w:tc>
          <w:tcPr>
            <w:tcW w:w="1229" w:type="dxa"/>
            <w:tcBorders>
              <w:top w:val="nil"/>
              <w:left w:val="nil"/>
              <w:bottom w:val="single" w:sz="12" w:space="0" w:color="auto"/>
              <w:right w:val="single" w:sz="12" w:space="0" w:color="auto"/>
            </w:tcBorders>
            <w:shd w:val="clear" w:color="auto" w:fill="auto"/>
            <w:noWrap/>
            <w:vAlign w:val="center"/>
            <w:hideMark/>
          </w:tcPr>
          <w:p w:rsidR="00A97DB7" w:rsidRPr="00342216" w:rsidRDefault="00A97DB7" w:rsidP="001E0F80">
            <w:pPr>
              <w:spacing w:after="0" w:line="240" w:lineRule="auto"/>
              <w:jc w:val="center"/>
              <w:rPr>
                <w:rFonts w:eastAsia="Times New Roman"/>
                <w:color w:val="000000"/>
                <w:szCs w:val="24"/>
                <w:lang w:eastAsia="en-GB"/>
              </w:rPr>
            </w:pPr>
            <w:r w:rsidRPr="00342216">
              <w:rPr>
                <w:rFonts w:eastAsia="Times New Roman"/>
                <w:color w:val="000000"/>
                <w:szCs w:val="24"/>
                <w:lang w:eastAsia="en-GB"/>
              </w:rPr>
              <w:t>100.0%</w:t>
            </w:r>
          </w:p>
        </w:tc>
        <w:tc>
          <w:tcPr>
            <w:tcW w:w="1134" w:type="dxa"/>
            <w:tcBorders>
              <w:top w:val="nil"/>
              <w:left w:val="nil"/>
              <w:bottom w:val="single" w:sz="12" w:space="0" w:color="auto"/>
              <w:right w:val="single" w:sz="12" w:space="0" w:color="auto"/>
            </w:tcBorders>
            <w:shd w:val="clear" w:color="auto" w:fill="auto"/>
            <w:noWrap/>
            <w:vAlign w:val="center"/>
            <w:hideMark/>
          </w:tcPr>
          <w:p w:rsidR="00A97DB7" w:rsidRPr="00F67923" w:rsidRDefault="00A97DB7" w:rsidP="001E0F80">
            <w:pPr>
              <w:spacing w:after="0" w:line="240" w:lineRule="auto"/>
              <w:jc w:val="center"/>
              <w:rPr>
                <w:rFonts w:eastAsia="Times New Roman"/>
                <w:szCs w:val="24"/>
                <w:lang w:eastAsia="en-GB"/>
              </w:rPr>
            </w:pPr>
            <w:r w:rsidRPr="00F67923">
              <w:rPr>
                <w:rFonts w:eastAsia="Times New Roman"/>
                <w:szCs w:val="24"/>
                <w:lang w:eastAsia="en-GB"/>
              </w:rPr>
              <w:t>0.0%</w:t>
            </w:r>
          </w:p>
        </w:tc>
      </w:tr>
      <w:tr w:rsidR="00F67923" w:rsidRPr="00F67923" w:rsidTr="00BE14BF">
        <w:trPr>
          <w:cantSplit/>
          <w:trHeight w:val="345"/>
          <w:tblHeader/>
          <w:jc w:val="center"/>
        </w:trPr>
        <w:tc>
          <w:tcPr>
            <w:tcW w:w="2679" w:type="dxa"/>
            <w:tcBorders>
              <w:top w:val="nil"/>
              <w:left w:val="single" w:sz="12" w:space="0" w:color="auto"/>
              <w:bottom w:val="single" w:sz="12" w:space="0" w:color="auto"/>
              <w:right w:val="single" w:sz="12" w:space="0" w:color="auto"/>
            </w:tcBorders>
            <w:shd w:val="clear" w:color="auto" w:fill="auto"/>
            <w:noWrap/>
            <w:vAlign w:val="center"/>
            <w:hideMark/>
          </w:tcPr>
          <w:p w:rsidR="00A97DB7" w:rsidRPr="00F67923" w:rsidRDefault="00CF4848" w:rsidP="00BE14BF">
            <w:pPr>
              <w:spacing w:after="0" w:line="240" w:lineRule="auto"/>
              <w:rPr>
                <w:rFonts w:eastAsia="Times New Roman"/>
                <w:b/>
                <w:bCs/>
                <w:szCs w:val="24"/>
                <w:lang w:eastAsia="en-GB"/>
              </w:rPr>
            </w:pPr>
            <w:r>
              <w:rPr>
                <w:rFonts w:eastAsia="Times New Roman"/>
                <w:b/>
                <w:bCs/>
                <w:szCs w:val="24"/>
                <w:lang w:eastAsia="en-GB"/>
              </w:rPr>
              <w:t xml:space="preserve">All </w:t>
            </w:r>
            <w:r w:rsidR="00BE14BF">
              <w:rPr>
                <w:rFonts w:eastAsia="Times New Roman"/>
                <w:b/>
                <w:bCs/>
                <w:szCs w:val="24"/>
                <w:lang w:eastAsia="en-GB"/>
              </w:rPr>
              <w:t>N</w:t>
            </w:r>
            <w:r>
              <w:rPr>
                <w:rFonts w:eastAsia="Times New Roman"/>
                <w:b/>
                <w:bCs/>
                <w:szCs w:val="24"/>
                <w:lang w:eastAsia="en-GB"/>
              </w:rPr>
              <w:t xml:space="preserve">on-clinical </w:t>
            </w:r>
            <w:r w:rsidR="00BE14BF">
              <w:rPr>
                <w:rFonts w:eastAsia="Times New Roman"/>
                <w:b/>
                <w:bCs/>
                <w:szCs w:val="24"/>
                <w:lang w:eastAsia="en-GB"/>
              </w:rPr>
              <w:t>R</w:t>
            </w:r>
            <w:r>
              <w:rPr>
                <w:rFonts w:eastAsia="Times New Roman"/>
                <w:b/>
                <w:bCs/>
                <w:szCs w:val="24"/>
                <w:lang w:eastAsia="en-GB"/>
              </w:rPr>
              <w:t>oles</w:t>
            </w:r>
          </w:p>
        </w:tc>
        <w:tc>
          <w:tcPr>
            <w:tcW w:w="870" w:type="dxa"/>
            <w:tcBorders>
              <w:top w:val="nil"/>
              <w:left w:val="nil"/>
              <w:bottom w:val="single" w:sz="12" w:space="0" w:color="auto"/>
              <w:right w:val="single" w:sz="12" w:space="0" w:color="auto"/>
            </w:tcBorders>
            <w:shd w:val="clear" w:color="auto" w:fill="auto"/>
            <w:noWrap/>
            <w:vAlign w:val="center"/>
            <w:hideMark/>
          </w:tcPr>
          <w:p w:rsidR="00A97DB7" w:rsidRPr="00F67923" w:rsidRDefault="00A97DB7" w:rsidP="001E0F80">
            <w:pPr>
              <w:spacing w:after="0" w:line="240" w:lineRule="auto"/>
              <w:jc w:val="center"/>
              <w:rPr>
                <w:rFonts w:eastAsia="Times New Roman"/>
                <w:bCs/>
                <w:szCs w:val="24"/>
                <w:lang w:eastAsia="en-GB"/>
              </w:rPr>
            </w:pPr>
            <w:r w:rsidRPr="00F67923">
              <w:rPr>
                <w:rFonts w:eastAsia="Times New Roman"/>
                <w:bCs/>
                <w:szCs w:val="24"/>
                <w:lang w:eastAsia="en-GB"/>
              </w:rPr>
              <w:t>2155</w:t>
            </w:r>
          </w:p>
        </w:tc>
        <w:tc>
          <w:tcPr>
            <w:tcW w:w="750" w:type="dxa"/>
            <w:tcBorders>
              <w:top w:val="nil"/>
              <w:left w:val="nil"/>
              <w:bottom w:val="single" w:sz="12" w:space="0" w:color="auto"/>
              <w:right w:val="single" w:sz="12" w:space="0" w:color="auto"/>
            </w:tcBorders>
            <w:shd w:val="clear" w:color="auto" w:fill="auto"/>
            <w:noWrap/>
            <w:vAlign w:val="center"/>
            <w:hideMark/>
          </w:tcPr>
          <w:p w:rsidR="00A97DB7" w:rsidRPr="00F67923" w:rsidRDefault="00A97DB7" w:rsidP="001E0F80">
            <w:pPr>
              <w:spacing w:after="0" w:line="240" w:lineRule="auto"/>
              <w:jc w:val="center"/>
              <w:rPr>
                <w:rFonts w:eastAsia="Times New Roman"/>
                <w:bCs/>
                <w:szCs w:val="24"/>
                <w:lang w:eastAsia="en-GB"/>
              </w:rPr>
            </w:pPr>
            <w:r w:rsidRPr="00F67923">
              <w:rPr>
                <w:rFonts w:eastAsia="Times New Roman"/>
                <w:bCs/>
                <w:szCs w:val="24"/>
                <w:lang w:eastAsia="en-GB"/>
              </w:rPr>
              <w:t>255</w:t>
            </w:r>
          </w:p>
        </w:tc>
        <w:tc>
          <w:tcPr>
            <w:tcW w:w="1335" w:type="dxa"/>
            <w:tcBorders>
              <w:top w:val="nil"/>
              <w:left w:val="nil"/>
              <w:bottom w:val="single" w:sz="12" w:space="0" w:color="auto"/>
              <w:right w:val="single" w:sz="12" w:space="0" w:color="auto"/>
            </w:tcBorders>
            <w:shd w:val="clear" w:color="auto" w:fill="auto"/>
            <w:noWrap/>
            <w:vAlign w:val="center"/>
            <w:hideMark/>
          </w:tcPr>
          <w:p w:rsidR="00A97DB7" w:rsidRPr="00F67923" w:rsidRDefault="00A97DB7" w:rsidP="001E0F80">
            <w:pPr>
              <w:spacing w:after="0" w:line="240" w:lineRule="auto"/>
              <w:jc w:val="center"/>
              <w:rPr>
                <w:rFonts w:eastAsia="Times New Roman"/>
                <w:bCs/>
                <w:szCs w:val="24"/>
                <w:lang w:eastAsia="en-GB"/>
              </w:rPr>
            </w:pPr>
            <w:r w:rsidRPr="00F67923">
              <w:rPr>
                <w:rFonts w:eastAsia="Times New Roman"/>
                <w:bCs/>
                <w:szCs w:val="24"/>
                <w:lang w:eastAsia="en-GB"/>
              </w:rPr>
              <w:t>60</w:t>
            </w:r>
          </w:p>
        </w:tc>
        <w:tc>
          <w:tcPr>
            <w:tcW w:w="790" w:type="dxa"/>
            <w:tcBorders>
              <w:top w:val="nil"/>
              <w:left w:val="nil"/>
              <w:bottom w:val="single" w:sz="12" w:space="0" w:color="auto"/>
              <w:right w:val="single" w:sz="12" w:space="0" w:color="auto"/>
            </w:tcBorders>
            <w:shd w:val="clear" w:color="auto" w:fill="auto"/>
            <w:noWrap/>
            <w:vAlign w:val="center"/>
            <w:hideMark/>
          </w:tcPr>
          <w:p w:rsidR="00A97DB7" w:rsidRPr="00F67923" w:rsidRDefault="00A97DB7" w:rsidP="001E0F80">
            <w:pPr>
              <w:spacing w:after="0" w:line="240" w:lineRule="auto"/>
              <w:jc w:val="center"/>
              <w:rPr>
                <w:rFonts w:eastAsia="Times New Roman"/>
                <w:bCs/>
                <w:szCs w:val="24"/>
                <w:lang w:eastAsia="en-GB"/>
              </w:rPr>
            </w:pPr>
            <w:r w:rsidRPr="00F67923">
              <w:rPr>
                <w:rFonts w:eastAsia="Times New Roman"/>
                <w:bCs/>
                <w:szCs w:val="24"/>
                <w:lang w:eastAsia="en-GB"/>
              </w:rPr>
              <w:t>2470</w:t>
            </w:r>
          </w:p>
        </w:tc>
        <w:tc>
          <w:tcPr>
            <w:tcW w:w="1229" w:type="dxa"/>
            <w:tcBorders>
              <w:top w:val="nil"/>
              <w:left w:val="nil"/>
              <w:bottom w:val="single" w:sz="12" w:space="0" w:color="auto"/>
              <w:right w:val="single" w:sz="12" w:space="0" w:color="auto"/>
            </w:tcBorders>
            <w:shd w:val="clear" w:color="auto" w:fill="auto"/>
            <w:noWrap/>
            <w:vAlign w:val="center"/>
            <w:hideMark/>
          </w:tcPr>
          <w:p w:rsidR="00A97DB7" w:rsidRPr="00F67923" w:rsidRDefault="00A97DB7" w:rsidP="001E0F80">
            <w:pPr>
              <w:spacing w:after="0" w:line="240" w:lineRule="auto"/>
              <w:jc w:val="center"/>
              <w:rPr>
                <w:rFonts w:eastAsia="Times New Roman"/>
                <w:bCs/>
                <w:szCs w:val="24"/>
                <w:lang w:eastAsia="en-GB"/>
              </w:rPr>
            </w:pPr>
            <w:r w:rsidRPr="00F67923">
              <w:rPr>
                <w:rFonts w:eastAsia="Times New Roman"/>
                <w:bCs/>
                <w:szCs w:val="24"/>
                <w:lang w:eastAsia="en-GB"/>
              </w:rPr>
              <w:t>87.2%</w:t>
            </w:r>
          </w:p>
        </w:tc>
        <w:tc>
          <w:tcPr>
            <w:tcW w:w="1134" w:type="dxa"/>
            <w:tcBorders>
              <w:top w:val="nil"/>
              <w:left w:val="nil"/>
              <w:bottom w:val="single" w:sz="12" w:space="0" w:color="auto"/>
              <w:right w:val="single" w:sz="12" w:space="0" w:color="auto"/>
            </w:tcBorders>
            <w:shd w:val="clear" w:color="auto" w:fill="auto"/>
            <w:noWrap/>
            <w:vAlign w:val="center"/>
            <w:hideMark/>
          </w:tcPr>
          <w:p w:rsidR="00A97DB7" w:rsidRPr="00F67923" w:rsidRDefault="00A97DB7" w:rsidP="001E0F80">
            <w:pPr>
              <w:spacing w:after="0" w:line="240" w:lineRule="auto"/>
              <w:jc w:val="center"/>
              <w:rPr>
                <w:rFonts w:eastAsia="Times New Roman"/>
                <w:bCs/>
                <w:szCs w:val="24"/>
                <w:lang w:eastAsia="en-GB"/>
              </w:rPr>
            </w:pPr>
            <w:r w:rsidRPr="00F67923">
              <w:rPr>
                <w:rFonts w:eastAsia="Times New Roman"/>
                <w:bCs/>
                <w:szCs w:val="24"/>
                <w:lang w:eastAsia="en-GB"/>
              </w:rPr>
              <w:t>10.3%</w:t>
            </w:r>
          </w:p>
        </w:tc>
      </w:tr>
    </w:tbl>
    <w:p w:rsidR="00A97DB7" w:rsidRPr="00A97DB7" w:rsidRDefault="00A97DB7" w:rsidP="00A97DB7">
      <w:pPr>
        <w:rPr>
          <w:b/>
        </w:rPr>
      </w:pPr>
    </w:p>
    <w:p w:rsidR="008C7EE1" w:rsidRPr="00A50229" w:rsidRDefault="008C7EE1" w:rsidP="008C7EE1">
      <w:pPr>
        <w:rPr>
          <w:b/>
          <w:szCs w:val="24"/>
        </w:rPr>
      </w:pPr>
      <w:r>
        <w:rPr>
          <w:b/>
          <w:szCs w:val="24"/>
        </w:rPr>
        <w:t>H</w:t>
      </w:r>
      <w:r w:rsidRPr="00A50229">
        <w:rPr>
          <w:b/>
          <w:szCs w:val="24"/>
        </w:rPr>
        <w:t>istorical comparison from previous WRES reports</w:t>
      </w:r>
    </w:p>
    <w:p w:rsidR="008C7EE1" w:rsidRDefault="008C7EE1" w:rsidP="008C7EE1">
      <w:pPr>
        <w:jc w:val="center"/>
        <w:rPr>
          <w:color w:val="009E49"/>
          <w:szCs w:val="24"/>
        </w:rPr>
      </w:pPr>
      <w:r>
        <w:rPr>
          <w:noProof/>
          <w:lang w:eastAsia="en-GB"/>
        </w:rPr>
        <w:lastRenderedPageBreak/>
        <w:drawing>
          <wp:inline distT="0" distB="0" distL="0" distR="0" wp14:anchorId="7B62AADB" wp14:editId="134189A6">
            <wp:extent cx="6120245" cy="2410691"/>
            <wp:effectExtent l="0" t="0" r="0" b="8890"/>
            <wp:docPr id="17" name="Chart 17" title="Historical comparison from previous WRES reports for BSUH"/>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C7EE1" w:rsidRPr="0035651E" w:rsidRDefault="008C7EE1" w:rsidP="008C7EE1">
      <w:pPr>
        <w:rPr>
          <w:color w:val="009E49"/>
          <w:szCs w:val="24"/>
        </w:rPr>
      </w:pPr>
      <w:r w:rsidRPr="00FD4410">
        <w:t xml:space="preserve">The data highlights that in </w:t>
      </w:r>
      <w:r>
        <w:t>most</w:t>
      </w:r>
      <w:r w:rsidRPr="00FD4410">
        <w:t xml:space="preserve"> non-clinical roles</w:t>
      </w:r>
      <w:r>
        <w:t>,</w:t>
      </w:r>
      <w:r w:rsidRPr="00FD4410">
        <w:t xml:space="preserve"> the</w:t>
      </w:r>
      <w:r>
        <w:t>re</w:t>
      </w:r>
      <w:r w:rsidRPr="00FD4410">
        <w:t xml:space="preserve"> is a lower than </w:t>
      </w:r>
      <w:r>
        <w:t xml:space="preserve">an </w:t>
      </w:r>
      <w:r w:rsidRPr="00FD4410">
        <w:t xml:space="preserve">expected representation of BME staff. Band 1 has a higher than </w:t>
      </w:r>
      <w:r>
        <w:t xml:space="preserve">an </w:t>
      </w:r>
      <w:r w:rsidRPr="00FD4410">
        <w:t xml:space="preserve">expected representation of BME </w:t>
      </w:r>
      <w:proofErr w:type="gramStart"/>
      <w:r w:rsidRPr="00FD4410">
        <w:t>staff,</w:t>
      </w:r>
      <w:proofErr w:type="gramEnd"/>
      <w:r w:rsidRPr="00FD4410">
        <w:t xml:space="preserve"> and band 8d is slightly under compared to the overall representation of BME staff in the workforce.</w:t>
      </w:r>
      <w:r>
        <w:t xml:space="preserve"> Compared to the previous year, there has been an increase of BME staff in bands 8a and 8c. Over the last few years, there has been a programme for migrating staff (where appropriate) from band 1 to 2.</w:t>
      </w:r>
    </w:p>
    <w:p w:rsidR="00D325B7" w:rsidRDefault="00D325B7" w:rsidP="00D325B7">
      <w:pPr>
        <w:tabs>
          <w:tab w:val="left" w:pos="3453"/>
        </w:tabs>
        <w:rPr>
          <w:b/>
        </w:rPr>
      </w:pPr>
      <w:r>
        <w:rPr>
          <w:b/>
        </w:rPr>
        <w:t>For Clinical Roles:</w:t>
      </w:r>
      <w:r>
        <w:rPr>
          <w:b/>
        </w:rPr>
        <w:tab/>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reakdown of BSUH clinical role by grade and ethnicity"/>
      </w:tblPr>
      <w:tblGrid>
        <w:gridCol w:w="4178"/>
        <w:gridCol w:w="870"/>
        <w:gridCol w:w="750"/>
        <w:gridCol w:w="1296"/>
        <w:gridCol w:w="790"/>
        <w:gridCol w:w="1030"/>
        <w:gridCol w:w="897"/>
      </w:tblGrid>
      <w:tr w:rsidR="00D325B7" w:rsidRPr="00A950CA" w:rsidTr="00D325B7">
        <w:trPr>
          <w:cantSplit/>
          <w:trHeight w:val="630"/>
          <w:tblHeader/>
          <w:jc w:val="center"/>
        </w:trPr>
        <w:tc>
          <w:tcPr>
            <w:tcW w:w="4178" w:type="dxa"/>
            <w:shd w:val="clear" w:color="000000" w:fill="FFFFFF"/>
            <w:noWrap/>
            <w:vAlign w:val="center"/>
            <w:hideMark/>
          </w:tcPr>
          <w:p w:rsidR="00D325B7" w:rsidRPr="00A950CA" w:rsidRDefault="00D325B7" w:rsidP="00A702A0">
            <w:pPr>
              <w:spacing w:after="0" w:line="240" w:lineRule="auto"/>
              <w:rPr>
                <w:rFonts w:ascii="Calibri" w:eastAsia="Times New Roman" w:hAnsi="Calibri" w:cs="Calibri"/>
                <w:color w:val="000000"/>
                <w:lang w:eastAsia="en-GB"/>
              </w:rPr>
            </w:pPr>
            <w:r w:rsidRPr="00A950CA">
              <w:rPr>
                <w:rFonts w:ascii="Calibri" w:eastAsia="Times New Roman" w:hAnsi="Calibri" w:cs="Calibri"/>
                <w:color w:val="000000"/>
                <w:lang w:eastAsia="en-GB"/>
              </w:rPr>
              <w:t> </w:t>
            </w:r>
            <w:r w:rsidRPr="00A97DB7">
              <w:rPr>
                <w:rFonts w:eastAsia="Times New Roman"/>
                <w:b/>
                <w:color w:val="000000"/>
                <w:szCs w:val="24"/>
                <w:lang w:eastAsia="en-GB"/>
              </w:rPr>
              <w:t>Pay</w:t>
            </w:r>
            <w:r>
              <w:rPr>
                <w:rFonts w:eastAsia="Times New Roman"/>
                <w:b/>
                <w:color w:val="000000"/>
                <w:szCs w:val="24"/>
                <w:lang w:eastAsia="en-GB"/>
              </w:rPr>
              <w:t xml:space="preserve"> </w:t>
            </w:r>
            <w:r w:rsidRPr="00A97DB7">
              <w:rPr>
                <w:rFonts w:eastAsia="Times New Roman"/>
                <w:b/>
                <w:color w:val="000000"/>
                <w:szCs w:val="24"/>
                <w:lang w:eastAsia="en-GB"/>
              </w:rPr>
              <w:t>banding</w:t>
            </w:r>
          </w:p>
        </w:tc>
        <w:tc>
          <w:tcPr>
            <w:tcW w:w="870" w:type="dxa"/>
            <w:shd w:val="clear" w:color="auto" w:fill="auto"/>
            <w:noWrap/>
            <w:vAlign w:val="center"/>
            <w:hideMark/>
          </w:tcPr>
          <w:p w:rsidR="00D325B7" w:rsidRPr="00A950CA" w:rsidRDefault="00D325B7" w:rsidP="00A702A0">
            <w:pPr>
              <w:spacing w:after="0" w:line="240" w:lineRule="auto"/>
              <w:rPr>
                <w:rFonts w:eastAsia="Times New Roman"/>
                <w:b/>
                <w:bCs/>
                <w:color w:val="000000"/>
                <w:lang w:eastAsia="en-GB"/>
              </w:rPr>
            </w:pPr>
            <w:r w:rsidRPr="00A950CA">
              <w:rPr>
                <w:rFonts w:eastAsia="Times New Roman"/>
                <w:b/>
                <w:bCs/>
                <w:color w:val="000000"/>
                <w:lang w:eastAsia="en-GB"/>
              </w:rPr>
              <w:t>White</w:t>
            </w:r>
          </w:p>
        </w:tc>
        <w:tc>
          <w:tcPr>
            <w:tcW w:w="750" w:type="dxa"/>
            <w:shd w:val="clear" w:color="auto" w:fill="auto"/>
            <w:noWrap/>
            <w:vAlign w:val="center"/>
            <w:hideMark/>
          </w:tcPr>
          <w:p w:rsidR="00D325B7" w:rsidRPr="00A950CA" w:rsidRDefault="00D325B7" w:rsidP="00A702A0">
            <w:pPr>
              <w:spacing w:after="0" w:line="240" w:lineRule="auto"/>
              <w:rPr>
                <w:rFonts w:eastAsia="Times New Roman"/>
                <w:b/>
                <w:bCs/>
                <w:color w:val="000000"/>
                <w:lang w:eastAsia="en-GB"/>
              </w:rPr>
            </w:pPr>
            <w:r w:rsidRPr="00A950CA">
              <w:rPr>
                <w:rFonts w:eastAsia="Times New Roman"/>
                <w:b/>
                <w:bCs/>
                <w:color w:val="000000"/>
                <w:lang w:eastAsia="en-GB"/>
              </w:rPr>
              <w:t>BME</w:t>
            </w:r>
          </w:p>
        </w:tc>
        <w:tc>
          <w:tcPr>
            <w:tcW w:w="1296" w:type="dxa"/>
            <w:shd w:val="clear" w:color="auto" w:fill="auto"/>
            <w:vAlign w:val="center"/>
            <w:hideMark/>
          </w:tcPr>
          <w:p w:rsidR="00D325B7" w:rsidRPr="00A950CA" w:rsidRDefault="00D325B7" w:rsidP="00A702A0">
            <w:pPr>
              <w:spacing w:after="0" w:line="240" w:lineRule="auto"/>
              <w:rPr>
                <w:rFonts w:eastAsia="Times New Roman"/>
                <w:b/>
                <w:bCs/>
                <w:color w:val="000000"/>
                <w:lang w:eastAsia="en-GB"/>
              </w:rPr>
            </w:pPr>
            <w:r w:rsidRPr="00A950CA">
              <w:rPr>
                <w:rFonts w:eastAsia="Times New Roman"/>
                <w:b/>
                <w:bCs/>
                <w:color w:val="000000"/>
                <w:lang w:eastAsia="en-GB"/>
              </w:rPr>
              <w:t>Unknown</w:t>
            </w:r>
          </w:p>
        </w:tc>
        <w:tc>
          <w:tcPr>
            <w:tcW w:w="790" w:type="dxa"/>
            <w:shd w:val="clear" w:color="auto" w:fill="auto"/>
            <w:noWrap/>
            <w:vAlign w:val="center"/>
            <w:hideMark/>
          </w:tcPr>
          <w:p w:rsidR="00D325B7" w:rsidRPr="00A950CA" w:rsidRDefault="00D325B7" w:rsidP="00A702A0">
            <w:pPr>
              <w:spacing w:after="0" w:line="240" w:lineRule="auto"/>
              <w:rPr>
                <w:rFonts w:eastAsia="Times New Roman"/>
                <w:b/>
                <w:bCs/>
                <w:color w:val="000000"/>
                <w:lang w:eastAsia="en-GB"/>
              </w:rPr>
            </w:pPr>
            <w:r w:rsidRPr="00A950CA">
              <w:rPr>
                <w:rFonts w:eastAsia="Times New Roman"/>
                <w:b/>
                <w:bCs/>
                <w:color w:val="000000"/>
                <w:lang w:eastAsia="en-GB"/>
              </w:rPr>
              <w:t>Total</w:t>
            </w:r>
          </w:p>
        </w:tc>
        <w:tc>
          <w:tcPr>
            <w:tcW w:w="1030" w:type="dxa"/>
            <w:shd w:val="clear" w:color="auto" w:fill="auto"/>
            <w:noWrap/>
            <w:vAlign w:val="center"/>
            <w:hideMark/>
          </w:tcPr>
          <w:p w:rsidR="00D325B7" w:rsidRPr="00A950CA" w:rsidRDefault="00D325B7" w:rsidP="00A702A0">
            <w:pPr>
              <w:spacing w:after="0" w:line="240" w:lineRule="auto"/>
              <w:rPr>
                <w:rFonts w:eastAsia="Times New Roman"/>
                <w:b/>
                <w:bCs/>
                <w:color w:val="000000"/>
                <w:lang w:eastAsia="en-GB"/>
              </w:rPr>
            </w:pPr>
            <w:r w:rsidRPr="00A950CA">
              <w:rPr>
                <w:rFonts w:eastAsia="Times New Roman"/>
                <w:b/>
                <w:bCs/>
                <w:color w:val="000000"/>
                <w:lang w:eastAsia="en-GB"/>
              </w:rPr>
              <w:t>White %</w:t>
            </w:r>
          </w:p>
        </w:tc>
        <w:tc>
          <w:tcPr>
            <w:tcW w:w="897" w:type="dxa"/>
            <w:shd w:val="clear" w:color="auto" w:fill="auto"/>
            <w:noWrap/>
            <w:vAlign w:val="center"/>
            <w:hideMark/>
          </w:tcPr>
          <w:p w:rsidR="00D325B7" w:rsidRPr="00A950CA" w:rsidRDefault="00D325B7" w:rsidP="00A702A0">
            <w:pPr>
              <w:spacing w:after="0" w:line="240" w:lineRule="auto"/>
              <w:rPr>
                <w:rFonts w:eastAsia="Times New Roman"/>
                <w:b/>
                <w:bCs/>
                <w:color w:val="000000"/>
                <w:lang w:eastAsia="en-GB"/>
              </w:rPr>
            </w:pPr>
            <w:r>
              <w:rPr>
                <w:rFonts w:eastAsia="Times New Roman"/>
                <w:b/>
                <w:bCs/>
                <w:color w:val="000000"/>
                <w:lang w:eastAsia="en-GB"/>
              </w:rPr>
              <w:t>*</w:t>
            </w:r>
            <w:r w:rsidRPr="00A950CA">
              <w:rPr>
                <w:rFonts w:eastAsia="Times New Roman"/>
                <w:b/>
                <w:bCs/>
                <w:color w:val="000000"/>
                <w:lang w:eastAsia="en-GB"/>
              </w:rPr>
              <w:t>BME %</w:t>
            </w:r>
          </w:p>
        </w:tc>
      </w:tr>
      <w:tr w:rsidR="00D325B7" w:rsidRPr="00A950CA" w:rsidTr="00D325B7">
        <w:trPr>
          <w:cantSplit/>
          <w:trHeight w:val="330"/>
          <w:tblHeader/>
          <w:jc w:val="center"/>
        </w:trPr>
        <w:tc>
          <w:tcPr>
            <w:tcW w:w="4178" w:type="dxa"/>
            <w:shd w:val="clear" w:color="auto" w:fill="auto"/>
            <w:noWrap/>
            <w:vAlign w:val="center"/>
            <w:hideMark/>
          </w:tcPr>
          <w:p w:rsidR="00D325B7" w:rsidRPr="00611E5E" w:rsidRDefault="00D325B7" w:rsidP="001E0F80">
            <w:pPr>
              <w:spacing w:after="0" w:line="240" w:lineRule="auto"/>
              <w:rPr>
                <w:rFonts w:eastAsia="Times New Roman"/>
                <w:b/>
                <w:bCs/>
                <w:color w:val="000000"/>
                <w:lang w:eastAsia="en-GB"/>
              </w:rPr>
            </w:pPr>
            <w:r w:rsidRPr="00611E5E">
              <w:rPr>
                <w:rFonts w:eastAsia="Times New Roman"/>
                <w:b/>
                <w:bCs/>
                <w:color w:val="000000"/>
                <w:lang w:eastAsia="en-GB"/>
              </w:rPr>
              <w:t>Band 1</w:t>
            </w:r>
          </w:p>
        </w:tc>
        <w:tc>
          <w:tcPr>
            <w:tcW w:w="87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Pr>
                <w:rFonts w:eastAsia="Times New Roman"/>
                <w:color w:val="000000"/>
                <w:lang w:eastAsia="en-GB"/>
              </w:rPr>
              <w:t>0</w:t>
            </w:r>
          </w:p>
        </w:tc>
        <w:tc>
          <w:tcPr>
            <w:tcW w:w="75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Pr>
                <w:rFonts w:eastAsia="Times New Roman"/>
                <w:color w:val="000000"/>
                <w:lang w:eastAsia="en-GB"/>
              </w:rPr>
              <w:t>0</w:t>
            </w:r>
          </w:p>
        </w:tc>
        <w:tc>
          <w:tcPr>
            <w:tcW w:w="1296" w:type="dxa"/>
            <w:shd w:val="clear" w:color="auto" w:fill="auto"/>
            <w:vAlign w:val="center"/>
            <w:hideMark/>
          </w:tcPr>
          <w:p w:rsidR="00D325B7" w:rsidRPr="00611E5E" w:rsidRDefault="00D325B7" w:rsidP="001E0F80">
            <w:pPr>
              <w:spacing w:after="0" w:line="240" w:lineRule="auto"/>
              <w:jc w:val="center"/>
              <w:rPr>
                <w:rFonts w:eastAsia="Times New Roman"/>
                <w:color w:val="000000"/>
                <w:lang w:eastAsia="en-GB"/>
              </w:rPr>
            </w:pPr>
            <w:r>
              <w:rPr>
                <w:rFonts w:eastAsia="Times New Roman"/>
                <w:color w:val="000000"/>
                <w:lang w:eastAsia="en-GB"/>
              </w:rPr>
              <w:t>0</w:t>
            </w:r>
          </w:p>
        </w:tc>
        <w:tc>
          <w:tcPr>
            <w:tcW w:w="79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Pr>
                <w:rFonts w:eastAsia="Times New Roman"/>
                <w:color w:val="000000"/>
                <w:lang w:eastAsia="en-GB"/>
              </w:rPr>
              <w:t>0</w:t>
            </w:r>
          </w:p>
        </w:tc>
        <w:tc>
          <w:tcPr>
            <w:tcW w:w="103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Pr>
                <w:rFonts w:eastAsia="Times New Roman"/>
                <w:color w:val="000000"/>
                <w:lang w:eastAsia="en-GB"/>
              </w:rPr>
              <w:t>0.0%</w:t>
            </w:r>
          </w:p>
        </w:tc>
        <w:tc>
          <w:tcPr>
            <w:tcW w:w="897"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Pr>
                <w:rFonts w:eastAsia="Times New Roman"/>
                <w:color w:val="000000"/>
                <w:lang w:eastAsia="en-GB"/>
              </w:rPr>
              <w:t>0.0%</w:t>
            </w:r>
          </w:p>
        </w:tc>
      </w:tr>
      <w:tr w:rsidR="00D325B7" w:rsidRPr="00A950CA" w:rsidTr="00D325B7">
        <w:trPr>
          <w:cantSplit/>
          <w:trHeight w:val="330"/>
          <w:tblHeader/>
          <w:jc w:val="center"/>
        </w:trPr>
        <w:tc>
          <w:tcPr>
            <w:tcW w:w="4178" w:type="dxa"/>
            <w:shd w:val="clear" w:color="auto" w:fill="auto"/>
            <w:noWrap/>
            <w:vAlign w:val="center"/>
            <w:hideMark/>
          </w:tcPr>
          <w:p w:rsidR="00D325B7" w:rsidRPr="00611E5E" w:rsidRDefault="00D325B7" w:rsidP="001E0F80">
            <w:pPr>
              <w:spacing w:after="0" w:line="240" w:lineRule="auto"/>
              <w:rPr>
                <w:rFonts w:eastAsia="Times New Roman"/>
                <w:b/>
                <w:bCs/>
                <w:color w:val="000000"/>
                <w:lang w:eastAsia="en-GB"/>
              </w:rPr>
            </w:pPr>
            <w:r w:rsidRPr="00611E5E">
              <w:rPr>
                <w:rFonts w:eastAsia="Times New Roman"/>
                <w:b/>
                <w:bCs/>
                <w:color w:val="000000"/>
                <w:lang w:eastAsia="en-GB"/>
              </w:rPr>
              <w:t>Band 2</w:t>
            </w:r>
          </w:p>
        </w:tc>
        <w:tc>
          <w:tcPr>
            <w:tcW w:w="87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618</w:t>
            </w:r>
          </w:p>
        </w:tc>
        <w:tc>
          <w:tcPr>
            <w:tcW w:w="75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216</w:t>
            </w:r>
          </w:p>
        </w:tc>
        <w:tc>
          <w:tcPr>
            <w:tcW w:w="1296" w:type="dxa"/>
            <w:shd w:val="clear" w:color="auto" w:fill="auto"/>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10</w:t>
            </w:r>
          </w:p>
        </w:tc>
        <w:tc>
          <w:tcPr>
            <w:tcW w:w="79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844</w:t>
            </w:r>
          </w:p>
        </w:tc>
        <w:tc>
          <w:tcPr>
            <w:tcW w:w="103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73.2%</w:t>
            </w:r>
          </w:p>
        </w:tc>
        <w:tc>
          <w:tcPr>
            <w:tcW w:w="897" w:type="dxa"/>
            <w:shd w:val="clear" w:color="auto" w:fill="auto"/>
            <w:noWrap/>
            <w:vAlign w:val="center"/>
            <w:hideMark/>
          </w:tcPr>
          <w:p w:rsidR="00D325B7" w:rsidRPr="00D325B7" w:rsidRDefault="00D325B7" w:rsidP="001E0F80">
            <w:pPr>
              <w:spacing w:after="0" w:line="240" w:lineRule="auto"/>
              <w:jc w:val="center"/>
              <w:rPr>
                <w:rFonts w:eastAsia="Times New Roman"/>
                <w:b/>
                <w:lang w:eastAsia="en-GB"/>
              </w:rPr>
            </w:pPr>
            <w:r w:rsidRPr="00D325B7">
              <w:rPr>
                <w:rFonts w:eastAsia="Times New Roman"/>
                <w:b/>
                <w:lang w:eastAsia="en-GB"/>
              </w:rPr>
              <w:t>25.6%</w:t>
            </w:r>
          </w:p>
        </w:tc>
      </w:tr>
      <w:tr w:rsidR="00D325B7" w:rsidRPr="00A950CA" w:rsidTr="00D325B7">
        <w:trPr>
          <w:cantSplit/>
          <w:trHeight w:val="330"/>
          <w:tblHeader/>
          <w:jc w:val="center"/>
        </w:trPr>
        <w:tc>
          <w:tcPr>
            <w:tcW w:w="4178" w:type="dxa"/>
            <w:shd w:val="clear" w:color="auto" w:fill="auto"/>
            <w:noWrap/>
            <w:vAlign w:val="center"/>
            <w:hideMark/>
          </w:tcPr>
          <w:p w:rsidR="00D325B7" w:rsidRPr="00611E5E" w:rsidRDefault="00D325B7" w:rsidP="001E0F80">
            <w:pPr>
              <w:spacing w:after="0" w:line="240" w:lineRule="auto"/>
              <w:rPr>
                <w:rFonts w:eastAsia="Times New Roman"/>
                <w:b/>
                <w:bCs/>
                <w:color w:val="000000"/>
                <w:lang w:eastAsia="en-GB"/>
              </w:rPr>
            </w:pPr>
            <w:r w:rsidRPr="00611E5E">
              <w:rPr>
                <w:rFonts w:eastAsia="Times New Roman"/>
                <w:b/>
                <w:bCs/>
                <w:color w:val="000000"/>
                <w:lang w:eastAsia="en-GB"/>
              </w:rPr>
              <w:t>Band 3</w:t>
            </w:r>
          </w:p>
        </w:tc>
        <w:tc>
          <w:tcPr>
            <w:tcW w:w="87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280</w:t>
            </w:r>
          </w:p>
        </w:tc>
        <w:tc>
          <w:tcPr>
            <w:tcW w:w="75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94</w:t>
            </w:r>
          </w:p>
        </w:tc>
        <w:tc>
          <w:tcPr>
            <w:tcW w:w="1296" w:type="dxa"/>
            <w:shd w:val="clear" w:color="auto" w:fill="auto"/>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4</w:t>
            </w:r>
          </w:p>
        </w:tc>
        <w:tc>
          <w:tcPr>
            <w:tcW w:w="79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378</w:t>
            </w:r>
          </w:p>
        </w:tc>
        <w:tc>
          <w:tcPr>
            <w:tcW w:w="103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74.1%</w:t>
            </w:r>
          </w:p>
        </w:tc>
        <w:tc>
          <w:tcPr>
            <w:tcW w:w="897" w:type="dxa"/>
            <w:shd w:val="clear" w:color="auto" w:fill="auto"/>
            <w:noWrap/>
            <w:vAlign w:val="center"/>
            <w:hideMark/>
          </w:tcPr>
          <w:p w:rsidR="00D325B7" w:rsidRPr="00D325B7" w:rsidRDefault="00D325B7" w:rsidP="001E0F80">
            <w:pPr>
              <w:spacing w:after="0" w:line="240" w:lineRule="auto"/>
              <w:jc w:val="center"/>
              <w:rPr>
                <w:rFonts w:eastAsia="Times New Roman"/>
                <w:b/>
                <w:lang w:eastAsia="en-GB"/>
              </w:rPr>
            </w:pPr>
            <w:r w:rsidRPr="00D325B7">
              <w:rPr>
                <w:rFonts w:eastAsia="Times New Roman"/>
                <w:b/>
                <w:lang w:eastAsia="en-GB"/>
              </w:rPr>
              <w:t>24.9%</w:t>
            </w:r>
          </w:p>
        </w:tc>
      </w:tr>
      <w:tr w:rsidR="00D325B7" w:rsidRPr="00A950CA" w:rsidTr="00D325B7">
        <w:trPr>
          <w:cantSplit/>
          <w:trHeight w:val="330"/>
          <w:tblHeader/>
          <w:jc w:val="center"/>
        </w:trPr>
        <w:tc>
          <w:tcPr>
            <w:tcW w:w="4178" w:type="dxa"/>
            <w:shd w:val="clear" w:color="auto" w:fill="auto"/>
            <w:noWrap/>
            <w:vAlign w:val="center"/>
            <w:hideMark/>
          </w:tcPr>
          <w:p w:rsidR="00D325B7" w:rsidRPr="00611E5E" w:rsidRDefault="00D325B7" w:rsidP="001E0F80">
            <w:pPr>
              <w:spacing w:after="0" w:line="240" w:lineRule="auto"/>
              <w:rPr>
                <w:rFonts w:eastAsia="Times New Roman"/>
                <w:b/>
                <w:bCs/>
                <w:color w:val="000000"/>
                <w:lang w:eastAsia="en-GB"/>
              </w:rPr>
            </w:pPr>
            <w:r w:rsidRPr="00611E5E">
              <w:rPr>
                <w:rFonts w:eastAsia="Times New Roman"/>
                <w:b/>
                <w:bCs/>
                <w:color w:val="000000"/>
                <w:lang w:eastAsia="en-GB"/>
              </w:rPr>
              <w:t>Band 4</w:t>
            </w:r>
          </w:p>
        </w:tc>
        <w:tc>
          <w:tcPr>
            <w:tcW w:w="87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182</w:t>
            </w:r>
          </w:p>
        </w:tc>
        <w:tc>
          <w:tcPr>
            <w:tcW w:w="75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62</w:t>
            </w:r>
          </w:p>
        </w:tc>
        <w:tc>
          <w:tcPr>
            <w:tcW w:w="1296" w:type="dxa"/>
            <w:shd w:val="clear" w:color="auto" w:fill="auto"/>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5</w:t>
            </w:r>
          </w:p>
        </w:tc>
        <w:tc>
          <w:tcPr>
            <w:tcW w:w="79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249</w:t>
            </w:r>
          </w:p>
        </w:tc>
        <w:tc>
          <w:tcPr>
            <w:tcW w:w="103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73.1%</w:t>
            </w:r>
          </w:p>
        </w:tc>
        <w:tc>
          <w:tcPr>
            <w:tcW w:w="897" w:type="dxa"/>
            <w:shd w:val="clear" w:color="auto" w:fill="auto"/>
            <w:noWrap/>
            <w:vAlign w:val="center"/>
            <w:hideMark/>
          </w:tcPr>
          <w:p w:rsidR="00D325B7" w:rsidRPr="00D325B7" w:rsidRDefault="00D325B7" w:rsidP="001E0F80">
            <w:pPr>
              <w:spacing w:after="0" w:line="240" w:lineRule="auto"/>
              <w:jc w:val="center"/>
              <w:rPr>
                <w:rFonts w:eastAsia="Times New Roman"/>
                <w:b/>
                <w:lang w:eastAsia="en-GB"/>
              </w:rPr>
            </w:pPr>
            <w:r w:rsidRPr="00D325B7">
              <w:rPr>
                <w:rFonts w:eastAsia="Times New Roman"/>
                <w:b/>
                <w:lang w:eastAsia="en-GB"/>
              </w:rPr>
              <w:t>24.9%</w:t>
            </w:r>
          </w:p>
        </w:tc>
      </w:tr>
      <w:tr w:rsidR="00D325B7" w:rsidRPr="00A950CA" w:rsidTr="00D325B7">
        <w:trPr>
          <w:cantSplit/>
          <w:trHeight w:val="330"/>
          <w:tblHeader/>
          <w:jc w:val="center"/>
        </w:trPr>
        <w:tc>
          <w:tcPr>
            <w:tcW w:w="4178" w:type="dxa"/>
            <w:shd w:val="clear" w:color="auto" w:fill="auto"/>
            <w:noWrap/>
            <w:vAlign w:val="center"/>
            <w:hideMark/>
          </w:tcPr>
          <w:p w:rsidR="00D325B7" w:rsidRPr="00611E5E" w:rsidRDefault="00D325B7" w:rsidP="001E0F80">
            <w:pPr>
              <w:spacing w:after="0" w:line="240" w:lineRule="auto"/>
              <w:rPr>
                <w:rFonts w:eastAsia="Times New Roman"/>
                <w:b/>
                <w:bCs/>
                <w:color w:val="000000"/>
                <w:lang w:eastAsia="en-GB"/>
              </w:rPr>
            </w:pPr>
            <w:r w:rsidRPr="00611E5E">
              <w:rPr>
                <w:rFonts w:eastAsia="Times New Roman"/>
                <w:b/>
                <w:bCs/>
                <w:color w:val="000000"/>
                <w:lang w:eastAsia="en-GB"/>
              </w:rPr>
              <w:t>Band 5</w:t>
            </w:r>
          </w:p>
        </w:tc>
        <w:tc>
          <w:tcPr>
            <w:tcW w:w="87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862</w:t>
            </w:r>
          </w:p>
        </w:tc>
        <w:tc>
          <w:tcPr>
            <w:tcW w:w="75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344</w:t>
            </w:r>
          </w:p>
        </w:tc>
        <w:tc>
          <w:tcPr>
            <w:tcW w:w="1296" w:type="dxa"/>
            <w:shd w:val="clear" w:color="auto" w:fill="auto"/>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27</w:t>
            </w:r>
          </w:p>
        </w:tc>
        <w:tc>
          <w:tcPr>
            <w:tcW w:w="79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1233</w:t>
            </w:r>
          </w:p>
        </w:tc>
        <w:tc>
          <w:tcPr>
            <w:tcW w:w="103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69.9%</w:t>
            </w:r>
          </w:p>
        </w:tc>
        <w:tc>
          <w:tcPr>
            <w:tcW w:w="897" w:type="dxa"/>
            <w:shd w:val="clear" w:color="auto" w:fill="auto"/>
            <w:noWrap/>
            <w:vAlign w:val="center"/>
            <w:hideMark/>
          </w:tcPr>
          <w:p w:rsidR="00D325B7" w:rsidRPr="00D325B7" w:rsidRDefault="00D325B7" w:rsidP="001E0F80">
            <w:pPr>
              <w:spacing w:after="0" w:line="240" w:lineRule="auto"/>
              <w:jc w:val="center"/>
              <w:rPr>
                <w:rFonts w:eastAsia="Times New Roman"/>
                <w:b/>
                <w:lang w:eastAsia="en-GB"/>
              </w:rPr>
            </w:pPr>
            <w:r w:rsidRPr="00D325B7">
              <w:rPr>
                <w:rFonts w:eastAsia="Times New Roman"/>
                <w:b/>
                <w:lang w:eastAsia="en-GB"/>
              </w:rPr>
              <w:t>27.9%</w:t>
            </w:r>
          </w:p>
        </w:tc>
      </w:tr>
      <w:tr w:rsidR="00D325B7" w:rsidRPr="00A950CA" w:rsidTr="00D325B7">
        <w:trPr>
          <w:cantSplit/>
          <w:trHeight w:val="330"/>
          <w:tblHeader/>
          <w:jc w:val="center"/>
        </w:trPr>
        <w:tc>
          <w:tcPr>
            <w:tcW w:w="4178" w:type="dxa"/>
            <w:shd w:val="clear" w:color="auto" w:fill="auto"/>
            <w:noWrap/>
            <w:vAlign w:val="center"/>
            <w:hideMark/>
          </w:tcPr>
          <w:p w:rsidR="00D325B7" w:rsidRPr="00611E5E" w:rsidRDefault="00D325B7" w:rsidP="001E0F80">
            <w:pPr>
              <w:spacing w:after="0" w:line="240" w:lineRule="auto"/>
              <w:rPr>
                <w:rFonts w:eastAsia="Times New Roman"/>
                <w:b/>
                <w:bCs/>
                <w:color w:val="000000"/>
                <w:lang w:eastAsia="en-GB"/>
              </w:rPr>
            </w:pPr>
            <w:r w:rsidRPr="00611E5E">
              <w:rPr>
                <w:rFonts w:eastAsia="Times New Roman"/>
                <w:b/>
                <w:bCs/>
                <w:color w:val="000000"/>
                <w:lang w:eastAsia="en-GB"/>
              </w:rPr>
              <w:t>Band 6</w:t>
            </w:r>
          </w:p>
        </w:tc>
        <w:tc>
          <w:tcPr>
            <w:tcW w:w="87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1110</w:t>
            </w:r>
          </w:p>
        </w:tc>
        <w:tc>
          <w:tcPr>
            <w:tcW w:w="75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225</w:t>
            </w:r>
          </w:p>
        </w:tc>
        <w:tc>
          <w:tcPr>
            <w:tcW w:w="1296" w:type="dxa"/>
            <w:shd w:val="clear" w:color="auto" w:fill="auto"/>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31</w:t>
            </w:r>
          </w:p>
        </w:tc>
        <w:tc>
          <w:tcPr>
            <w:tcW w:w="79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1366</w:t>
            </w:r>
          </w:p>
        </w:tc>
        <w:tc>
          <w:tcPr>
            <w:tcW w:w="103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81.3%</w:t>
            </w:r>
          </w:p>
        </w:tc>
        <w:tc>
          <w:tcPr>
            <w:tcW w:w="897" w:type="dxa"/>
            <w:shd w:val="clear" w:color="auto" w:fill="auto"/>
            <w:noWrap/>
            <w:vAlign w:val="center"/>
            <w:hideMark/>
          </w:tcPr>
          <w:p w:rsidR="00D325B7" w:rsidRPr="00D325B7" w:rsidRDefault="00D325B7" w:rsidP="001E0F80">
            <w:pPr>
              <w:spacing w:after="0" w:line="240" w:lineRule="auto"/>
              <w:jc w:val="center"/>
              <w:rPr>
                <w:rFonts w:eastAsia="Times New Roman"/>
                <w:lang w:eastAsia="en-GB"/>
              </w:rPr>
            </w:pPr>
            <w:r w:rsidRPr="00D325B7">
              <w:rPr>
                <w:rFonts w:eastAsia="Times New Roman"/>
                <w:lang w:eastAsia="en-GB"/>
              </w:rPr>
              <w:t>16.5%</w:t>
            </w:r>
          </w:p>
        </w:tc>
      </w:tr>
      <w:tr w:rsidR="00D325B7" w:rsidRPr="00A950CA" w:rsidTr="00D325B7">
        <w:trPr>
          <w:cantSplit/>
          <w:trHeight w:val="330"/>
          <w:tblHeader/>
          <w:jc w:val="center"/>
        </w:trPr>
        <w:tc>
          <w:tcPr>
            <w:tcW w:w="4178" w:type="dxa"/>
            <w:shd w:val="clear" w:color="auto" w:fill="auto"/>
            <w:noWrap/>
            <w:vAlign w:val="center"/>
            <w:hideMark/>
          </w:tcPr>
          <w:p w:rsidR="00D325B7" w:rsidRPr="00611E5E" w:rsidRDefault="00D325B7" w:rsidP="001E0F80">
            <w:pPr>
              <w:spacing w:after="0" w:line="240" w:lineRule="auto"/>
              <w:rPr>
                <w:rFonts w:eastAsia="Times New Roman"/>
                <w:b/>
                <w:bCs/>
                <w:color w:val="000000"/>
                <w:lang w:eastAsia="en-GB"/>
              </w:rPr>
            </w:pPr>
            <w:r w:rsidRPr="00611E5E">
              <w:rPr>
                <w:rFonts w:eastAsia="Times New Roman"/>
                <w:b/>
                <w:bCs/>
                <w:color w:val="000000"/>
                <w:lang w:eastAsia="en-GB"/>
              </w:rPr>
              <w:t>Band 7</w:t>
            </w:r>
          </w:p>
        </w:tc>
        <w:tc>
          <w:tcPr>
            <w:tcW w:w="87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654</w:t>
            </w:r>
          </w:p>
        </w:tc>
        <w:tc>
          <w:tcPr>
            <w:tcW w:w="75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85</w:t>
            </w:r>
          </w:p>
        </w:tc>
        <w:tc>
          <w:tcPr>
            <w:tcW w:w="1296" w:type="dxa"/>
            <w:shd w:val="clear" w:color="auto" w:fill="auto"/>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7</w:t>
            </w:r>
          </w:p>
        </w:tc>
        <w:tc>
          <w:tcPr>
            <w:tcW w:w="79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746</w:t>
            </w:r>
          </w:p>
        </w:tc>
        <w:tc>
          <w:tcPr>
            <w:tcW w:w="103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87.7%</w:t>
            </w:r>
          </w:p>
        </w:tc>
        <w:tc>
          <w:tcPr>
            <w:tcW w:w="897" w:type="dxa"/>
            <w:shd w:val="clear" w:color="auto" w:fill="auto"/>
            <w:noWrap/>
            <w:vAlign w:val="center"/>
            <w:hideMark/>
          </w:tcPr>
          <w:p w:rsidR="00D325B7" w:rsidRPr="00D325B7" w:rsidRDefault="00D325B7" w:rsidP="001E0F80">
            <w:pPr>
              <w:spacing w:after="0" w:line="240" w:lineRule="auto"/>
              <w:jc w:val="center"/>
              <w:rPr>
                <w:rFonts w:eastAsia="Times New Roman"/>
                <w:lang w:eastAsia="en-GB"/>
              </w:rPr>
            </w:pPr>
            <w:r w:rsidRPr="00D325B7">
              <w:rPr>
                <w:rFonts w:eastAsia="Times New Roman"/>
                <w:lang w:eastAsia="en-GB"/>
              </w:rPr>
              <w:t>11.4%</w:t>
            </w:r>
          </w:p>
        </w:tc>
      </w:tr>
      <w:tr w:rsidR="00D325B7" w:rsidRPr="00A950CA" w:rsidTr="00D325B7">
        <w:trPr>
          <w:cantSplit/>
          <w:trHeight w:val="330"/>
          <w:tblHeader/>
          <w:jc w:val="center"/>
        </w:trPr>
        <w:tc>
          <w:tcPr>
            <w:tcW w:w="4178" w:type="dxa"/>
            <w:shd w:val="clear" w:color="auto" w:fill="auto"/>
            <w:noWrap/>
            <w:vAlign w:val="center"/>
            <w:hideMark/>
          </w:tcPr>
          <w:p w:rsidR="00D325B7" w:rsidRPr="00611E5E" w:rsidRDefault="00D325B7" w:rsidP="001E0F80">
            <w:pPr>
              <w:spacing w:after="0" w:line="240" w:lineRule="auto"/>
              <w:rPr>
                <w:rFonts w:eastAsia="Times New Roman"/>
                <w:b/>
                <w:bCs/>
                <w:color w:val="000000"/>
                <w:lang w:eastAsia="en-GB"/>
              </w:rPr>
            </w:pPr>
            <w:r w:rsidRPr="00611E5E">
              <w:rPr>
                <w:rFonts w:eastAsia="Times New Roman"/>
                <w:b/>
                <w:bCs/>
                <w:color w:val="000000"/>
                <w:lang w:eastAsia="en-GB"/>
              </w:rPr>
              <w:t>Band 8a</w:t>
            </w:r>
          </w:p>
        </w:tc>
        <w:tc>
          <w:tcPr>
            <w:tcW w:w="87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164</w:t>
            </w:r>
          </w:p>
        </w:tc>
        <w:tc>
          <w:tcPr>
            <w:tcW w:w="75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22</w:t>
            </w:r>
          </w:p>
        </w:tc>
        <w:tc>
          <w:tcPr>
            <w:tcW w:w="1296" w:type="dxa"/>
            <w:shd w:val="clear" w:color="auto" w:fill="auto"/>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1</w:t>
            </w:r>
          </w:p>
        </w:tc>
        <w:tc>
          <w:tcPr>
            <w:tcW w:w="79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187</w:t>
            </w:r>
          </w:p>
        </w:tc>
        <w:tc>
          <w:tcPr>
            <w:tcW w:w="103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87.7%</w:t>
            </w:r>
          </w:p>
        </w:tc>
        <w:tc>
          <w:tcPr>
            <w:tcW w:w="897" w:type="dxa"/>
            <w:shd w:val="clear" w:color="auto" w:fill="auto"/>
            <w:noWrap/>
            <w:vAlign w:val="center"/>
            <w:hideMark/>
          </w:tcPr>
          <w:p w:rsidR="00D325B7" w:rsidRPr="00D325B7" w:rsidRDefault="00D325B7" w:rsidP="001E0F80">
            <w:pPr>
              <w:spacing w:after="0" w:line="240" w:lineRule="auto"/>
              <w:jc w:val="center"/>
              <w:rPr>
                <w:rFonts w:eastAsia="Times New Roman"/>
                <w:lang w:eastAsia="en-GB"/>
              </w:rPr>
            </w:pPr>
            <w:r w:rsidRPr="00D325B7">
              <w:rPr>
                <w:rFonts w:eastAsia="Times New Roman"/>
                <w:lang w:eastAsia="en-GB"/>
              </w:rPr>
              <w:t>11.8%</w:t>
            </w:r>
          </w:p>
        </w:tc>
      </w:tr>
      <w:tr w:rsidR="00D325B7" w:rsidRPr="00A950CA" w:rsidTr="00D325B7">
        <w:trPr>
          <w:cantSplit/>
          <w:trHeight w:val="330"/>
          <w:tblHeader/>
          <w:jc w:val="center"/>
        </w:trPr>
        <w:tc>
          <w:tcPr>
            <w:tcW w:w="4178" w:type="dxa"/>
            <w:shd w:val="clear" w:color="auto" w:fill="auto"/>
            <w:noWrap/>
            <w:vAlign w:val="center"/>
            <w:hideMark/>
          </w:tcPr>
          <w:p w:rsidR="00D325B7" w:rsidRPr="00611E5E" w:rsidRDefault="00D325B7" w:rsidP="001E0F80">
            <w:pPr>
              <w:spacing w:after="0" w:line="240" w:lineRule="auto"/>
              <w:rPr>
                <w:rFonts w:eastAsia="Times New Roman"/>
                <w:b/>
                <w:bCs/>
                <w:color w:val="000000"/>
                <w:lang w:eastAsia="en-GB"/>
              </w:rPr>
            </w:pPr>
            <w:r w:rsidRPr="00611E5E">
              <w:rPr>
                <w:rFonts w:eastAsia="Times New Roman"/>
                <w:b/>
                <w:bCs/>
                <w:color w:val="000000"/>
                <w:lang w:eastAsia="en-GB"/>
              </w:rPr>
              <w:t>Band 8b</w:t>
            </w:r>
          </w:p>
        </w:tc>
        <w:tc>
          <w:tcPr>
            <w:tcW w:w="87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53</w:t>
            </w:r>
          </w:p>
        </w:tc>
        <w:tc>
          <w:tcPr>
            <w:tcW w:w="75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4</w:t>
            </w:r>
          </w:p>
        </w:tc>
        <w:tc>
          <w:tcPr>
            <w:tcW w:w="1296" w:type="dxa"/>
            <w:shd w:val="clear" w:color="auto" w:fill="auto"/>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2</w:t>
            </w:r>
          </w:p>
        </w:tc>
        <w:tc>
          <w:tcPr>
            <w:tcW w:w="79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59</w:t>
            </w:r>
          </w:p>
        </w:tc>
        <w:tc>
          <w:tcPr>
            <w:tcW w:w="103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89.8%</w:t>
            </w:r>
          </w:p>
        </w:tc>
        <w:tc>
          <w:tcPr>
            <w:tcW w:w="897" w:type="dxa"/>
            <w:shd w:val="clear" w:color="auto" w:fill="auto"/>
            <w:noWrap/>
            <w:vAlign w:val="center"/>
            <w:hideMark/>
          </w:tcPr>
          <w:p w:rsidR="00D325B7" w:rsidRPr="00D325B7" w:rsidRDefault="00D325B7" w:rsidP="001E0F80">
            <w:pPr>
              <w:spacing w:after="0" w:line="240" w:lineRule="auto"/>
              <w:jc w:val="center"/>
              <w:rPr>
                <w:rFonts w:eastAsia="Times New Roman"/>
                <w:lang w:eastAsia="en-GB"/>
              </w:rPr>
            </w:pPr>
            <w:r w:rsidRPr="00D325B7">
              <w:rPr>
                <w:rFonts w:eastAsia="Times New Roman"/>
                <w:lang w:eastAsia="en-GB"/>
              </w:rPr>
              <w:t>6.8%</w:t>
            </w:r>
          </w:p>
        </w:tc>
      </w:tr>
      <w:tr w:rsidR="00D325B7" w:rsidRPr="00A950CA" w:rsidTr="00D325B7">
        <w:trPr>
          <w:cantSplit/>
          <w:trHeight w:val="330"/>
          <w:tblHeader/>
          <w:jc w:val="center"/>
        </w:trPr>
        <w:tc>
          <w:tcPr>
            <w:tcW w:w="4178" w:type="dxa"/>
            <w:shd w:val="clear" w:color="auto" w:fill="auto"/>
            <w:noWrap/>
            <w:vAlign w:val="center"/>
            <w:hideMark/>
          </w:tcPr>
          <w:p w:rsidR="00D325B7" w:rsidRPr="00611E5E" w:rsidRDefault="00D325B7" w:rsidP="001E0F80">
            <w:pPr>
              <w:spacing w:after="0" w:line="240" w:lineRule="auto"/>
              <w:rPr>
                <w:rFonts w:eastAsia="Times New Roman"/>
                <w:b/>
                <w:bCs/>
                <w:color w:val="000000"/>
                <w:lang w:eastAsia="en-GB"/>
              </w:rPr>
            </w:pPr>
            <w:r w:rsidRPr="00611E5E">
              <w:rPr>
                <w:rFonts w:eastAsia="Times New Roman"/>
                <w:b/>
                <w:bCs/>
                <w:color w:val="000000"/>
                <w:lang w:eastAsia="en-GB"/>
              </w:rPr>
              <w:t>Band 8c</w:t>
            </w:r>
          </w:p>
        </w:tc>
        <w:tc>
          <w:tcPr>
            <w:tcW w:w="87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19</w:t>
            </w:r>
          </w:p>
        </w:tc>
        <w:tc>
          <w:tcPr>
            <w:tcW w:w="75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0</w:t>
            </w:r>
          </w:p>
        </w:tc>
        <w:tc>
          <w:tcPr>
            <w:tcW w:w="1296" w:type="dxa"/>
            <w:shd w:val="clear" w:color="auto" w:fill="auto"/>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0</w:t>
            </w:r>
          </w:p>
        </w:tc>
        <w:tc>
          <w:tcPr>
            <w:tcW w:w="79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19</w:t>
            </w:r>
          </w:p>
        </w:tc>
        <w:tc>
          <w:tcPr>
            <w:tcW w:w="103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100.0%</w:t>
            </w:r>
          </w:p>
        </w:tc>
        <w:tc>
          <w:tcPr>
            <w:tcW w:w="897" w:type="dxa"/>
            <w:shd w:val="clear" w:color="auto" w:fill="auto"/>
            <w:noWrap/>
            <w:vAlign w:val="center"/>
            <w:hideMark/>
          </w:tcPr>
          <w:p w:rsidR="00D325B7" w:rsidRPr="00D325B7" w:rsidRDefault="00D325B7" w:rsidP="001E0F80">
            <w:pPr>
              <w:spacing w:after="0" w:line="240" w:lineRule="auto"/>
              <w:jc w:val="center"/>
              <w:rPr>
                <w:rFonts w:eastAsia="Times New Roman"/>
                <w:lang w:eastAsia="en-GB"/>
              </w:rPr>
            </w:pPr>
            <w:r w:rsidRPr="00D325B7">
              <w:rPr>
                <w:rFonts w:eastAsia="Times New Roman"/>
                <w:lang w:eastAsia="en-GB"/>
              </w:rPr>
              <w:t>0.0%</w:t>
            </w:r>
          </w:p>
        </w:tc>
      </w:tr>
      <w:tr w:rsidR="00D325B7" w:rsidRPr="00A950CA" w:rsidTr="00D325B7">
        <w:trPr>
          <w:cantSplit/>
          <w:trHeight w:val="330"/>
          <w:tblHeader/>
          <w:jc w:val="center"/>
        </w:trPr>
        <w:tc>
          <w:tcPr>
            <w:tcW w:w="4178" w:type="dxa"/>
            <w:shd w:val="clear" w:color="auto" w:fill="auto"/>
            <w:noWrap/>
            <w:vAlign w:val="center"/>
            <w:hideMark/>
          </w:tcPr>
          <w:p w:rsidR="00D325B7" w:rsidRPr="00611E5E" w:rsidRDefault="00D325B7" w:rsidP="001E0F80">
            <w:pPr>
              <w:spacing w:after="0" w:line="240" w:lineRule="auto"/>
              <w:rPr>
                <w:rFonts w:eastAsia="Times New Roman"/>
                <w:b/>
                <w:bCs/>
                <w:color w:val="000000"/>
                <w:lang w:eastAsia="en-GB"/>
              </w:rPr>
            </w:pPr>
            <w:r w:rsidRPr="00611E5E">
              <w:rPr>
                <w:rFonts w:eastAsia="Times New Roman"/>
                <w:b/>
                <w:bCs/>
                <w:color w:val="000000"/>
                <w:lang w:eastAsia="en-GB"/>
              </w:rPr>
              <w:t>Band 8d</w:t>
            </w:r>
          </w:p>
        </w:tc>
        <w:tc>
          <w:tcPr>
            <w:tcW w:w="87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10</w:t>
            </w:r>
          </w:p>
        </w:tc>
        <w:tc>
          <w:tcPr>
            <w:tcW w:w="75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0</w:t>
            </w:r>
          </w:p>
        </w:tc>
        <w:tc>
          <w:tcPr>
            <w:tcW w:w="1296" w:type="dxa"/>
            <w:shd w:val="clear" w:color="auto" w:fill="auto"/>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0</w:t>
            </w:r>
          </w:p>
        </w:tc>
        <w:tc>
          <w:tcPr>
            <w:tcW w:w="79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10</w:t>
            </w:r>
          </w:p>
        </w:tc>
        <w:tc>
          <w:tcPr>
            <w:tcW w:w="103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100.0%</w:t>
            </w:r>
          </w:p>
        </w:tc>
        <w:tc>
          <w:tcPr>
            <w:tcW w:w="897" w:type="dxa"/>
            <w:shd w:val="clear" w:color="auto" w:fill="auto"/>
            <w:noWrap/>
            <w:vAlign w:val="center"/>
            <w:hideMark/>
          </w:tcPr>
          <w:p w:rsidR="00D325B7" w:rsidRPr="00D325B7" w:rsidRDefault="00D325B7" w:rsidP="001E0F80">
            <w:pPr>
              <w:spacing w:after="0" w:line="240" w:lineRule="auto"/>
              <w:jc w:val="center"/>
              <w:rPr>
                <w:rFonts w:eastAsia="Times New Roman"/>
                <w:lang w:eastAsia="en-GB"/>
              </w:rPr>
            </w:pPr>
            <w:r w:rsidRPr="00D325B7">
              <w:rPr>
                <w:rFonts w:eastAsia="Times New Roman"/>
                <w:lang w:eastAsia="en-GB"/>
              </w:rPr>
              <w:t>0.0%</w:t>
            </w:r>
          </w:p>
        </w:tc>
      </w:tr>
      <w:tr w:rsidR="00D325B7" w:rsidRPr="00A950CA" w:rsidTr="00D325B7">
        <w:trPr>
          <w:cantSplit/>
          <w:trHeight w:val="330"/>
          <w:tblHeader/>
          <w:jc w:val="center"/>
        </w:trPr>
        <w:tc>
          <w:tcPr>
            <w:tcW w:w="4178" w:type="dxa"/>
            <w:shd w:val="clear" w:color="auto" w:fill="auto"/>
            <w:noWrap/>
            <w:vAlign w:val="center"/>
            <w:hideMark/>
          </w:tcPr>
          <w:p w:rsidR="00D325B7" w:rsidRPr="00611E5E" w:rsidRDefault="00D325B7" w:rsidP="001E0F80">
            <w:pPr>
              <w:spacing w:after="0" w:line="240" w:lineRule="auto"/>
              <w:rPr>
                <w:rFonts w:eastAsia="Times New Roman"/>
                <w:b/>
                <w:bCs/>
                <w:color w:val="000000"/>
                <w:lang w:eastAsia="en-GB"/>
              </w:rPr>
            </w:pPr>
            <w:r w:rsidRPr="00611E5E">
              <w:rPr>
                <w:rFonts w:eastAsia="Times New Roman"/>
                <w:b/>
                <w:bCs/>
                <w:color w:val="000000"/>
                <w:lang w:eastAsia="en-GB"/>
              </w:rPr>
              <w:t>Band 9</w:t>
            </w:r>
          </w:p>
        </w:tc>
        <w:tc>
          <w:tcPr>
            <w:tcW w:w="87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1</w:t>
            </w:r>
          </w:p>
        </w:tc>
        <w:tc>
          <w:tcPr>
            <w:tcW w:w="75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0</w:t>
            </w:r>
          </w:p>
        </w:tc>
        <w:tc>
          <w:tcPr>
            <w:tcW w:w="1296" w:type="dxa"/>
            <w:shd w:val="clear" w:color="auto" w:fill="auto"/>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1</w:t>
            </w:r>
          </w:p>
        </w:tc>
        <w:tc>
          <w:tcPr>
            <w:tcW w:w="79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2</w:t>
            </w:r>
          </w:p>
        </w:tc>
        <w:tc>
          <w:tcPr>
            <w:tcW w:w="103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50.0%</w:t>
            </w:r>
          </w:p>
        </w:tc>
        <w:tc>
          <w:tcPr>
            <w:tcW w:w="897" w:type="dxa"/>
            <w:shd w:val="clear" w:color="auto" w:fill="auto"/>
            <w:noWrap/>
            <w:vAlign w:val="center"/>
            <w:hideMark/>
          </w:tcPr>
          <w:p w:rsidR="00D325B7" w:rsidRPr="00D325B7" w:rsidRDefault="00D325B7" w:rsidP="001E0F80">
            <w:pPr>
              <w:spacing w:after="0" w:line="240" w:lineRule="auto"/>
              <w:jc w:val="center"/>
              <w:rPr>
                <w:rFonts w:eastAsia="Times New Roman"/>
                <w:lang w:eastAsia="en-GB"/>
              </w:rPr>
            </w:pPr>
            <w:r w:rsidRPr="00D325B7">
              <w:rPr>
                <w:rFonts w:eastAsia="Times New Roman"/>
                <w:lang w:eastAsia="en-GB"/>
              </w:rPr>
              <w:t>0.0%</w:t>
            </w:r>
          </w:p>
        </w:tc>
      </w:tr>
      <w:tr w:rsidR="00D325B7" w:rsidRPr="00A950CA" w:rsidTr="00D325B7">
        <w:trPr>
          <w:cantSplit/>
          <w:trHeight w:val="330"/>
          <w:tblHeader/>
          <w:jc w:val="center"/>
        </w:trPr>
        <w:tc>
          <w:tcPr>
            <w:tcW w:w="4178" w:type="dxa"/>
            <w:shd w:val="clear" w:color="auto" w:fill="auto"/>
            <w:noWrap/>
            <w:vAlign w:val="center"/>
            <w:hideMark/>
          </w:tcPr>
          <w:p w:rsidR="00D325B7" w:rsidRPr="00611E5E" w:rsidRDefault="00D325B7" w:rsidP="001E0F80">
            <w:pPr>
              <w:spacing w:after="0" w:line="240" w:lineRule="auto"/>
              <w:rPr>
                <w:rFonts w:eastAsia="Times New Roman"/>
                <w:b/>
                <w:bCs/>
                <w:color w:val="000000"/>
                <w:lang w:eastAsia="en-GB"/>
              </w:rPr>
            </w:pPr>
            <w:r w:rsidRPr="00611E5E">
              <w:rPr>
                <w:rFonts w:eastAsia="Times New Roman"/>
                <w:b/>
                <w:bCs/>
                <w:color w:val="000000"/>
                <w:lang w:eastAsia="en-GB"/>
              </w:rPr>
              <w:t>VSM</w:t>
            </w:r>
          </w:p>
        </w:tc>
        <w:tc>
          <w:tcPr>
            <w:tcW w:w="87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1</w:t>
            </w:r>
          </w:p>
        </w:tc>
        <w:tc>
          <w:tcPr>
            <w:tcW w:w="75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1</w:t>
            </w:r>
          </w:p>
        </w:tc>
        <w:tc>
          <w:tcPr>
            <w:tcW w:w="1296" w:type="dxa"/>
            <w:shd w:val="clear" w:color="auto" w:fill="auto"/>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1</w:t>
            </w:r>
          </w:p>
        </w:tc>
        <w:tc>
          <w:tcPr>
            <w:tcW w:w="79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3</w:t>
            </w:r>
          </w:p>
        </w:tc>
        <w:tc>
          <w:tcPr>
            <w:tcW w:w="103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33.3%</w:t>
            </w:r>
          </w:p>
        </w:tc>
        <w:tc>
          <w:tcPr>
            <w:tcW w:w="897" w:type="dxa"/>
            <w:shd w:val="clear" w:color="auto" w:fill="auto"/>
            <w:noWrap/>
            <w:vAlign w:val="center"/>
            <w:hideMark/>
          </w:tcPr>
          <w:p w:rsidR="00D325B7" w:rsidRPr="00D325B7" w:rsidRDefault="00D325B7" w:rsidP="001E0F80">
            <w:pPr>
              <w:spacing w:after="0" w:line="240" w:lineRule="auto"/>
              <w:jc w:val="center"/>
              <w:rPr>
                <w:rFonts w:eastAsia="Times New Roman"/>
                <w:b/>
                <w:lang w:eastAsia="en-GB"/>
              </w:rPr>
            </w:pPr>
            <w:r w:rsidRPr="00D325B7">
              <w:rPr>
                <w:rFonts w:eastAsia="Times New Roman"/>
                <w:b/>
                <w:lang w:eastAsia="en-GB"/>
              </w:rPr>
              <w:t>33.3%</w:t>
            </w:r>
          </w:p>
        </w:tc>
      </w:tr>
      <w:tr w:rsidR="00D325B7" w:rsidRPr="00A950CA" w:rsidTr="00D325B7">
        <w:trPr>
          <w:cantSplit/>
          <w:trHeight w:val="330"/>
          <w:tblHeader/>
          <w:jc w:val="center"/>
        </w:trPr>
        <w:tc>
          <w:tcPr>
            <w:tcW w:w="4178" w:type="dxa"/>
            <w:shd w:val="clear" w:color="auto" w:fill="auto"/>
            <w:noWrap/>
            <w:vAlign w:val="center"/>
            <w:hideMark/>
          </w:tcPr>
          <w:p w:rsidR="00D325B7" w:rsidRPr="00611E5E" w:rsidRDefault="00D325B7" w:rsidP="001E0F80">
            <w:pPr>
              <w:spacing w:after="0" w:line="240" w:lineRule="auto"/>
              <w:rPr>
                <w:rFonts w:eastAsia="Times New Roman"/>
                <w:b/>
                <w:bCs/>
                <w:color w:val="000000"/>
                <w:lang w:eastAsia="en-GB"/>
              </w:rPr>
            </w:pPr>
            <w:r w:rsidRPr="00611E5E">
              <w:rPr>
                <w:rFonts w:eastAsia="Times New Roman"/>
                <w:b/>
                <w:bCs/>
                <w:color w:val="000000"/>
                <w:lang w:eastAsia="en-GB"/>
              </w:rPr>
              <w:t>Medical: Consultants</w:t>
            </w:r>
          </w:p>
        </w:tc>
        <w:tc>
          <w:tcPr>
            <w:tcW w:w="87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322</w:t>
            </w:r>
          </w:p>
        </w:tc>
        <w:tc>
          <w:tcPr>
            <w:tcW w:w="75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152</w:t>
            </w:r>
          </w:p>
        </w:tc>
        <w:tc>
          <w:tcPr>
            <w:tcW w:w="1296"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15</w:t>
            </w:r>
          </w:p>
        </w:tc>
        <w:tc>
          <w:tcPr>
            <w:tcW w:w="79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489</w:t>
            </w:r>
          </w:p>
        </w:tc>
        <w:tc>
          <w:tcPr>
            <w:tcW w:w="103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65.8%</w:t>
            </w:r>
          </w:p>
        </w:tc>
        <w:tc>
          <w:tcPr>
            <w:tcW w:w="897" w:type="dxa"/>
            <w:shd w:val="clear" w:color="auto" w:fill="auto"/>
            <w:noWrap/>
            <w:vAlign w:val="center"/>
            <w:hideMark/>
          </w:tcPr>
          <w:p w:rsidR="00D325B7" w:rsidRPr="00D325B7" w:rsidRDefault="00D325B7" w:rsidP="001E0F80">
            <w:pPr>
              <w:spacing w:after="0" w:line="240" w:lineRule="auto"/>
              <w:jc w:val="center"/>
              <w:rPr>
                <w:rFonts w:eastAsia="Times New Roman"/>
                <w:b/>
                <w:lang w:eastAsia="en-GB"/>
              </w:rPr>
            </w:pPr>
            <w:r w:rsidRPr="00D325B7">
              <w:rPr>
                <w:rFonts w:eastAsia="Times New Roman"/>
                <w:b/>
                <w:lang w:eastAsia="en-GB"/>
              </w:rPr>
              <w:t>31.1%</w:t>
            </w:r>
          </w:p>
        </w:tc>
      </w:tr>
      <w:tr w:rsidR="00D325B7" w:rsidRPr="00A950CA" w:rsidTr="00D325B7">
        <w:trPr>
          <w:cantSplit/>
          <w:trHeight w:val="325"/>
          <w:tblHeader/>
          <w:jc w:val="center"/>
        </w:trPr>
        <w:tc>
          <w:tcPr>
            <w:tcW w:w="4178" w:type="dxa"/>
            <w:shd w:val="clear" w:color="auto" w:fill="auto"/>
            <w:vAlign w:val="center"/>
            <w:hideMark/>
          </w:tcPr>
          <w:p w:rsidR="00D325B7" w:rsidRPr="00611E5E" w:rsidRDefault="00D325B7" w:rsidP="001E0F80">
            <w:pPr>
              <w:spacing w:after="0" w:line="240" w:lineRule="auto"/>
              <w:rPr>
                <w:rFonts w:eastAsia="Times New Roman"/>
                <w:b/>
                <w:bCs/>
                <w:color w:val="000000"/>
                <w:lang w:eastAsia="en-GB"/>
              </w:rPr>
            </w:pPr>
            <w:r w:rsidRPr="00611E5E">
              <w:rPr>
                <w:rFonts w:eastAsia="Times New Roman"/>
                <w:b/>
                <w:bCs/>
                <w:color w:val="000000"/>
                <w:lang w:eastAsia="en-GB"/>
              </w:rPr>
              <w:t>Medical: Non-consultant career grade</w:t>
            </w:r>
          </w:p>
        </w:tc>
        <w:tc>
          <w:tcPr>
            <w:tcW w:w="87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27</w:t>
            </w:r>
          </w:p>
        </w:tc>
        <w:tc>
          <w:tcPr>
            <w:tcW w:w="75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26</w:t>
            </w:r>
          </w:p>
        </w:tc>
        <w:tc>
          <w:tcPr>
            <w:tcW w:w="1296"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2</w:t>
            </w:r>
          </w:p>
        </w:tc>
        <w:tc>
          <w:tcPr>
            <w:tcW w:w="79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55</w:t>
            </w:r>
          </w:p>
        </w:tc>
        <w:tc>
          <w:tcPr>
            <w:tcW w:w="103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49.1%</w:t>
            </w:r>
          </w:p>
        </w:tc>
        <w:tc>
          <w:tcPr>
            <w:tcW w:w="897" w:type="dxa"/>
            <w:shd w:val="clear" w:color="auto" w:fill="auto"/>
            <w:noWrap/>
            <w:vAlign w:val="center"/>
            <w:hideMark/>
          </w:tcPr>
          <w:p w:rsidR="00D325B7" w:rsidRPr="00D325B7" w:rsidRDefault="00D325B7" w:rsidP="001E0F80">
            <w:pPr>
              <w:spacing w:after="0" w:line="240" w:lineRule="auto"/>
              <w:jc w:val="center"/>
              <w:rPr>
                <w:rFonts w:eastAsia="Times New Roman"/>
                <w:b/>
                <w:lang w:eastAsia="en-GB"/>
              </w:rPr>
            </w:pPr>
            <w:r w:rsidRPr="00D325B7">
              <w:rPr>
                <w:rFonts w:eastAsia="Times New Roman"/>
                <w:b/>
                <w:lang w:eastAsia="en-GB"/>
              </w:rPr>
              <w:t>47.3%</w:t>
            </w:r>
          </w:p>
        </w:tc>
      </w:tr>
      <w:tr w:rsidR="00D325B7" w:rsidRPr="00A950CA" w:rsidTr="00D325B7">
        <w:trPr>
          <w:cantSplit/>
          <w:trHeight w:val="330"/>
          <w:tblHeader/>
          <w:jc w:val="center"/>
        </w:trPr>
        <w:tc>
          <w:tcPr>
            <w:tcW w:w="4178" w:type="dxa"/>
            <w:shd w:val="clear" w:color="auto" w:fill="auto"/>
            <w:noWrap/>
            <w:vAlign w:val="center"/>
            <w:hideMark/>
          </w:tcPr>
          <w:p w:rsidR="00D325B7" w:rsidRPr="00611E5E" w:rsidRDefault="00D325B7" w:rsidP="001E0F80">
            <w:pPr>
              <w:spacing w:after="0" w:line="240" w:lineRule="auto"/>
              <w:rPr>
                <w:rFonts w:eastAsia="Times New Roman"/>
                <w:b/>
                <w:bCs/>
                <w:color w:val="000000"/>
                <w:lang w:eastAsia="en-GB"/>
              </w:rPr>
            </w:pPr>
            <w:r w:rsidRPr="00611E5E">
              <w:rPr>
                <w:rFonts w:eastAsia="Times New Roman"/>
                <w:b/>
                <w:bCs/>
                <w:color w:val="000000"/>
                <w:lang w:eastAsia="en-GB"/>
              </w:rPr>
              <w:t>Medical: Trainee</w:t>
            </w:r>
          </w:p>
        </w:tc>
        <w:tc>
          <w:tcPr>
            <w:tcW w:w="87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432</w:t>
            </w:r>
          </w:p>
        </w:tc>
        <w:tc>
          <w:tcPr>
            <w:tcW w:w="75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239</w:t>
            </w:r>
          </w:p>
        </w:tc>
        <w:tc>
          <w:tcPr>
            <w:tcW w:w="1296"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92</w:t>
            </w:r>
          </w:p>
        </w:tc>
        <w:tc>
          <w:tcPr>
            <w:tcW w:w="79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763</w:t>
            </w:r>
          </w:p>
        </w:tc>
        <w:tc>
          <w:tcPr>
            <w:tcW w:w="1030" w:type="dxa"/>
            <w:shd w:val="clear" w:color="auto" w:fill="auto"/>
            <w:noWrap/>
            <w:vAlign w:val="center"/>
            <w:hideMark/>
          </w:tcPr>
          <w:p w:rsidR="00D325B7" w:rsidRPr="00611E5E" w:rsidRDefault="00D325B7" w:rsidP="001E0F80">
            <w:pPr>
              <w:spacing w:after="0" w:line="240" w:lineRule="auto"/>
              <w:jc w:val="center"/>
              <w:rPr>
                <w:rFonts w:eastAsia="Times New Roman"/>
                <w:color w:val="000000"/>
                <w:lang w:eastAsia="en-GB"/>
              </w:rPr>
            </w:pPr>
            <w:r w:rsidRPr="00611E5E">
              <w:rPr>
                <w:rFonts w:eastAsia="Times New Roman"/>
                <w:color w:val="000000"/>
                <w:lang w:eastAsia="en-GB"/>
              </w:rPr>
              <w:t>56.6%</w:t>
            </w:r>
          </w:p>
        </w:tc>
        <w:tc>
          <w:tcPr>
            <w:tcW w:w="897" w:type="dxa"/>
            <w:shd w:val="clear" w:color="auto" w:fill="auto"/>
            <w:noWrap/>
            <w:vAlign w:val="center"/>
            <w:hideMark/>
          </w:tcPr>
          <w:p w:rsidR="00D325B7" w:rsidRPr="00D325B7" w:rsidRDefault="00D325B7" w:rsidP="001E0F80">
            <w:pPr>
              <w:spacing w:after="0" w:line="240" w:lineRule="auto"/>
              <w:jc w:val="center"/>
              <w:rPr>
                <w:rFonts w:eastAsia="Times New Roman"/>
                <w:b/>
                <w:lang w:eastAsia="en-GB"/>
              </w:rPr>
            </w:pPr>
            <w:r w:rsidRPr="00D325B7">
              <w:rPr>
                <w:rFonts w:eastAsia="Times New Roman"/>
                <w:b/>
                <w:lang w:eastAsia="en-GB"/>
              </w:rPr>
              <w:t>31.3%</w:t>
            </w:r>
          </w:p>
        </w:tc>
      </w:tr>
      <w:tr w:rsidR="00D325B7" w:rsidRPr="00D325B7" w:rsidTr="00D325B7">
        <w:trPr>
          <w:cantSplit/>
          <w:trHeight w:val="330"/>
          <w:tblHeader/>
          <w:jc w:val="center"/>
        </w:trPr>
        <w:tc>
          <w:tcPr>
            <w:tcW w:w="4178" w:type="dxa"/>
            <w:shd w:val="clear" w:color="auto" w:fill="auto"/>
            <w:noWrap/>
            <w:vAlign w:val="center"/>
            <w:hideMark/>
          </w:tcPr>
          <w:p w:rsidR="00D325B7" w:rsidRPr="00CF4848" w:rsidRDefault="00CF4848" w:rsidP="00D325B7">
            <w:pPr>
              <w:spacing w:after="0" w:line="240" w:lineRule="auto"/>
              <w:rPr>
                <w:rFonts w:eastAsia="Times New Roman"/>
                <w:b/>
                <w:bCs/>
                <w:lang w:eastAsia="en-GB"/>
              </w:rPr>
            </w:pPr>
            <w:r w:rsidRPr="00CF4848">
              <w:rPr>
                <w:rFonts w:eastAsia="Times New Roman"/>
                <w:b/>
                <w:bCs/>
                <w:lang w:eastAsia="en-GB"/>
              </w:rPr>
              <w:t xml:space="preserve">All Clinical </w:t>
            </w:r>
            <w:r>
              <w:rPr>
                <w:rFonts w:eastAsia="Times New Roman"/>
                <w:b/>
                <w:bCs/>
                <w:lang w:eastAsia="en-GB"/>
              </w:rPr>
              <w:t>r</w:t>
            </w:r>
            <w:r w:rsidRPr="00CF4848">
              <w:rPr>
                <w:rFonts w:eastAsia="Times New Roman"/>
                <w:b/>
                <w:bCs/>
                <w:lang w:eastAsia="en-GB"/>
              </w:rPr>
              <w:t>oles</w:t>
            </w:r>
          </w:p>
        </w:tc>
        <w:tc>
          <w:tcPr>
            <w:tcW w:w="870" w:type="dxa"/>
            <w:shd w:val="clear" w:color="auto" w:fill="auto"/>
            <w:noWrap/>
            <w:vAlign w:val="center"/>
            <w:hideMark/>
          </w:tcPr>
          <w:p w:rsidR="00D325B7" w:rsidRPr="00D325B7" w:rsidRDefault="00D325B7" w:rsidP="001E0F80">
            <w:pPr>
              <w:spacing w:after="0" w:line="240" w:lineRule="auto"/>
              <w:jc w:val="center"/>
              <w:rPr>
                <w:rFonts w:eastAsia="Times New Roman"/>
                <w:bCs/>
                <w:lang w:eastAsia="en-GB"/>
              </w:rPr>
            </w:pPr>
            <w:r w:rsidRPr="00D325B7">
              <w:rPr>
                <w:rFonts w:eastAsia="Times New Roman"/>
                <w:bCs/>
                <w:lang w:eastAsia="en-GB"/>
              </w:rPr>
              <w:t>4735</w:t>
            </w:r>
          </w:p>
        </w:tc>
        <w:tc>
          <w:tcPr>
            <w:tcW w:w="750" w:type="dxa"/>
            <w:shd w:val="clear" w:color="auto" w:fill="auto"/>
            <w:noWrap/>
            <w:vAlign w:val="center"/>
            <w:hideMark/>
          </w:tcPr>
          <w:p w:rsidR="00D325B7" w:rsidRPr="00D325B7" w:rsidRDefault="00D325B7" w:rsidP="001E0F80">
            <w:pPr>
              <w:spacing w:after="0" w:line="240" w:lineRule="auto"/>
              <w:jc w:val="center"/>
              <w:rPr>
                <w:rFonts w:eastAsia="Times New Roman"/>
                <w:bCs/>
                <w:lang w:eastAsia="en-GB"/>
              </w:rPr>
            </w:pPr>
            <w:r w:rsidRPr="00D325B7">
              <w:rPr>
                <w:rFonts w:eastAsia="Times New Roman"/>
                <w:bCs/>
                <w:lang w:eastAsia="en-GB"/>
              </w:rPr>
              <w:t>1470</w:t>
            </w:r>
          </w:p>
        </w:tc>
        <w:tc>
          <w:tcPr>
            <w:tcW w:w="1296" w:type="dxa"/>
            <w:shd w:val="clear" w:color="auto" w:fill="auto"/>
            <w:noWrap/>
            <w:vAlign w:val="center"/>
            <w:hideMark/>
          </w:tcPr>
          <w:p w:rsidR="00D325B7" w:rsidRPr="00D325B7" w:rsidRDefault="00D325B7" w:rsidP="001E0F80">
            <w:pPr>
              <w:spacing w:after="0" w:line="240" w:lineRule="auto"/>
              <w:jc w:val="center"/>
              <w:rPr>
                <w:rFonts w:eastAsia="Times New Roman"/>
                <w:bCs/>
                <w:lang w:eastAsia="en-GB"/>
              </w:rPr>
            </w:pPr>
            <w:r w:rsidRPr="00D325B7">
              <w:rPr>
                <w:rFonts w:eastAsia="Times New Roman"/>
                <w:bCs/>
                <w:lang w:eastAsia="en-GB"/>
              </w:rPr>
              <w:t>198</w:t>
            </w:r>
          </w:p>
        </w:tc>
        <w:tc>
          <w:tcPr>
            <w:tcW w:w="790" w:type="dxa"/>
            <w:shd w:val="clear" w:color="auto" w:fill="auto"/>
            <w:noWrap/>
            <w:vAlign w:val="center"/>
            <w:hideMark/>
          </w:tcPr>
          <w:p w:rsidR="00D325B7" w:rsidRPr="00D325B7" w:rsidRDefault="00D325B7" w:rsidP="001E0F80">
            <w:pPr>
              <w:spacing w:after="0" w:line="240" w:lineRule="auto"/>
              <w:jc w:val="center"/>
              <w:rPr>
                <w:rFonts w:eastAsia="Times New Roman"/>
                <w:bCs/>
                <w:lang w:eastAsia="en-GB"/>
              </w:rPr>
            </w:pPr>
            <w:r w:rsidRPr="00D325B7">
              <w:rPr>
                <w:rFonts w:eastAsia="Times New Roman"/>
                <w:bCs/>
                <w:lang w:eastAsia="en-GB"/>
              </w:rPr>
              <w:t>6403</w:t>
            </w:r>
          </w:p>
        </w:tc>
        <w:tc>
          <w:tcPr>
            <w:tcW w:w="1030" w:type="dxa"/>
            <w:shd w:val="clear" w:color="auto" w:fill="auto"/>
            <w:noWrap/>
            <w:vAlign w:val="center"/>
            <w:hideMark/>
          </w:tcPr>
          <w:p w:rsidR="00D325B7" w:rsidRPr="00D325B7" w:rsidRDefault="00D325B7" w:rsidP="001E0F80">
            <w:pPr>
              <w:spacing w:after="0" w:line="240" w:lineRule="auto"/>
              <w:jc w:val="center"/>
              <w:rPr>
                <w:rFonts w:eastAsia="Times New Roman"/>
                <w:bCs/>
                <w:lang w:eastAsia="en-GB"/>
              </w:rPr>
            </w:pPr>
            <w:r w:rsidRPr="00D325B7">
              <w:rPr>
                <w:rFonts w:eastAsia="Times New Roman"/>
                <w:bCs/>
                <w:lang w:eastAsia="en-GB"/>
              </w:rPr>
              <w:t>73.9%</w:t>
            </w:r>
          </w:p>
        </w:tc>
        <w:tc>
          <w:tcPr>
            <w:tcW w:w="897" w:type="dxa"/>
            <w:shd w:val="clear" w:color="auto" w:fill="auto"/>
            <w:noWrap/>
            <w:vAlign w:val="center"/>
            <w:hideMark/>
          </w:tcPr>
          <w:p w:rsidR="00D325B7" w:rsidRPr="0056304B" w:rsidRDefault="00D325B7" w:rsidP="001E0F80">
            <w:pPr>
              <w:spacing w:after="0" w:line="240" w:lineRule="auto"/>
              <w:jc w:val="center"/>
              <w:rPr>
                <w:rFonts w:eastAsia="Times New Roman"/>
                <w:b/>
                <w:bCs/>
                <w:lang w:eastAsia="en-GB"/>
              </w:rPr>
            </w:pPr>
            <w:r w:rsidRPr="0056304B">
              <w:rPr>
                <w:rFonts w:eastAsia="Times New Roman"/>
                <w:b/>
                <w:bCs/>
                <w:lang w:eastAsia="en-GB"/>
              </w:rPr>
              <w:t>23.0%</w:t>
            </w:r>
          </w:p>
        </w:tc>
      </w:tr>
    </w:tbl>
    <w:p w:rsidR="00D325B7" w:rsidRDefault="00D325B7" w:rsidP="00A97DB7"/>
    <w:p w:rsidR="00D325B7" w:rsidRPr="00E93506" w:rsidRDefault="00D325B7" w:rsidP="00D325B7">
      <w:pPr>
        <w:rPr>
          <w:b/>
          <w:szCs w:val="24"/>
        </w:rPr>
      </w:pPr>
      <w:r w:rsidRPr="00994AC2">
        <w:rPr>
          <w:b/>
          <w:szCs w:val="24"/>
        </w:rPr>
        <w:lastRenderedPageBreak/>
        <w:t xml:space="preserve">Historical </w:t>
      </w:r>
      <w:r>
        <w:rPr>
          <w:b/>
          <w:szCs w:val="24"/>
        </w:rPr>
        <w:t>c</w:t>
      </w:r>
      <w:r w:rsidRPr="00994AC2">
        <w:rPr>
          <w:b/>
          <w:szCs w:val="24"/>
        </w:rPr>
        <w:t>omparison</w:t>
      </w:r>
      <w:r>
        <w:rPr>
          <w:b/>
          <w:szCs w:val="24"/>
        </w:rPr>
        <w:t xml:space="preserve"> from previous WRES reports</w:t>
      </w:r>
      <w:r w:rsidRPr="00994AC2">
        <w:rPr>
          <w:b/>
          <w:szCs w:val="24"/>
        </w:rPr>
        <w:br/>
      </w:r>
      <w:r>
        <w:rPr>
          <w:noProof/>
          <w:lang w:eastAsia="en-GB"/>
        </w:rPr>
        <w:drawing>
          <wp:inline distT="0" distB="0" distL="0" distR="0" wp14:anchorId="47022AFA" wp14:editId="393781E0">
            <wp:extent cx="5964382" cy="2712027"/>
            <wp:effectExtent l="0" t="0" r="0" b="0"/>
            <wp:docPr id="23" name="Chart 23" title="Historical comparison from previous WRES reports for BSUH"/>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szCs w:val="24"/>
        </w:rPr>
        <w:t>Compared to the overall workforce, there is a higher than an expected representation of BME staff in band 1-5 and medical grades. However, within bands 6-9, there is a lower than an expected representation of BME staff. Compared to recent years that has been a year-on-year increase in the representation of BME staff in bands 6-8a.</w:t>
      </w:r>
    </w:p>
    <w:p w:rsidR="00BE14BF" w:rsidRDefault="00BE14BF" w:rsidP="00BE14BF">
      <w:pPr>
        <w:pStyle w:val="Heading3"/>
      </w:pPr>
      <w:bookmarkStart w:id="18" w:name="_Toc79152355"/>
      <w:r>
        <w:t xml:space="preserve">Western Sussex Hospitals NHS </w:t>
      </w:r>
      <w:proofErr w:type="spellStart"/>
      <w:r>
        <w:t>Foundation</w:t>
      </w:r>
      <w:r w:rsidRPr="00A97DB7">
        <w:t>Trust</w:t>
      </w:r>
      <w:proofErr w:type="spellEnd"/>
      <w:r w:rsidRPr="00A97DB7">
        <w:t>:</w:t>
      </w:r>
      <w:bookmarkEnd w:id="18"/>
    </w:p>
    <w:p w:rsidR="00BE14BF" w:rsidRDefault="00BE14BF" w:rsidP="00BE14BF">
      <w:r>
        <w:t>**The overall percentage in the tables is compared to the 18.1% r</w:t>
      </w:r>
      <w:r w:rsidRPr="00726AAD">
        <w:t xml:space="preserve">epresentation </w:t>
      </w:r>
      <w:r>
        <w:t>of BME staff in the overall workforce. Items in bold text highlight a higher than expected representation of BME staff in that pay banding.</w:t>
      </w:r>
    </w:p>
    <w:p w:rsidR="00BE14BF" w:rsidRDefault="00BE14BF" w:rsidP="00BE14BF">
      <w:pPr>
        <w:rPr>
          <w:b/>
        </w:rPr>
      </w:pPr>
      <w:r>
        <w:rPr>
          <w:b/>
        </w:rPr>
        <w:t>For Non-clinical Roles:</w:t>
      </w:r>
    </w:p>
    <w:tbl>
      <w:tblPr>
        <w:tblW w:w="8946" w:type="dxa"/>
        <w:tblInd w:w="93" w:type="dxa"/>
        <w:tblLook w:val="04A0" w:firstRow="1" w:lastRow="0" w:firstColumn="1" w:lastColumn="0" w:noHBand="0" w:noVBand="1"/>
        <w:tblCaption w:val="Breakdown of WSHT workforce represenation in non-clinical roles by banding and ethnicity"/>
      </w:tblPr>
      <w:tblGrid>
        <w:gridCol w:w="2709"/>
        <w:gridCol w:w="870"/>
        <w:gridCol w:w="750"/>
        <w:gridCol w:w="1340"/>
        <w:gridCol w:w="790"/>
        <w:gridCol w:w="1160"/>
        <w:gridCol w:w="1327"/>
      </w:tblGrid>
      <w:tr w:rsidR="00BE14BF" w:rsidRPr="00BE14BF" w:rsidTr="00BE14BF">
        <w:trPr>
          <w:cantSplit/>
          <w:trHeight w:val="648"/>
          <w:tblHeader/>
        </w:trPr>
        <w:tc>
          <w:tcPr>
            <w:tcW w:w="2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E14BF" w:rsidRPr="00BE14BF" w:rsidRDefault="00BE14BF" w:rsidP="00A702A0">
            <w:pPr>
              <w:spacing w:after="0" w:line="240" w:lineRule="auto"/>
              <w:rPr>
                <w:rFonts w:eastAsia="Times New Roman"/>
                <w:b/>
                <w:color w:val="000000"/>
                <w:szCs w:val="24"/>
                <w:lang w:eastAsia="en-GB"/>
              </w:rPr>
            </w:pPr>
            <w:r w:rsidRPr="00BE14BF">
              <w:rPr>
                <w:rFonts w:eastAsia="Times New Roman"/>
                <w:b/>
                <w:color w:val="000000"/>
                <w:szCs w:val="24"/>
                <w:lang w:eastAsia="en-GB"/>
              </w:rPr>
              <w:t>Pay banding </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4BF" w:rsidRPr="00BE14BF" w:rsidRDefault="00BE14BF" w:rsidP="00A702A0">
            <w:pPr>
              <w:spacing w:after="0" w:line="240" w:lineRule="auto"/>
              <w:rPr>
                <w:rFonts w:eastAsia="Times New Roman"/>
                <w:b/>
                <w:bCs/>
                <w:color w:val="000000"/>
                <w:szCs w:val="24"/>
                <w:lang w:eastAsia="en-GB"/>
              </w:rPr>
            </w:pPr>
            <w:r w:rsidRPr="00BE14BF">
              <w:rPr>
                <w:rFonts w:eastAsia="Times New Roman"/>
                <w:b/>
                <w:bCs/>
                <w:color w:val="000000"/>
                <w:szCs w:val="24"/>
                <w:lang w:eastAsia="en-GB"/>
              </w:rPr>
              <w:t>White</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4BF" w:rsidRPr="00BE14BF" w:rsidRDefault="00BE14BF" w:rsidP="00A702A0">
            <w:pPr>
              <w:spacing w:after="0" w:line="240" w:lineRule="auto"/>
              <w:rPr>
                <w:rFonts w:eastAsia="Times New Roman"/>
                <w:b/>
                <w:bCs/>
                <w:color w:val="000000"/>
                <w:szCs w:val="24"/>
                <w:lang w:eastAsia="en-GB"/>
              </w:rPr>
            </w:pPr>
            <w:r w:rsidRPr="00BE14BF">
              <w:rPr>
                <w:rFonts w:eastAsia="Times New Roman"/>
                <w:b/>
                <w:bCs/>
                <w:color w:val="000000"/>
                <w:szCs w:val="24"/>
                <w:lang w:eastAsia="en-GB"/>
              </w:rPr>
              <w:t>BME</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4BF" w:rsidRPr="00BE14BF" w:rsidRDefault="00BE14BF" w:rsidP="00A702A0">
            <w:pPr>
              <w:spacing w:after="0" w:line="240" w:lineRule="auto"/>
              <w:rPr>
                <w:rFonts w:eastAsia="Times New Roman"/>
                <w:b/>
                <w:bCs/>
                <w:color w:val="000000"/>
                <w:szCs w:val="24"/>
                <w:lang w:eastAsia="en-GB"/>
              </w:rPr>
            </w:pPr>
            <w:r w:rsidRPr="00BE14BF">
              <w:rPr>
                <w:rFonts w:eastAsia="Times New Roman"/>
                <w:b/>
                <w:bCs/>
                <w:color w:val="000000"/>
                <w:szCs w:val="24"/>
                <w:lang w:eastAsia="en-GB"/>
              </w:rPr>
              <w:t>Unknown</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4BF" w:rsidRPr="00BE14BF" w:rsidRDefault="00BE14BF" w:rsidP="00A702A0">
            <w:pPr>
              <w:spacing w:after="0" w:line="240" w:lineRule="auto"/>
              <w:rPr>
                <w:rFonts w:eastAsia="Times New Roman"/>
                <w:b/>
                <w:bCs/>
                <w:color w:val="000000"/>
                <w:szCs w:val="24"/>
                <w:lang w:eastAsia="en-GB"/>
              </w:rPr>
            </w:pPr>
            <w:r w:rsidRPr="00BE14BF">
              <w:rPr>
                <w:rFonts w:eastAsia="Times New Roman"/>
                <w:b/>
                <w:bCs/>
                <w:color w:val="000000"/>
                <w:szCs w:val="24"/>
                <w:lang w:eastAsia="en-GB"/>
              </w:rPr>
              <w:t>Total</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4BF" w:rsidRPr="00BE14BF" w:rsidRDefault="00BE14BF" w:rsidP="00A702A0">
            <w:pPr>
              <w:spacing w:after="0" w:line="240" w:lineRule="auto"/>
              <w:rPr>
                <w:rFonts w:eastAsia="Times New Roman"/>
                <w:b/>
                <w:bCs/>
                <w:color w:val="000000"/>
                <w:szCs w:val="24"/>
                <w:lang w:eastAsia="en-GB"/>
              </w:rPr>
            </w:pPr>
            <w:r w:rsidRPr="00BE14BF">
              <w:rPr>
                <w:rFonts w:eastAsia="Times New Roman"/>
                <w:b/>
                <w:bCs/>
                <w:color w:val="000000"/>
                <w:szCs w:val="24"/>
                <w:lang w:eastAsia="en-GB"/>
              </w:rPr>
              <w:t>White %</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4BF" w:rsidRPr="00BE14BF" w:rsidRDefault="00BE14BF" w:rsidP="00A702A0">
            <w:pPr>
              <w:spacing w:after="0" w:line="240" w:lineRule="auto"/>
              <w:rPr>
                <w:rFonts w:eastAsia="Times New Roman"/>
                <w:b/>
                <w:bCs/>
                <w:color w:val="000000"/>
                <w:szCs w:val="24"/>
                <w:lang w:eastAsia="en-GB"/>
              </w:rPr>
            </w:pPr>
            <w:r w:rsidRPr="00BE14BF">
              <w:rPr>
                <w:rFonts w:eastAsia="Times New Roman"/>
                <w:b/>
                <w:bCs/>
                <w:color w:val="000000"/>
                <w:szCs w:val="24"/>
                <w:lang w:eastAsia="en-GB"/>
              </w:rPr>
              <w:t>**BME %</w:t>
            </w:r>
          </w:p>
        </w:tc>
      </w:tr>
      <w:tr w:rsidR="00BE14BF" w:rsidRPr="00F933D0" w:rsidTr="00BE14BF">
        <w:trPr>
          <w:cantSplit/>
          <w:trHeight w:val="336"/>
          <w:tblHeader/>
        </w:trPr>
        <w:tc>
          <w:tcPr>
            <w:tcW w:w="2709"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rPr>
                <w:rFonts w:eastAsia="Times New Roman"/>
                <w:b/>
                <w:bCs/>
                <w:color w:val="000000"/>
                <w:szCs w:val="24"/>
                <w:lang w:eastAsia="en-GB"/>
              </w:rPr>
            </w:pPr>
            <w:r w:rsidRPr="00F933D0">
              <w:rPr>
                <w:rFonts w:eastAsia="Times New Roman"/>
                <w:b/>
                <w:bCs/>
                <w:color w:val="000000"/>
                <w:szCs w:val="24"/>
                <w:lang w:eastAsia="en-GB"/>
              </w:rPr>
              <w:t>Band 1</w:t>
            </w:r>
          </w:p>
        </w:tc>
        <w:tc>
          <w:tcPr>
            <w:tcW w:w="870" w:type="dxa"/>
            <w:tcBorders>
              <w:top w:val="single" w:sz="4" w:space="0" w:color="auto"/>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28</w:t>
            </w:r>
          </w:p>
        </w:tc>
        <w:tc>
          <w:tcPr>
            <w:tcW w:w="750" w:type="dxa"/>
            <w:tcBorders>
              <w:top w:val="single" w:sz="4" w:space="0" w:color="auto"/>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3</w:t>
            </w:r>
          </w:p>
        </w:tc>
        <w:tc>
          <w:tcPr>
            <w:tcW w:w="1340" w:type="dxa"/>
            <w:tcBorders>
              <w:top w:val="single" w:sz="4" w:space="0" w:color="auto"/>
              <w:left w:val="nil"/>
              <w:bottom w:val="single" w:sz="12" w:space="0" w:color="auto"/>
              <w:right w:val="single" w:sz="12" w:space="0" w:color="auto"/>
            </w:tcBorders>
            <w:shd w:val="clear" w:color="auto" w:fill="auto"/>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 </w:t>
            </w:r>
          </w:p>
        </w:tc>
        <w:tc>
          <w:tcPr>
            <w:tcW w:w="790" w:type="dxa"/>
            <w:tcBorders>
              <w:top w:val="single" w:sz="4" w:space="0" w:color="auto"/>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31</w:t>
            </w:r>
          </w:p>
        </w:tc>
        <w:tc>
          <w:tcPr>
            <w:tcW w:w="1160" w:type="dxa"/>
            <w:tcBorders>
              <w:top w:val="single" w:sz="4" w:space="0" w:color="auto"/>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90.3%</w:t>
            </w:r>
          </w:p>
        </w:tc>
        <w:tc>
          <w:tcPr>
            <w:tcW w:w="1327" w:type="dxa"/>
            <w:tcBorders>
              <w:top w:val="single" w:sz="4" w:space="0" w:color="auto"/>
              <w:left w:val="nil"/>
              <w:bottom w:val="single" w:sz="12" w:space="0" w:color="auto"/>
              <w:right w:val="single" w:sz="12" w:space="0" w:color="auto"/>
            </w:tcBorders>
            <w:shd w:val="clear" w:color="auto" w:fill="auto"/>
            <w:noWrap/>
            <w:vAlign w:val="center"/>
            <w:hideMark/>
          </w:tcPr>
          <w:p w:rsidR="00BE14BF" w:rsidRPr="00BE14BF" w:rsidRDefault="00BE14BF" w:rsidP="001E0F80">
            <w:pPr>
              <w:spacing w:after="0" w:line="240" w:lineRule="auto"/>
              <w:jc w:val="center"/>
              <w:rPr>
                <w:rFonts w:eastAsia="Times New Roman"/>
                <w:szCs w:val="24"/>
                <w:lang w:eastAsia="en-GB"/>
              </w:rPr>
            </w:pPr>
            <w:r w:rsidRPr="00BE14BF">
              <w:rPr>
                <w:rFonts w:eastAsia="Times New Roman"/>
                <w:szCs w:val="24"/>
                <w:lang w:eastAsia="en-GB"/>
              </w:rPr>
              <w:t>9.7%</w:t>
            </w:r>
          </w:p>
        </w:tc>
      </w:tr>
      <w:tr w:rsidR="00BE14BF" w:rsidRPr="00F933D0" w:rsidTr="00BE14BF">
        <w:trPr>
          <w:cantSplit/>
          <w:trHeight w:val="336"/>
          <w:tblHeader/>
        </w:trPr>
        <w:tc>
          <w:tcPr>
            <w:tcW w:w="2709" w:type="dxa"/>
            <w:tcBorders>
              <w:top w:val="nil"/>
              <w:left w:val="single" w:sz="12" w:space="0" w:color="auto"/>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rPr>
                <w:rFonts w:eastAsia="Times New Roman"/>
                <w:b/>
                <w:bCs/>
                <w:color w:val="000000"/>
                <w:szCs w:val="24"/>
                <w:lang w:eastAsia="en-GB"/>
              </w:rPr>
            </w:pPr>
            <w:r w:rsidRPr="00F933D0">
              <w:rPr>
                <w:rFonts w:eastAsia="Times New Roman"/>
                <w:b/>
                <w:bCs/>
                <w:color w:val="000000"/>
                <w:szCs w:val="24"/>
                <w:lang w:eastAsia="en-GB"/>
              </w:rPr>
              <w:t>Band 2</w:t>
            </w:r>
          </w:p>
        </w:tc>
        <w:tc>
          <w:tcPr>
            <w:tcW w:w="87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685</w:t>
            </w:r>
          </w:p>
        </w:tc>
        <w:tc>
          <w:tcPr>
            <w:tcW w:w="75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85</w:t>
            </w:r>
          </w:p>
        </w:tc>
        <w:tc>
          <w:tcPr>
            <w:tcW w:w="1340" w:type="dxa"/>
            <w:tcBorders>
              <w:top w:val="nil"/>
              <w:left w:val="nil"/>
              <w:bottom w:val="single" w:sz="12" w:space="0" w:color="auto"/>
              <w:right w:val="single" w:sz="12" w:space="0" w:color="auto"/>
            </w:tcBorders>
            <w:shd w:val="clear" w:color="auto" w:fill="auto"/>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24</w:t>
            </w:r>
          </w:p>
        </w:tc>
        <w:tc>
          <w:tcPr>
            <w:tcW w:w="79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794</w:t>
            </w:r>
          </w:p>
        </w:tc>
        <w:tc>
          <w:tcPr>
            <w:tcW w:w="116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86.3%</w:t>
            </w:r>
          </w:p>
        </w:tc>
        <w:tc>
          <w:tcPr>
            <w:tcW w:w="1327" w:type="dxa"/>
            <w:tcBorders>
              <w:top w:val="nil"/>
              <w:left w:val="nil"/>
              <w:bottom w:val="single" w:sz="12" w:space="0" w:color="auto"/>
              <w:right w:val="single" w:sz="12" w:space="0" w:color="auto"/>
            </w:tcBorders>
            <w:shd w:val="clear" w:color="auto" w:fill="auto"/>
            <w:noWrap/>
            <w:vAlign w:val="center"/>
            <w:hideMark/>
          </w:tcPr>
          <w:p w:rsidR="00BE14BF" w:rsidRPr="00BE14BF" w:rsidRDefault="00BE14BF" w:rsidP="001E0F80">
            <w:pPr>
              <w:spacing w:after="0" w:line="240" w:lineRule="auto"/>
              <w:jc w:val="center"/>
              <w:rPr>
                <w:rFonts w:eastAsia="Times New Roman"/>
                <w:szCs w:val="24"/>
                <w:lang w:eastAsia="en-GB"/>
              </w:rPr>
            </w:pPr>
            <w:r w:rsidRPr="00BE14BF">
              <w:rPr>
                <w:rFonts w:eastAsia="Times New Roman"/>
                <w:szCs w:val="24"/>
                <w:lang w:eastAsia="en-GB"/>
              </w:rPr>
              <w:t>10.7%</w:t>
            </w:r>
          </w:p>
        </w:tc>
      </w:tr>
      <w:tr w:rsidR="00BE14BF" w:rsidRPr="00F933D0" w:rsidTr="00BE14BF">
        <w:trPr>
          <w:cantSplit/>
          <w:trHeight w:val="336"/>
          <w:tblHeader/>
        </w:trPr>
        <w:tc>
          <w:tcPr>
            <w:tcW w:w="2709" w:type="dxa"/>
            <w:tcBorders>
              <w:top w:val="nil"/>
              <w:left w:val="single" w:sz="12" w:space="0" w:color="auto"/>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rPr>
                <w:rFonts w:eastAsia="Times New Roman"/>
                <w:b/>
                <w:bCs/>
                <w:color w:val="000000"/>
                <w:szCs w:val="24"/>
                <w:lang w:eastAsia="en-GB"/>
              </w:rPr>
            </w:pPr>
            <w:r w:rsidRPr="00F933D0">
              <w:rPr>
                <w:rFonts w:eastAsia="Times New Roman"/>
                <w:b/>
                <w:bCs/>
                <w:color w:val="000000"/>
                <w:szCs w:val="24"/>
                <w:lang w:eastAsia="en-GB"/>
              </w:rPr>
              <w:t>Band 3</w:t>
            </w:r>
          </w:p>
        </w:tc>
        <w:tc>
          <w:tcPr>
            <w:tcW w:w="87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363</w:t>
            </w:r>
          </w:p>
        </w:tc>
        <w:tc>
          <w:tcPr>
            <w:tcW w:w="75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20</w:t>
            </w:r>
          </w:p>
        </w:tc>
        <w:tc>
          <w:tcPr>
            <w:tcW w:w="1340" w:type="dxa"/>
            <w:tcBorders>
              <w:top w:val="nil"/>
              <w:left w:val="nil"/>
              <w:bottom w:val="single" w:sz="12" w:space="0" w:color="auto"/>
              <w:right w:val="single" w:sz="12" w:space="0" w:color="auto"/>
            </w:tcBorders>
            <w:shd w:val="clear" w:color="auto" w:fill="auto"/>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10</w:t>
            </w:r>
          </w:p>
        </w:tc>
        <w:tc>
          <w:tcPr>
            <w:tcW w:w="79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393</w:t>
            </w:r>
          </w:p>
        </w:tc>
        <w:tc>
          <w:tcPr>
            <w:tcW w:w="116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92.4%</w:t>
            </w:r>
          </w:p>
        </w:tc>
        <w:tc>
          <w:tcPr>
            <w:tcW w:w="1327" w:type="dxa"/>
            <w:tcBorders>
              <w:top w:val="nil"/>
              <w:left w:val="nil"/>
              <w:bottom w:val="single" w:sz="12" w:space="0" w:color="auto"/>
              <w:right w:val="single" w:sz="12" w:space="0" w:color="auto"/>
            </w:tcBorders>
            <w:shd w:val="clear" w:color="auto" w:fill="auto"/>
            <w:noWrap/>
            <w:vAlign w:val="center"/>
            <w:hideMark/>
          </w:tcPr>
          <w:p w:rsidR="00BE14BF" w:rsidRPr="00BE14BF" w:rsidRDefault="00BE14BF" w:rsidP="001E0F80">
            <w:pPr>
              <w:spacing w:after="0" w:line="240" w:lineRule="auto"/>
              <w:jc w:val="center"/>
              <w:rPr>
                <w:rFonts w:eastAsia="Times New Roman"/>
                <w:szCs w:val="24"/>
                <w:lang w:eastAsia="en-GB"/>
              </w:rPr>
            </w:pPr>
            <w:r w:rsidRPr="00BE14BF">
              <w:rPr>
                <w:rFonts w:eastAsia="Times New Roman"/>
                <w:szCs w:val="24"/>
                <w:lang w:eastAsia="en-GB"/>
              </w:rPr>
              <w:t>5.1%</w:t>
            </w:r>
          </w:p>
        </w:tc>
      </w:tr>
      <w:tr w:rsidR="00BE14BF" w:rsidRPr="00F933D0" w:rsidTr="00BE14BF">
        <w:trPr>
          <w:cantSplit/>
          <w:trHeight w:val="336"/>
          <w:tblHeader/>
        </w:trPr>
        <w:tc>
          <w:tcPr>
            <w:tcW w:w="2709" w:type="dxa"/>
            <w:tcBorders>
              <w:top w:val="nil"/>
              <w:left w:val="single" w:sz="12" w:space="0" w:color="auto"/>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rPr>
                <w:rFonts w:eastAsia="Times New Roman"/>
                <w:b/>
                <w:bCs/>
                <w:color w:val="000000"/>
                <w:szCs w:val="24"/>
                <w:lang w:eastAsia="en-GB"/>
              </w:rPr>
            </w:pPr>
            <w:r w:rsidRPr="00F933D0">
              <w:rPr>
                <w:rFonts w:eastAsia="Times New Roman"/>
                <w:b/>
                <w:bCs/>
                <w:color w:val="000000"/>
                <w:szCs w:val="24"/>
                <w:lang w:eastAsia="en-GB"/>
              </w:rPr>
              <w:t>Band 4</w:t>
            </w:r>
          </w:p>
        </w:tc>
        <w:tc>
          <w:tcPr>
            <w:tcW w:w="87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286</w:t>
            </w:r>
          </w:p>
        </w:tc>
        <w:tc>
          <w:tcPr>
            <w:tcW w:w="75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15</w:t>
            </w:r>
          </w:p>
        </w:tc>
        <w:tc>
          <w:tcPr>
            <w:tcW w:w="1340" w:type="dxa"/>
            <w:tcBorders>
              <w:top w:val="nil"/>
              <w:left w:val="nil"/>
              <w:bottom w:val="single" w:sz="12" w:space="0" w:color="auto"/>
              <w:right w:val="single" w:sz="12" w:space="0" w:color="auto"/>
            </w:tcBorders>
            <w:shd w:val="clear" w:color="auto" w:fill="auto"/>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4</w:t>
            </w:r>
          </w:p>
        </w:tc>
        <w:tc>
          <w:tcPr>
            <w:tcW w:w="79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305</w:t>
            </w:r>
          </w:p>
        </w:tc>
        <w:tc>
          <w:tcPr>
            <w:tcW w:w="116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93.8%</w:t>
            </w:r>
          </w:p>
        </w:tc>
        <w:tc>
          <w:tcPr>
            <w:tcW w:w="1327" w:type="dxa"/>
            <w:tcBorders>
              <w:top w:val="nil"/>
              <w:left w:val="nil"/>
              <w:bottom w:val="single" w:sz="12" w:space="0" w:color="auto"/>
              <w:right w:val="single" w:sz="12" w:space="0" w:color="auto"/>
            </w:tcBorders>
            <w:shd w:val="clear" w:color="auto" w:fill="auto"/>
            <w:noWrap/>
            <w:vAlign w:val="center"/>
            <w:hideMark/>
          </w:tcPr>
          <w:p w:rsidR="00BE14BF" w:rsidRPr="00BE14BF" w:rsidRDefault="00BE14BF" w:rsidP="001E0F80">
            <w:pPr>
              <w:spacing w:after="0" w:line="240" w:lineRule="auto"/>
              <w:jc w:val="center"/>
              <w:rPr>
                <w:rFonts w:eastAsia="Times New Roman"/>
                <w:szCs w:val="24"/>
                <w:lang w:eastAsia="en-GB"/>
              </w:rPr>
            </w:pPr>
            <w:r w:rsidRPr="00BE14BF">
              <w:rPr>
                <w:rFonts w:eastAsia="Times New Roman"/>
                <w:szCs w:val="24"/>
                <w:lang w:eastAsia="en-GB"/>
              </w:rPr>
              <w:t>4.9%</w:t>
            </w:r>
          </w:p>
        </w:tc>
      </w:tr>
      <w:tr w:rsidR="00BE14BF" w:rsidRPr="00F933D0" w:rsidTr="00BE14BF">
        <w:trPr>
          <w:cantSplit/>
          <w:trHeight w:val="336"/>
          <w:tblHeader/>
        </w:trPr>
        <w:tc>
          <w:tcPr>
            <w:tcW w:w="2709" w:type="dxa"/>
            <w:tcBorders>
              <w:top w:val="nil"/>
              <w:left w:val="single" w:sz="12" w:space="0" w:color="auto"/>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rPr>
                <w:rFonts w:eastAsia="Times New Roman"/>
                <w:b/>
                <w:bCs/>
                <w:color w:val="000000"/>
                <w:szCs w:val="24"/>
                <w:lang w:eastAsia="en-GB"/>
              </w:rPr>
            </w:pPr>
            <w:r w:rsidRPr="00F933D0">
              <w:rPr>
                <w:rFonts w:eastAsia="Times New Roman"/>
                <w:b/>
                <w:bCs/>
                <w:color w:val="000000"/>
                <w:szCs w:val="24"/>
                <w:lang w:eastAsia="en-GB"/>
              </w:rPr>
              <w:t>Band 5</w:t>
            </w:r>
          </w:p>
        </w:tc>
        <w:tc>
          <w:tcPr>
            <w:tcW w:w="87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122</w:t>
            </w:r>
          </w:p>
        </w:tc>
        <w:tc>
          <w:tcPr>
            <w:tcW w:w="75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8</w:t>
            </w:r>
          </w:p>
        </w:tc>
        <w:tc>
          <w:tcPr>
            <w:tcW w:w="1340" w:type="dxa"/>
            <w:tcBorders>
              <w:top w:val="nil"/>
              <w:left w:val="nil"/>
              <w:bottom w:val="single" w:sz="12" w:space="0" w:color="auto"/>
              <w:right w:val="single" w:sz="12" w:space="0" w:color="auto"/>
            </w:tcBorders>
            <w:shd w:val="clear" w:color="auto" w:fill="auto"/>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5</w:t>
            </w:r>
          </w:p>
        </w:tc>
        <w:tc>
          <w:tcPr>
            <w:tcW w:w="79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135</w:t>
            </w:r>
          </w:p>
        </w:tc>
        <w:tc>
          <w:tcPr>
            <w:tcW w:w="116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90.4%</w:t>
            </w:r>
          </w:p>
        </w:tc>
        <w:tc>
          <w:tcPr>
            <w:tcW w:w="1327" w:type="dxa"/>
            <w:tcBorders>
              <w:top w:val="nil"/>
              <w:left w:val="nil"/>
              <w:bottom w:val="single" w:sz="12" w:space="0" w:color="auto"/>
              <w:right w:val="single" w:sz="12" w:space="0" w:color="auto"/>
            </w:tcBorders>
            <w:shd w:val="clear" w:color="auto" w:fill="auto"/>
            <w:noWrap/>
            <w:vAlign w:val="center"/>
            <w:hideMark/>
          </w:tcPr>
          <w:p w:rsidR="00BE14BF" w:rsidRPr="00BE14BF" w:rsidRDefault="00BE14BF" w:rsidP="001E0F80">
            <w:pPr>
              <w:spacing w:after="0" w:line="240" w:lineRule="auto"/>
              <w:jc w:val="center"/>
              <w:rPr>
                <w:rFonts w:eastAsia="Times New Roman"/>
                <w:szCs w:val="24"/>
                <w:lang w:eastAsia="en-GB"/>
              </w:rPr>
            </w:pPr>
            <w:r w:rsidRPr="00BE14BF">
              <w:rPr>
                <w:rFonts w:eastAsia="Times New Roman"/>
                <w:szCs w:val="24"/>
                <w:lang w:eastAsia="en-GB"/>
              </w:rPr>
              <w:t>5.9%</w:t>
            </w:r>
          </w:p>
        </w:tc>
      </w:tr>
      <w:tr w:rsidR="00BE14BF" w:rsidRPr="00F933D0" w:rsidTr="00BE14BF">
        <w:trPr>
          <w:cantSplit/>
          <w:trHeight w:val="336"/>
          <w:tblHeader/>
        </w:trPr>
        <w:tc>
          <w:tcPr>
            <w:tcW w:w="2709" w:type="dxa"/>
            <w:tcBorders>
              <w:top w:val="nil"/>
              <w:left w:val="single" w:sz="12" w:space="0" w:color="auto"/>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rPr>
                <w:rFonts w:eastAsia="Times New Roman"/>
                <w:b/>
                <w:bCs/>
                <w:color w:val="000000"/>
                <w:szCs w:val="24"/>
                <w:lang w:eastAsia="en-GB"/>
              </w:rPr>
            </w:pPr>
            <w:r w:rsidRPr="00F933D0">
              <w:rPr>
                <w:rFonts w:eastAsia="Times New Roman"/>
                <w:b/>
                <w:bCs/>
                <w:color w:val="000000"/>
                <w:szCs w:val="24"/>
                <w:lang w:eastAsia="en-GB"/>
              </w:rPr>
              <w:t>Band 6</w:t>
            </w:r>
          </w:p>
        </w:tc>
        <w:tc>
          <w:tcPr>
            <w:tcW w:w="87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95</w:t>
            </w:r>
          </w:p>
        </w:tc>
        <w:tc>
          <w:tcPr>
            <w:tcW w:w="75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5</w:t>
            </w:r>
          </w:p>
        </w:tc>
        <w:tc>
          <w:tcPr>
            <w:tcW w:w="1340" w:type="dxa"/>
            <w:tcBorders>
              <w:top w:val="nil"/>
              <w:left w:val="nil"/>
              <w:bottom w:val="single" w:sz="12" w:space="0" w:color="auto"/>
              <w:right w:val="single" w:sz="12" w:space="0" w:color="auto"/>
            </w:tcBorders>
            <w:shd w:val="clear" w:color="auto" w:fill="auto"/>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3</w:t>
            </w:r>
          </w:p>
        </w:tc>
        <w:tc>
          <w:tcPr>
            <w:tcW w:w="79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103</w:t>
            </w:r>
          </w:p>
        </w:tc>
        <w:tc>
          <w:tcPr>
            <w:tcW w:w="116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92.2%</w:t>
            </w:r>
          </w:p>
        </w:tc>
        <w:tc>
          <w:tcPr>
            <w:tcW w:w="1327" w:type="dxa"/>
            <w:tcBorders>
              <w:top w:val="nil"/>
              <w:left w:val="nil"/>
              <w:bottom w:val="single" w:sz="12" w:space="0" w:color="auto"/>
              <w:right w:val="single" w:sz="12" w:space="0" w:color="auto"/>
            </w:tcBorders>
            <w:shd w:val="clear" w:color="auto" w:fill="auto"/>
            <w:noWrap/>
            <w:vAlign w:val="center"/>
            <w:hideMark/>
          </w:tcPr>
          <w:p w:rsidR="00BE14BF" w:rsidRPr="00BE14BF" w:rsidRDefault="00BE14BF" w:rsidP="001E0F80">
            <w:pPr>
              <w:spacing w:after="0" w:line="240" w:lineRule="auto"/>
              <w:jc w:val="center"/>
              <w:rPr>
                <w:rFonts w:eastAsia="Times New Roman"/>
                <w:szCs w:val="24"/>
                <w:lang w:eastAsia="en-GB"/>
              </w:rPr>
            </w:pPr>
            <w:r w:rsidRPr="00BE14BF">
              <w:rPr>
                <w:rFonts w:eastAsia="Times New Roman"/>
                <w:szCs w:val="24"/>
                <w:lang w:eastAsia="en-GB"/>
              </w:rPr>
              <w:t>4.9%</w:t>
            </w:r>
          </w:p>
        </w:tc>
      </w:tr>
      <w:tr w:rsidR="00BE14BF" w:rsidRPr="00F933D0" w:rsidTr="00BE14BF">
        <w:trPr>
          <w:cantSplit/>
          <w:trHeight w:val="336"/>
          <w:tblHeader/>
        </w:trPr>
        <w:tc>
          <w:tcPr>
            <w:tcW w:w="2709" w:type="dxa"/>
            <w:tcBorders>
              <w:top w:val="nil"/>
              <w:left w:val="single" w:sz="12" w:space="0" w:color="auto"/>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rPr>
                <w:rFonts w:eastAsia="Times New Roman"/>
                <w:b/>
                <w:bCs/>
                <w:color w:val="000000"/>
                <w:szCs w:val="24"/>
                <w:lang w:eastAsia="en-GB"/>
              </w:rPr>
            </w:pPr>
            <w:r w:rsidRPr="00F933D0">
              <w:rPr>
                <w:rFonts w:eastAsia="Times New Roman"/>
                <w:b/>
                <w:bCs/>
                <w:color w:val="000000"/>
                <w:szCs w:val="24"/>
                <w:lang w:eastAsia="en-GB"/>
              </w:rPr>
              <w:t>Band 7</w:t>
            </w:r>
          </w:p>
        </w:tc>
        <w:tc>
          <w:tcPr>
            <w:tcW w:w="87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73</w:t>
            </w:r>
          </w:p>
        </w:tc>
        <w:tc>
          <w:tcPr>
            <w:tcW w:w="75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5</w:t>
            </w:r>
          </w:p>
        </w:tc>
        <w:tc>
          <w:tcPr>
            <w:tcW w:w="1340" w:type="dxa"/>
            <w:tcBorders>
              <w:top w:val="nil"/>
              <w:left w:val="nil"/>
              <w:bottom w:val="single" w:sz="12" w:space="0" w:color="auto"/>
              <w:right w:val="single" w:sz="12" w:space="0" w:color="auto"/>
            </w:tcBorders>
            <w:shd w:val="clear" w:color="auto" w:fill="auto"/>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1</w:t>
            </w:r>
          </w:p>
        </w:tc>
        <w:tc>
          <w:tcPr>
            <w:tcW w:w="79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79</w:t>
            </w:r>
          </w:p>
        </w:tc>
        <w:tc>
          <w:tcPr>
            <w:tcW w:w="116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92.4%</w:t>
            </w:r>
          </w:p>
        </w:tc>
        <w:tc>
          <w:tcPr>
            <w:tcW w:w="1327" w:type="dxa"/>
            <w:tcBorders>
              <w:top w:val="nil"/>
              <w:left w:val="nil"/>
              <w:bottom w:val="single" w:sz="12" w:space="0" w:color="auto"/>
              <w:right w:val="single" w:sz="12" w:space="0" w:color="auto"/>
            </w:tcBorders>
            <w:shd w:val="clear" w:color="auto" w:fill="auto"/>
            <w:noWrap/>
            <w:vAlign w:val="center"/>
            <w:hideMark/>
          </w:tcPr>
          <w:p w:rsidR="00BE14BF" w:rsidRPr="00BE14BF" w:rsidRDefault="00BE14BF" w:rsidP="001E0F80">
            <w:pPr>
              <w:spacing w:after="0" w:line="240" w:lineRule="auto"/>
              <w:jc w:val="center"/>
              <w:rPr>
                <w:rFonts w:eastAsia="Times New Roman"/>
                <w:szCs w:val="24"/>
                <w:lang w:eastAsia="en-GB"/>
              </w:rPr>
            </w:pPr>
            <w:r w:rsidRPr="00BE14BF">
              <w:rPr>
                <w:rFonts w:eastAsia="Times New Roman"/>
                <w:szCs w:val="24"/>
                <w:lang w:eastAsia="en-GB"/>
              </w:rPr>
              <w:t>6.3%</w:t>
            </w:r>
          </w:p>
        </w:tc>
      </w:tr>
      <w:tr w:rsidR="00BE14BF" w:rsidRPr="00F933D0" w:rsidTr="00BE14BF">
        <w:trPr>
          <w:cantSplit/>
          <w:trHeight w:val="336"/>
          <w:tblHeader/>
        </w:trPr>
        <w:tc>
          <w:tcPr>
            <w:tcW w:w="2709" w:type="dxa"/>
            <w:tcBorders>
              <w:top w:val="nil"/>
              <w:left w:val="single" w:sz="12" w:space="0" w:color="auto"/>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rPr>
                <w:rFonts w:eastAsia="Times New Roman"/>
                <w:b/>
                <w:bCs/>
                <w:color w:val="000000"/>
                <w:szCs w:val="24"/>
                <w:lang w:eastAsia="en-GB"/>
              </w:rPr>
            </w:pPr>
            <w:r w:rsidRPr="00F933D0">
              <w:rPr>
                <w:rFonts w:eastAsia="Times New Roman"/>
                <w:b/>
                <w:bCs/>
                <w:color w:val="000000"/>
                <w:szCs w:val="24"/>
                <w:lang w:eastAsia="en-GB"/>
              </w:rPr>
              <w:t>Band 8a</w:t>
            </w:r>
          </w:p>
        </w:tc>
        <w:tc>
          <w:tcPr>
            <w:tcW w:w="87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48</w:t>
            </w:r>
          </w:p>
        </w:tc>
        <w:tc>
          <w:tcPr>
            <w:tcW w:w="75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3</w:t>
            </w:r>
          </w:p>
        </w:tc>
        <w:tc>
          <w:tcPr>
            <w:tcW w:w="1340" w:type="dxa"/>
            <w:tcBorders>
              <w:top w:val="nil"/>
              <w:left w:val="nil"/>
              <w:bottom w:val="single" w:sz="12" w:space="0" w:color="auto"/>
              <w:right w:val="single" w:sz="12" w:space="0" w:color="auto"/>
            </w:tcBorders>
            <w:shd w:val="clear" w:color="auto" w:fill="auto"/>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2</w:t>
            </w:r>
          </w:p>
        </w:tc>
        <w:tc>
          <w:tcPr>
            <w:tcW w:w="79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53</w:t>
            </w:r>
          </w:p>
        </w:tc>
        <w:tc>
          <w:tcPr>
            <w:tcW w:w="116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90.6%</w:t>
            </w:r>
          </w:p>
        </w:tc>
        <w:tc>
          <w:tcPr>
            <w:tcW w:w="1327" w:type="dxa"/>
            <w:tcBorders>
              <w:top w:val="nil"/>
              <w:left w:val="nil"/>
              <w:bottom w:val="single" w:sz="12" w:space="0" w:color="auto"/>
              <w:right w:val="single" w:sz="12" w:space="0" w:color="auto"/>
            </w:tcBorders>
            <w:shd w:val="clear" w:color="auto" w:fill="auto"/>
            <w:noWrap/>
            <w:vAlign w:val="center"/>
            <w:hideMark/>
          </w:tcPr>
          <w:p w:rsidR="00BE14BF" w:rsidRPr="00BE14BF" w:rsidRDefault="00BE14BF" w:rsidP="001E0F80">
            <w:pPr>
              <w:spacing w:after="0" w:line="240" w:lineRule="auto"/>
              <w:jc w:val="center"/>
              <w:rPr>
                <w:rFonts w:eastAsia="Times New Roman"/>
                <w:szCs w:val="24"/>
                <w:lang w:eastAsia="en-GB"/>
              </w:rPr>
            </w:pPr>
            <w:r w:rsidRPr="00BE14BF">
              <w:rPr>
                <w:rFonts w:eastAsia="Times New Roman"/>
                <w:szCs w:val="24"/>
                <w:lang w:eastAsia="en-GB"/>
              </w:rPr>
              <w:t>5.7%</w:t>
            </w:r>
          </w:p>
        </w:tc>
      </w:tr>
      <w:tr w:rsidR="00BE14BF" w:rsidRPr="00F933D0" w:rsidTr="00BE14BF">
        <w:trPr>
          <w:cantSplit/>
          <w:trHeight w:val="336"/>
          <w:tblHeader/>
        </w:trPr>
        <w:tc>
          <w:tcPr>
            <w:tcW w:w="2709" w:type="dxa"/>
            <w:tcBorders>
              <w:top w:val="nil"/>
              <w:left w:val="single" w:sz="12" w:space="0" w:color="auto"/>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rPr>
                <w:rFonts w:eastAsia="Times New Roman"/>
                <w:b/>
                <w:bCs/>
                <w:color w:val="000000"/>
                <w:szCs w:val="24"/>
                <w:lang w:eastAsia="en-GB"/>
              </w:rPr>
            </w:pPr>
            <w:r w:rsidRPr="00F933D0">
              <w:rPr>
                <w:rFonts w:eastAsia="Times New Roman"/>
                <w:b/>
                <w:bCs/>
                <w:color w:val="000000"/>
                <w:szCs w:val="24"/>
                <w:lang w:eastAsia="en-GB"/>
              </w:rPr>
              <w:t>Band 8b</w:t>
            </w:r>
          </w:p>
        </w:tc>
        <w:tc>
          <w:tcPr>
            <w:tcW w:w="87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36</w:t>
            </w:r>
          </w:p>
        </w:tc>
        <w:tc>
          <w:tcPr>
            <w:tcW w:w="75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1</w:t>
            </w:r>
          </w:p>
        </w:tc>
        <w:tc>
          <w:tcPr>
            <w:tcW w:w="1340" w:type="dxa"/>
            <w:tcBorders>
              <w:top w:val="nil"/>
              <w:left w:val="nil"/>
              <w:bottom w:val="single" w:sz="12" w:space="0" w:color="auto"/>
              <w:right w:val="single" w:sz="12" w:space="0" w:color="auto"/>
            </w:tcBorders>
            <w:shd w:val="clear" w:color="auto" w:fill="auto"/>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 </w:t>
            </w:r>
          </w:p>
        </w:tc>
        <w:tc>
          <w:tcPr>
            <w:tcW w:w="79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37</w:t>
            </w:r>
          </w:p>
        </w:tc>
        <w:tc>
          <w:tcPr>
            <w:tcW w:w="116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97.3%</w:t>
            </w:r>
          </w:p>
        </w:tc>
        <w:tc>
          <w:tcPr>
            <w:tcW w:w="1327" w:type="dxa"/>
            <w:tcBorders>
              <w:top w:val="nil"/>
              <w:left w:val="nil"/>
              <w:bottom w:val="single" w:sz="12" w:space="0" w:color="auto"/>
              <w:right w:val="single" w:sz="12" w:space="0" w:color="auto"/>
            </w:tcBorders>
            <w:shd w:val="clear" w:color="auto" w:fill="auto"/>
            <w:noWrap/>
            <w:vAlign w:val="center"/>
            <w:hideMark/>
          </w:tcPr>
          <w:p w:rsidR="00BE14BF" w:rsidRPr="00BE14BF" w:rsidRDefault="00BE14BF" w:rsidP="001E0F80">
            <w:pPr>
              <w:spacing w:after="0" w:line="240" w:lineRule="auto"/>
              <w:jc w:val="center"/>
              <w:rPr>
                <w:rFonts w:eastAsia="Times New Roman"/>
                <w:szCs w:val="24"/>
                <w:lang w:eastAsia="en-GB"/>
              </w:rPr>
            </w:pPr>
            <w:r w:rsidRPr="00BE14BF">
              <w:rPr>
                <w:rFonts w:eastAsia="Times New Roman"/>
                <w:szCs w:val="24"/>
                <w:lang w:eastAsia="en-GB"/>
              </w:rPr>
              <w:t>2.7%</w:t>
            </w:r>
          </w:p>
        </w:tc>
      </w:tr>
      <w:tr w:rsidR="00BE14BF" w:rsidRPr="00F933D0" w:rsidTr="00BE14BF">
        <w:trPr>
          <w:cantSplit/>
          <w:trHeight w:val="336"/>
          <w:tblHeader/>
        </w:trPr>
        <w:tc>
          <w:tcPr>
            <w:tcW w:w="2709" w:type="dxa"/>
            <w:tcBorders>
              <w:top w:val="nil"/>
              <w:left w:val="single" w:sz="12" w:space="0" w:color="auto"/>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rPr>
                <w:rFonts w:eastAsia="Times New Roman"/>
                <w:b/>
                <w:bCs/>
                <w:color w:val="000000"/>
                <w:szCs w:val="24"/>
                <w:lang w:eastAsia="en-GB"/>
              </w:rPr>
            </w:pPr>
            <w:r w:rsidRPr="00F933D0">
              <w:rPr>
                <w:rFonts w:eastAsia="Times New Roman"/>
                <w:b/>
                <w:bCs/>
                <w:color w:val="000000"/>
                <w:szCs w:val="24"/>
                <w:lang w:eastAsia="en-GB"/>
              </w:rPr>
              <w:t>Band 8c</w:t>
            </w:r>
          </w:p>
        </w:tc>
        <w:tc>
          <w:tcPr>
            <w:tcW w:w="87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18</w:t>
            </w:r>
          </w:p>
        </w:tc>
        <w:tc>
          <w:tcPr>
            <w:tcW w:w="75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 </w:t>
            </w:r>
          </w:p>
        </w:tc>
        <w:tc>
          <w:tcPr>
            <w:tcW w:w="1340" w:type="dxa"/>
            <w:tcBorders>
              <w:top w:val="nil"/>
              <w:left w:val="nil"/>
              <w:bottom w:val="single" w:sz="12" w:space="0" w:color="auto"/>
              <w:right w:val="single" w:sz="12" w:space="0" w:color="auto"/>
            </w:tcBorders>
            <w:shd w:val="clear" w:color="auto" w:fill="auto"/>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 </w:t>
            </w:r>
          </w:p>
        </w:tc>
        <w:tc>
          <w:tcPr>
            <w:tcW w:w="79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18</w:t>
            </w:r>
          </w:p>
        </w:tc>
        <w:tc>
          <w:tcPr>
            <w:tcW w:w="116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100.0%</w:t>
            </w:r>
          </w:p>
        </w:tc>
        <w:tc>
          <w:tcPr>
            <w:tcW w:w="1327" w:type="dxa"/>
            <w:tcBorders>
              <w:top w:val="nil"/>
              <w:left w:val="nil"/>
              <w:bottom w:val="single" w:sz="12" w:space="0" w:color="auto"/>
              <w:right w:val="single" w:sz="12" w:space="0" w:color="auto"/>
            </w:tcBorders>
            <w:shd w:val="clear" w:color="auto" w:fill="auto"/>
            <w:noWrap/>
            <w:vAlign w:val="center"/>
            <w:hideMark/>
          </w:tcPr>
          <w:p w:rsidR="00BE14BF" w:rsidRPr="00BE14BF" w:rsidRDefault="00BE14BF" w:rsidP="001E0F80">
            <w:pPr>
              <w:spacing w:after="0" w:line="240" w:lineRule="auto"/>
              <w:jc w:val="center"/>
              <w:rPr>
                <w:rFonts w:eastAsia="Times New Roman"/>
                <w:szCs w:val="24"/>
                <w:lang w:eastAsia="en-GB"/>
              </w:rPr>
            </w:pPr>
            <w:r w:rsidRPr="00BE14BF">
              <w:rPr>
                <w:rFonts w:eastAsia="Times New Roman"/>
                <w:szCs w:val="24"/>
                <w:lang w:eastAsia="en-GB"/>
              </w:rPr>
              <w:t>0.0%</w:t>
            </w:r>
          </w:p>
        </w:tc>
      </w:tr>
      <w:tr w:rsidR="00BE14BF" w:rsidRPr="00F933D0" w:rsidTr="00BE14BF">
        <w:trPr>
          <w:cantSplit/>
          <w:trHeight w:val="336"/>
          <w:tblHeader/>
        </w:trPr>
        <w:tc>
          <w:tcPr>
            <w:tcW w:w="2709" w:type="dxa"/>
            <w:tcBorders>
              <w:top w:val="nil"/>
              <w:left w:val="single" w:sz="12" w:space="0" w:color="auto"/>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rPr>
                <w:rFonts w:eastAsia="Times New Roman"/>
                <w:b/>
                <w:bCs/>
                <w:color w:val="000000"/>
                <w:szCs w:val="24"/>
                <w:lang w:eastAsia="en-GB"/>
              </w:rPr>
            </w:pPr>
            <w:r w:rsidRPr="00F933D0">
              <w:rPr>
                <w:rFonts w:eastAsia="Times New Roman"/>
                <w:b/>
                <w:bCs/>
                <w:color w:val="000000"/>
                <w:szCs w:val="24"/>
                <w:lang w:eastAsia="en-GB"/>
              </w:rPr>
              <w:t>Band 8d</w:t>
            </w:r>
          </w:p>
        </w:tc>
        <w:tc>
          <w:tcPr>
            <w:tcW w:w="87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4</w:t>
            </w:r>
          </w:p>
        </w:tc>
        <w:tc>
          <w:tcPr>
            <w:tcW w:w="75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1</w:t>
            </w:r>
          </w:p>
        </w:tc>
        <w:tc>
          <w:tcPr>
            <w:tcW w:w="1340" w:type="dxa"/>
            <w:tcBorders>
              <w:top w:val="nil"/>
              <w:left w:val="nil"/>
              <w:bottom w:val="single" w:sz="12" w:space="0" w:color="auto"/>
              <w:right w:val="single" w:sz="12" w:space="0" w:color="auto"/>
            </w:tcBorders>
            <w:shd w:val="clear" w:color="auto" w:fill="auto"/>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 </w:t>
            </w:r>
          </w:p>
        </w:tc>
        <w:tc>
          <w:tcPr>
            <w:tcW w:w="79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5</w:t>
            </w:r>
          </w:p>
        </w:tc>
        <w:tc>
          <w:tcPr>
            <w:tcW w:w="116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80.0%</w:t>
            </w:r>
          </w:p>
        </w:tc>
        <w:tc>
          <w:tcPr>
            <w:tcW w:w="1327" w:type="dxa"/>
            <w:tcBorders>
              <w:top w:val="nil"/>
              <w:left w:val="nil"/>
              <w:bottom w:val="single" w:sz="12" w:space="0" w:color="auto"/>
              <w:right w:val="single" w:sz="12" w:space="0" w:color="auto"/>
            </w:tcBorders>
            <w:shd w:val="clear" w:color="auto" w:fill="auto"/>
            <w:noWrap/>
            <w:vAlign w:val="center"/>
            <w:hideMark/>
          </w:tcPr>
          <w:p w:rsidR="00BE14BF" w:rsidRPr="00BE14BF" w:rsidRDefault="00BE14BF" w:rsidP="001E0F80">
            <w:pPr>
              <w:spacing w:after="0" w:line="240" w:lineRule="auto"/>
              <w:jc w:val="center"/>
              <w:rPr>
                <w:rFonts w:eastAsia="Times New Roman"/>
                <w:b/>
                <w:szCs w:val="24"/>
                <w:lang w:eastAsia="en-GB"/>
              </w:rPr>
            </w:pPr>
            <w:r w:rsidRPr="00BE14BF">
              <w:rPr>
                <w:rFonts w:eastAsia="Times New Roman"/>
                <w:b/>
                <w:szCs w:val="24"/>
                <w:lang w:eastAsia="en-GB"/>
              </w:rPr>
              <w:t>20.0%</w:t>
            </w:r>
          </w:p>
        </w:tc>
      </w:tr>
      <w:tr w:rsidR="00BE14BF" w:rsidRPr="00F933D0" w:rsidTr="00BE14BF">
        <w:trPr>
          <w:cantSplit/>
          <w:trHeight w:val="336"/>
          <w:tblHeader/>
        </w:trPr>
        <w:tc>
          <w:tcPr>
            <w:tcW w:w="2709" w:type="dxa"/>
            <w:tcBorders>
              <w:top w:val="nil"/>
              <w:left w:val="single" w:sz="12" w:space="0" w:color="auto"/>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rPr>
                <w:rFonts w:eastAsia="Times New Roman"/>
                <w:b/>
                <w:bCs/>
                <w:color w:val="000000"/>
                <w:szCs w:val="24"/>
                <w:lang w:eastAsia="en-GB"/>
              </w:rPr>
            </w:pPr>
            <w:r w:rsidRPr="00F933D0">
              <w:rPr>
                <w:rFonts w:eastAsia="Times New Roman"/>
                <w:b/>
                <w:bCs/>
                <w:color w:val="000000"/>
                <w:szCs w:val="24"/>
                <w:lang w:eastAsia="en-GB"/>
              </w:rPr>
              <w:t>Band 9</w:t>
            </w:r>
          </w:p>
        </w:tc>
        <w:tc>
          <w:tcPr>
            <w:tcW w:w="87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5</w:t>
            </w:r>
          </w:p>
        </w:tc>
        <w:tc>
          <w:tcPr>
            <w:tcW w:w="75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 </w:t>
            </w:r>
          </w:p>
        </w:tc>
        <w:tc>
          <w:tcPr>
            <w:tcW w:w="1340" w:type="dxa"/>
            <w:tcBorders>
              <w:top w:val="nil"/>
              <w:left w:val="nil"/>
              <w:bottom w:val="single" w:sz="12" w:space="0" w:color="auto"/>
              <w:right w:val="single" w:sz="12" w:space="0" w:color="auto"/>
            </w:tcBorders>
            <w:shd w:val="clear" w:color="auto" w:fill="auto"/>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 </w:t>
            </w:r>
          </w:p>
        </w:tc>
        <w:tc>
          <w:tcPr>
            <w:tcW w:w="79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5</w:t>
            </w:r>
          </w:p>
        </w:tc>
        <w:tc>
          <w:tcPr>
            <w:tcW w:w="116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100.0%</w:t>
            </w:r>
          </w:p>
        </w:tc>
        <w:tc>
          <w:tcPr>
            <w:tcW w:w="1327" w:type="dxa"/>
            <w:tcBorders>
              <w:top w:val="nil"/>
              <w:left w:val="nil"/>
              <w:bottom w:val="single" w:sz="12" w:space="0" w:color="auto"/>
              <w:right w:val="single" w:sz="12" w:space="0" w:color="auto"/>
            </w:tcBorders>
            <w:shd w:val="clear" w:color="auto" w:fill="auto"/>
            <w:noWrap/>
            <w:vAlign w:val="center"/>
            <w:hideMark/>
          </w:tcPr>
          <w:p w:rsidR="00BE14BF" w:rsidRPr="00BE14BF" w:rsidRDefault="00BE14BF" w:rsidP="001E0F80">
            <w:pPr>
              <w:spacing w:after="0" w:line="240" w:lineRule="auto"/>
              <w:jc w:val="center"/>
              <w:rPr>
                <w:rFonts w:eastAsia="Times New Roman"/>
                <w:szCs w:val="24"/>
                <w:lang w:eastAsia="en-GB"/>
              </w:rPr>
            </w:pPr>
            <w:r w:rsidRPr="00BE14BF">
              <w:rPr>
                <w:rFonts w:eastAsia="Times New Roman"/>
                <w:szCs w:val="24"/>
                <w:lang w:eastAsia="en-GB"/>
              </w:rPr>
              <w:t>0.0%</w:t>
            </w:r>
          </w:p>
        </w:tc>
      </w:tr>
      <w:tr w:rsidR="00BE14BF" w:rsidRPr="00F933D0" w:rsidTr="00BE14BF">
        <w:trPr>
          <w:cantSplit/>
          <w:trHeight w:val="336"/>
          <w:tblHeader/>
        </w:trPr>
        <w:tc>
          <w:tcPr>
            <w:tcW w:w="2709" w:type="dxa"/>
            <w:tcBorders>
              <w:top w:val="nil"/>
              <w:left w:val="single" w:sz="12" w:space="0" w:color="auto"/>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rPr>
                <w:rFonts w:eastAsia="Times New Roman"/>
                <w:b/>
                <w:bCs/>
                <w:color w:val="000000"/>
                <w:szCs w:val="24"/>
                <w:lang w:eastAsia="en-GB"/>
              </w:rPr>
            </w:pPr>
            <w:r w:rsidRPr="00F933D0">
              <w:rPr>
                <w:rFonts w:eastAsia="Times New Roman"/>
                <w:b/>
                <w:bCs/>
                <w:color w:val="000000"/>
                <w:szCs w:val="24"/>
                <w:lang w:eastAsia="en-GB"/>
              </w:rPr>
              <w:t>VSM</w:t>
            </w:r>
          </w:p>
        </w:tc>
        <w:tc>
          <w:tcPr>
            <w:tcW w:w="87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11</w:t>
            </w:r>
          </w:p>
        </w:tc>
        <w:tc>
          <w:tcPr>
            <w:tcW w:w="75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 </w:t>
            </w:r>
          </w:p>
        </w:tc>
        <w:tc>
          <w:tcPr>
            <w:tcW w:w="1340" w:type="dxa"/>
            <w:tcBorders>
              <w:top w:val="nil"/>
              <w:left w:val="nil"/>
              <w:bottom w:val="single" w:sz="12" w:space="0" w:color="auto"/>
              <w:right w:val="single" w:sz="12" w:space="0" w:color="auto"/>
            </w:tcBorders>
            <w:shd w:val="clear" w:color="auto" w:fill="auto"/>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2</w:t>
            </w:r>
          </w:p>
        </w:tc>
        <w:tc>
          <w:tcPr>
            <w:tcW w:w="79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13</w:t>
            </w:r>
          </w:p>
        </w:tc>
        <w:tc>
          <w:tcPr>
            <w:tcW w:w="1160" w:type="dxa"/>
            <w:tcBorders>
              <w:top w:val="nil"/>
              <w:left w:val="nil"/>
              <w:bottom w:val="single" w:sz="12" w:space="0" w:color="auto"/>
              <w:right w:val="single" w:sz="12" w:space="0" w:color="auto"/>
            </w:tcBorders>
            <w:shd w:val="clear" w:color="auto" w:fill="auto"/>
            <w:noWrap/>
            <w:vAlign w:val="center"/>
            <w:hideMark/>
          </w:tcPr>
          <w:p w:rsidR="00BE14BF" w:rsidRPr="00F933D0" w:rsidRDefault="00BE14BF" w:rsidP="001E0F80">
            <w:pPr>
              <w:spacing w:after="0" w:line="240" w:lineRule="auto"/>
              <w:jc w:val="center"/>
              <w:rPr>
                <w:rFonts w:eastAsia="Times New Roman"/>
                <w:color w:val="000000"/>
                <w:szCs w:val="24"/>
                <w:lang w:eastAsia="en-GB"/>
              </w:rPr>
            </w:pPr>
            <w:r w:rsidRPr="00F933D0">
              <w:rPr>
                <w:rFonts w:eastAsia="Times New Roman"/>
                <w:color w:val="000000"/>
                <w:szCs w:val="24"/>
                <w:lang w:eastAsia="en-GB"/>
              </w:rPr>
              <w:t>84.6%</w:t>
            </w:r>
          </w:p>
        </w:tc>
        <w:tc>
          <w:tcPr>
            <w:tcW w:w="1327" w:type="dxa"/>
            <w:tcBorders>
              <w:top w:val="nil"/>
              <w:left w:val="nil"/>
              <w:bottom w:val="single" w:sz="12" w:space="0" w:color="auto"/>
              <w:right w:val="single" w:sz="12" w:space="0" w:color="auto"/>
            </w:tcBorders>
            <w:shd w:val="clear" w:color="auto" w:fill="auto"/>
            <w:noWrap/>
            <w:vAlign w:val="center"/>
            <w:hideMark/>
          </w:tcPr>
          <w:p w:rsidR="00BE14BF" w:rsidRPr="00BE14BF" w:rsidRDefault="00BE14BF" w:rsidP="001E0F80">
            <w:pPr>
              <w:spacing w:after="0" w:line="240" w:lineRule="auto"/>
              <w:jc w:val="center"/>
              <w:rPr>
                <w:rFonts w:eastAsia="Times New Roman"/>
                <w:szCs w:val="24"/>
                <w:lang w:eastAsia="en-GB"/>
              </w:rPr>
            </w:pPr>
            <w:r w:rsidRPr="00BE14BF">
              <w:rPr>
                <w:rFonts w:eastAsia="Times New Roman"/>
                <w:szCs w:val="24"/>
                <w:lang w:eastAsia="en-GB"/>
              </w:rPr>
              <w:t>0.0%</w:t>
            </w:r>
          </w:p>
        </w:tc>
      </w:tr>
      <w:tr w:rsidR="00BE14BF" w:rsidRPr="00BE14BF" w:rsidTr="00BE14BF">
        <w:trPr>
          <w:cantSplit/>
          <w:trHeight w:val="336"/>
          <w:tblHeader/>
        </w:trPr>
        <w:tc>
          <w:tcPr>
            <w:tcW w:w="2709" w:type="dxa"/>
            <w:tcBorders>
              <w:top w:val="nil"/>
              <w:left w:val="single" w:sz="12" w:space="0" w:color="auto"/>
              <w:bottom w:val="single" w:sz="12" w:space="0" w:color="auto"/>
              <w:right w:val="single" w:sz="12" w:space="0" w:color="auto"/>
            </w:tcBorders>
            <w:shd w:val="clear" w:color="auto" w:fill="auto"/>
            <w:noWrap/>
            <w:vAlign w:val="center"/>
            <w:hideMark/>
          </w:tcPr>
          <w:p w:rsidR="00BE14BF" w:rsidRPr="00BE14BF" w:rsidRDefault="00BE14BF" w:rsidP="00BE14BF">
            <w:pPr>
              <w:spacing w:after="0" w:line="240" w:lineRule="auto"/>
              <w:rPr>
                <w:rFonts w:eastAsia="Times New Roman"/>
                <w:b/>
                <w:bCs/>
                <w:szCs w:val="24"/>
                <w:lang w:eastAsia="en-GB"/>
              </w:rPr>
            </w:pPr>
            <w:r>
              <w:rPr>
                <w:rFonts w:eastAsia="Times New Roman"/>
                <w:b/>
                <w:bCs/>
                <w:szCs w:val="24"/>
                <w:lang w:eastAsia="en-GB"/>
              </w:rPr>
              <w:lastRenderedPageBreak/>
              <w:t>All Non-clinical Roles</w:t>
            </w:r>
          </w:p>
        </w:tc>
        <w:tc>
          <w:tcPr>
            <w:tcW w:w="870" w:type="dxa"/>
            <w:tcBorders>
              <w:top w:val="nil"/>
              <w:left w:val="nil"/>
              <w:bottom w:val="single" w:sz="12" w:space="0" w:color="auto"/>
              <w:right w:val="single" w:sz="12" w:space="0" w:color="auto"/>
            </w:tcBorders>
            <w:shd w:val="clear" w:color="auto" w:fill="auto"/>
            <w:noWrap/>
            <w:vAlign w:val="center"/>
            <w:hideMark/>
          </w:tcPr>
          <w:p w:rsidR="00BE14BF" w:rsidRPr="0056304B" w:rsidRDefault="00BE14BF" w:rsidP="001E0F80">
            <w:pPr>
              <w:spacing w:after="0" w:line="240" w:lineRule="auto"/>
              <w:jc w:val="center"/>
              <w:rPr>
                <w:rFonts w:eastAsia="Times New Roman"/>
                <w:bCs/>
                <w:szCs w:val="24"/>
                <w:lang w:eastAsia="en-GB"/>
              </w:rPr>
            </w:pPr>
            <w:r w:rsidRPr="0056304B">
              <w:rPr>
                <w:rFonts w:eastAsia="Times New Roman"/>
                <w:bCs/>
                <w:szCs w:val="24"/>
                <w:lang w:eastAsia="en-GB"/>
              </w:rPr>
              <w:t>1774</w:t>
            </w:r>
          </w:p>
        </w:tc>
        <w:tc>
          <w:tcPr>
            <w:tcW w:w="750" w:type="dxa"/>
            <w:tcBorders>
              <w:top w:val="nil"/>
              <w:left w:val="nil"/>
              <w:bottom w:val="single" w:sz="12" w:space="0" w:color="auto"/>
              <w:right w:val="single" w:sz="12" w:space="0" w:color="auto"/>
            </w:tcBorders>
            <w:shd w:val="clear" w:color="auto" w:fill="auto"/>
            <w:noWrap/>
            <w:vAlign w:val="center"/>
            <w:hideMark/>
          </w:tcPr>
          <w:p w:rsidR="00BE14BF" w:rsidRPr="0056304B" w:rsidRDefault="00BE14BF" w:rsidP="001E0F80">
            <w:pPr>
              <w:spacing w:after="0" w:line="240" w:lineRule="auto"/>
              <w:jc w:val="center"/>
              <w:rPr>
                <w:rFonts w:eastAsia="Times New Roman"/>
                <w:bCs/>
                <w:szCs w:val="24"/>
                <w:lang w:eastAsia="en-GB"/>
              </w:rPr>
            </w:pPr>
            <w:r w:rsidRPr="0056304B">
              <w:rPr>
                <w:rFonts w:eastAsia="Times New Roman"/>
                <w:bCs/>
                <w:szCs w:val="24"/>
                <w:lang w:eastAsia="en-GB"/>
              </w:rPr>
              <w:t>146</w:t>
            </w:r>
          </w:p>
        </w:tc>
        <w:tc>
          <w:tcPr>
            <w:tcW w:w="1340" w:type="dxa"/>
            <w:tcBorders>
              <w:top w:val="nil"/>
              <w:left w:val="nil"/>
              <w:bottom w:val="single" w:sz="12" w:space="0" w:color="auto"/>
              <w:right w:val="single" w:sz="12" w:space="0" w:color="auto"/>
            </w:tcBorders>
            <w:shd w:val="clear" w:color="auto" w:fill="auto"/>
            <w:noWrap/>
            <w:vAlign w:val="center"/>
            <w:hideMark/>
          </w:tcPr>
          <w:p w:rsidR="00BE14BF" w:rsidRPr="0056304B" w:rsidRDefault="00BE14BF" w:rsidP="001E0F80">
            <w:pPr>
              <w:spacing w:after="0" w:line="240" w:lineRule="auto"/>
              <w:jc w:val="center"/>
              <w:rPr>
                <w:rFonts w:eastAsia="Times New Roman"/>
                <w:bCs/>
                <w:szCs w:val="24"/>
                <w:lang w:eastAsia="en-GB"/>
              </w:rPr>
            </w:pPr>
            <w:r w:rsidRPr="0056304B">
              <w:rPr>
                <w:rFonts w:eastAsia="Times New Roman"/>
                <w:bCs/>
                <w:szCs w:val="24"/>
                <w:lang w:eastAsia="en-GB"/>
              </w:rPr>
              <w:t>51</w:t>
            </w:r>
          </w:p>
        </w:tc>
        <w:tc>
          <w:tcPr>
            <w:tcW w:w="790" w:type="dxa"/>
            <w:tcBorders>
              <w:top w:val="nil"/>
              <w:left w:val="nil"/>
              <w:bottom w:val="single" w:sz="12" w:space="0" w:color="auto"/>
              <w:right w:val="single" w:sz="12" w:space="0" w:color="auto"/>
            </w:tcBorders>
            <w:shd w:val="clear" w:color="auto" w:fill="auto"/>
            <w:noWrap/>
            <w:vAlign w:val="center"/>
            <w:hideMark/>
          </w:tcPr>
          <w:p w:rsidR="00BE14BF" w:rsidRPr="0056304B" w:rsidRDefault="00BE14BF" w:rsidP="001E0F80">
            <w:pPr>
              <w:spacing w:after="0" w:line="240" w:lineRule="auto"/>
              <w:jc w:val="center"/>
              <w:rPr>
                <w:rFonts w:eastAsia="Times New Roman"/>
                <w:bCs/>
                <w:szCs w:val="24"/>
                <w:lang w:eastAsia="en-GB"/>
              </w:rPr>
            </w:pPr>
            <w:r w:rsidRPr="0056304B">
              <w:rPr>
                <w:rFonts w:eastAsia="Times New Roman"/>
                <w:bCs/>
                <w:szCs w:val="24"/>
                <w:lang w:eastAsia="en-GB"/>
              </w:rPr>
              <w:t>1971</w:t>
            </w:r>
          </w:p>
        </w:tc>
        <w:tc>
          <w:tcPr>
            <w:tcW w:w="1160" w:type="dxa"/>
            <w:tcBorders>
              <w:top w:val="nil"/>
              <w:left w:val="nil"/>
              <w:bottom w:val="single" w:sz="12" w:space="0" w:color="auto"/>
              <w:right w:val="single" w:sz="12" w:space="0" w:color="auto"/>
            </w:tcBorders>
            <w:shd w:val="clear" w:color="auto" w:fill="auto"/>
            <w:noWrap/>
            <w:vAlign w:val="center"/>
            <w:hideMark/>
          </w:tcPr>
          <w:p w:rsidR="00BE14BF" w:rsidRPr="0056304B" w:rsidRDefault="00BE14BF" w:rsidP="001E0F80">
            <w:pPr>
              <w:spacing w:after="0" w:line="240" w:lineRule="auto"/>
              <w:jc w:val="center"/>
              <w:rPr>
                <w:rFonts w:eastAsia="Times New Roman"/>
                <w:bCs/>
                <w:szCs w:val="24"/>
                <w:lang w:eastAsia="en-GB"/>
              </w:rPr>
            </w:pPr>
            <w:r w:rsidRPr="0056304B">
              <w:rPr>
                <w:rFonts w:eastAsia="Times New Roman"/>
                <w:bCs/>
                <w:szCs w:val="24"/>
                <w:lang w:eastAsia="en-GB"/>
              </w:rPr>
              <w:t>90.0%</w:t>
            </w:r>
          </w:p>
        </w:tc>
        <w:tc>
          <w:tcPr>
            <w:tcW w:w="1327" w:type="dxa"/>
            <w:tcBorders>
              <w:top w:val="nil"/>
              <w:left w:val="nil"/>
              <w:bottom w:val="single" w:sz="12" w:space="0" w:color="auto"/>
              <w:right w:val="single" w:sz="12" w:space="0" w:color="auto"/>
            </w:tcBorders>
            <w:shd w:val="clear" w:color="auto" w:fill="auto"/>
            <w:noWrap/>
            <w:vAlign w:val="center"/>
            <w:hideMark/>
          </w:tcPr>
          <w:p w:rsidR="00BE14BF" w:rsidRPr="0056304B" w:rsidRDefault="00BE14BF" w:rsidP="001E0F80">
            <w:pPr>
              <w:spacing w:after="0" w:line="240" w:lineRule="auto"/>
              <w:jc w:val="center"/>
              <w:rPr>
                <w:rFonts w:eastAsia="Times New Roman"/>
                <w:bCs/>
                <w:szCs w:val="24"/>
                <w:lang w:eastAsia="en-GB"/>
              </w:rPr>
            </w:pPr>
            <w:r w:rsidRPr="0056304B">
              <w:rPr>
                <w:rFonts w:eastAsia="Times New Roman"/>
                <w:bCs/>
                <w:szCs w:val="24"/>
                <w:lang w:eastAsia="en-GB"/>
              </w:rPr>
              <w:t>7.4%</w:t>
            </w:r>
          </w:p>
        </w:tc>
      </w:tr>
    </w:tbl>
    <w:p w:rsidR="006F6C62" w:rsidRPr="00A50229" w:rsidRDefault="006F6C62" w:rsidP="006F6C62">
      <w:pPr>
        <w:rPr>
          <w:b/>
          <w:szCs w:val="24"/>
        </w:rPr>
      </w:pPr>
      <w:r>
        <w:rPr>
          <w:b/>
        </w:rPr>
        <w:br/>
      </w:r>
      <w:r w:rsidRPr="00A50229">
        <w:rPr>
          <w:b/>
          <w:szCs w:val="24"/>
        </w:rPr>
        <w:t>Historical comparison from previous WRES reports</w:t>
      </w:r>
    </w:p>
    <w:p w:rsidR="006F6C62" w:rsidRDefault="006F6C62" w:rsidP="006F6C62">
      <w:pPr>
        <w:jc w:val="center"/>
        <w:rPr>
          <w:color w:val="009E49"/>
          <w:szCs w:val="24"/>
        </w:rPr>
      </w:pPr>
      <w:r>
        <w:rPr>
          <w:noProof/>
          <w:lang w:eastAsia="en-GB"/>
        </w:rPr>
        <w:drawing>
          <wp:inline distT="0" distB="0" distL="0" distR="0" wp14:anchorId="7FE2C02B" wp14:editId="38F33007">
            <wp:extent cx="6286500" cy="2202873"/>
            <wp:effectExtent l="0" t="0" r="0" b="6985"/>
            <wp:docPr id="33" name="Chart 33" title="Historical comparison from previous WRES reports for WSH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F6C62" w:rsidRPr="0035651E" w:rsidRDefault="006F6C62" w:rsidP="006F6C62">
      <w:pPr>
        <w:rPr>
          <w:color w:val="009E49"/>
          <w:szCs w:val="24"/>
        </w:rPr>
      </w:pPr>
      <w:r w:rsidRPr="00FD4410">
        <w:t xml:space="preserve">The data highlights that in </w:t>
      </w:r>
      <w:r>
        <w:t>most</w:t>
      </w:r>
      <w:r w:rsidRPr="00FD4410">
        <w:t xml:space="preserve"> non-clinical roles</w:t>
      </w:r>
      <w:r>
        <w:t>,</w:t>
      </w:r>
      <w:r w:rsidRPr="00FD4410">
        <w:t xml:space="preserve"> the</w:t>
      </w:r>
      <w:r>
        <w:t>re</w:t>
      </w:r>
      <w:r w:rsidRPr="00FD4410">
        <w:t xml:space="preserve"> is a lower than </w:t>
      </w:r>
      <w:r>
        <w:t xml:space="preserve">an </w:t>
      </w:r>
      <w:r w:rsidRPr="00FD4410">
        <w:t xml:space="preserve">expected representation of BME staff. Band </w:t>
      </w:r>
      <w:r>
        <w:t>8d</w:t>
      </w:r>
      <w:r w:rsidRPr="00FD4410">
        <w:t xml:space="preserve"> has a higher than </w:t>
      </w:r>
      <w:r>
        <w:t xml:space="preserve">an </w:t>
      </w:r>
      <w:r w:rsidRPr="00FD4410">
        <w:t>expected representation of BME staff.</w:t>
      </w:r>
      <w:r>
        <w:t xml:space="preserve"> Compared to the previous year, there has been an increase of BME staff in bands 5-8a and 8d.</w:t>
      </w:r>
    </w:p>
    <w:p w:rsidR="0056304B" w:rsidRDefault="0056304B" w:rsidP="0056304B">
      <w:pPr>
        <w:tabs>
          <w:tab w:val="left" w:pos="3453"/>
        </w:tabs>
        <w:rPr>
          <w:b/>
        </w:rPr>
      </w:pPr>
      <w:r>
        <w:rPr>
          <w:b/>
        </w:rPr>
        <w:t>For Clinical Roles:</w:t>
      </w:r>
      <w:r>
        <w:rPr>
          <w:b/>
        </w:rPr>
        <w:tab/>
      </w:r>
    </w:p>
    <w:tbl>
      <w:tblPr>
        <w:tblW w:w="9376" w:type="dxa"/>
        <w:tblInd w:w="93" w:type="dxa"/>
        <w:tblLook w:val="04A0" w:firstRow="1" w:lastRow="0" w:firstColumn="1" w:lastColumn="0" w:noHBand="0" w:noVBand="1"/>
        <w:tblCaption w:val="Table showing the breakdown of WSHT clinical role by grade and ethnicity"/>
      </w:tblPr>
      <w:tblGrid>
        <w:gridCol w:w="3276"/>
        <w:gridCol w:w="870"/>
        <w:gridCol w:w="750"/>
        <w:gridCol w:w="1339"/>
        <w:gridCol w:w="790"/>
        <w:gridCol w:w="1217"/>
        <w:gridCol w:w="1134"/>
      </w:tblGrid>
      <w:tr w:rsidR="0056304B" w:rsidRPr="0056304B" w:rsidTr="00A702A0">
        <w:trPr>
          <w:cantSplit/>
          <w:trHeight w:val="576"/>
          <w:tblHeader/>
        </w:trPr>
        <w:tc>
          <w:tcPr>
            <w:tcW w:w="3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6304B" w:rsidRPr="0056304B" w:rsidRDefault="0056304B" w:rsidP="00A702A0">
            <w:pPr>
              <w:spacing w:after="0" w:line="240" w:lineRule="auto"/>
              <w:rPr>
                <w:rFonts w:eastAsia="Times New Roman"/>
                <w:b/>
                <w:lang w:eastAsia="en-GB"/>
              </w:rPr>
            </w:pPr>
            <w:r w:rsidRPr="0056304B">
              <w:rPr>
                <w:rFonts w:eastAsia="Times New Roman"/>
                <w:b/>
                <w:lang w:eastAsia="en-GB"/>
              </w:rPr>
              <w:t>Pay Banding </w:t>
            </w:r>
          </w:p>
        </w:tc>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04B" w:rsidRPr="0056304B" w:rsidRDefault="0056304B" w:rsidP="00A702A0">
            <w:pPr>
              <w:spacing w:after="0" w:line="240" w:lineRule="auto"/>
              <w:rPr>
                <w:rFonts w:eastAsia="Times New Roman"/>
                <w:b/>
                <w:bCs/>
                <w:lang w:eastAsia="en-GB"/>
              </w:rPr>
            </w:pPr>
            <w:r w:rsidRPr="0056304B">
              <w:rPr>
                <w:rFonts w:eastAsia="Times New Roman"/>
                <w:b/>
                <w:bCs/>
                <w:lang w:eastAsia="en-GB"/>
              </w:rPr>
              <w:t>White</w:t>
            </w:r>
          </w:p>
        </w:tc>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04B" w:rsidRPr="0056304B" w:rsidRDefault="0056304B" w:rsidP="00A702A0">
            <w:pPr>
              <w:spacing w:after="0" w:line="240" w:lineRule="auto"/>
              <w:rPr>
                <w:rFonts w:eastAsia="Times New Roman"/>
                <w:b/>
                <w:bCs/>
                <w:lang w:eastAsia="en-GB"/>
              </w:rPr>
            </w:pPr>
            <w:r w:rsidRPr="0056304B">
              <w:rPr>
                <w:rFonts w:eastAsia="Times New Roman"/>
                <w:b/>
                <w:bCs/>
                <w:lang w:eastAsia="en-GB"/>
              </w:rPr>
              <w:t>BME</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04B" w:rsidRPr="0056304B" w:rsidRDefault="0056304B" w:rsidP="00A702A0">
            <w:pPr>
              <w:spacing w:after="0" w:line="240" w:lineRule="auto"/>
              <w:rPr>
                <w:rFonts w:eastAsia="Times New Roman"/>
                <w:b/>
                <w:bCs/>
                <w:lang w:eastAsia="en-GB"/>
              </w:rPr>
            </w:pPr>
            <w:r w:rsidRPr="0056304B">
              <w:rPr>
                <w:rFonts w:eastAsia="Times New Roman"/>
                <w:b/>
                <w:bCs/>
                <w:lang w:eastAsia="en-GB"/>
              </w:rPr>
              <w:t>Unknown</w:t>
            </w:r>
          </w:p>
        </w:tc>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04B" w:rsidRPr="0056304B" w:rsidRDefault="0056304B" w:rsidP="00A702A0">
            <w:pPr>
              <w:spacing w:after="0" w:line="240" w:lineRule="auto"/>
              <w:rPr>
                <w:rFonts w:eastAsia="Times New Roman"/>
                <w:b/>
                <w:bCs/>
                <w:lang w:eastAsia="en-GB"/>
              </w:rPr>
            </w:pPr>
            <w:r w:rsidRPr="0056304B">
              <w:rPr>
                <w:rFonts w:eastAsia="Times New Roman"/>
                <w:b/>
                <w:bCs/>
                <w:lang w:eastAsia="en-GB"/>
              </w:rPr>
              <w:t>Total</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04B" w:rsidRPr="0056304B" w:rsidRDefault="0056304B" w:rsidP="00A702A0">
            <w:pPr>
              <w:spacing w:after="0" w:line="240" w:lineRule="auto"/>
              <w:rPr>
                <w:rFonts w:eastAsia="Times New Roman"/>
                <w:b/>
                <w:bCs/>
                <w:lang w:eastAsia="en-GB"/>
              </w:rPr>
            </w:pPr>
            <w:r w:rsidRPr="0056304B">
              <w:rPr>
                <w:rFonts w:eastAsia="Times New Roman"/>
                <w:b/>
                <w:bCs/>
                <w:lang w:eastAsia="en-GB"/>
              </w:rPr>
              <w:t>White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04B" w:rsidRPr="0056304B" w:rsidRDefault="0056304B" w:rsidP="00A702A0">
            <w:pPr>
              <w:spacing w:after="0" w:line="240" w:lineRule="auto"/>
              <w:rPr>
                <w:rFonts w:eastAsia="Times New Roman"/>
                <w:b/>
                <w:bCs/>
                <w:lang w:eastAsia="en-GB"/>
              </w:rPr>
            </w:pPr>
            <w:r w:rsidRPr="0056304B">
              <w:rPr>
                <w:rFonts w:eastAsia="Times New Roman"/>
                <w:b/>
                <w:bCs/>
                <w:lang w:eastAsia="en-GB"/>
              </w:rPr>
              <w:t>**BME %</w:t>
            </w:r>
          </w:p>
        </w:tc>
      </w:tr>
      <w:tr w:rsidR="0056304B" w:rsidRPr="002C3794" w:rsidTr="00A702A0">
        <w:trPr>
          <w:cantSplit/>
          <w:trHeight w:val="300"/>
          <w:tblHeader/>
        </w:trPr>
        <w:tc>
          <w:tcPr>
            <w:tcW w:w="3276"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rPr>
                <w:rFonts w:eastAsia="Times New Roman"/>
                <w:b/>
                <w:bCs/>
                <w:color w:val="000000"/>
                <w:lang w:eastAsia="en-GB"/>
              </w:rPr>
            </w:pPr>
            <w:r w:rsidRPr="002C3794">
              <w:rPr>
                <w:rFonts w:eastAsia="Times New Roman"/>
                <w:b/>
                <w:bCs/>
                <w:color w:val="000000"/>
                <w:lang w:eastAsia="en-GB"/>
              </w:rPr>
              <w:t>Band 1</w:t>
            </w:r>
          </w:p>
        </w:tc>
        <w:tc>
          <w:tcPr>
            <w:tcW w:w="870" w:type="dxa"/>
            <w:tcBorders>
              <w:top w:val="single" w:sz="4" w:space="0" w:color="auto"/>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7</w:t>
            </w:r>
          </w:p>
        </w:tc>
        <w:tc>
          <w:tcPr>
            <w:tcW w:w="750" w:type="dxa"/>
            <w:tcBorders>
              <w:top w:val="single" w:sz="4" w:space="0" w:color="auto"/>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w:t>
            </w:r>
          </w:p>
        </w:tc>
        <w:tc>
          <w:tcPr>
            <w:tcW w:w="1339" w:type="dxa"/>
            <w:tcBorders>
              <w:top w:val="single" w:sz="4" w:space="0" w:color="auto"/>
              <w:left w:val="nil"/>
              <w:bottom w:val="single" w:sz="12" w:space="0" w:color="auto"/>
              <w:right w:val="single" w:sz="12" w:space="0" w:color="auto"/>
            </w:tcBorders>
            <w:shd w:val="clear" w:color="auto" w:fill="auto"/>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2</w:t>
            </w:r>
          </w:p>
        </w:tc>
        <w:tc>
          <w:tcPr>
            <w:tcW w:w="790" w:type="dxa"/>
            <w:tcBorders>
              <w:top w:val="single" w:sz="4" w:space="0" w:color="auto"/>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10</w:t>
            </w:r>
          </w:p>
        </w:tc>
        <w:tc>
          <w:tcPr>
            <w:tcW w:w="1217" w:type="dxa"/>
            <w:tcBorders>
              <w:top w:val="single" w:sz="4" w:space="0" w:color="auto"/>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70.0%</w:t>
            </w:r>
          </w:p>
        </w:tc>
        <w:tc>
          <w:tcPr>
            <w:tcW w:w="1134" w:type="dxa"/>
            <w:tcBorders>
              <w:top w:val="single" w:sz="4" w:space="0" w:color="auto"/>
              <w:left w:val="nil"/>
              <w:bottom w:val="single" w:sz="12" w:space="0" w:color="auto"/>
              <w:right w:val="single" w:sz="12" w:space="0" w:color="auto"/>
            </w:tcBorders>
            <w:shd w:val="clear" w:color="auto" w:fill="auto"/>
            <w:noWrap/>
            <w:vAlign w:val="center"/>
            <w:hideMark/>
          </w:tcPr>
          <w:p w:rsidR="0056304B" w:rsidRPr="0056304B" w:rsidRDefault="0056304B" w:rsidP="001E0F80">
            <w:pPr>
              <w:spacing w:after="0" w:line="240" w:lineRule="auto"/>
              <w:jc w:val="center"/>
              <w:rPr>
                <w:rFonts w:eastAsia="Times New Roman"/>
                <w:lang w:eastAsia="en-GB"/>
              </w:rPr>
            </w:pPr>
            <w:r w:rsidRPr="0056304B">
              <w:rPr>
                <w:rFonts w:eastAsia="Times New Roman"/>
                <w:lang w:eastAsia="en-GB"/>
              </w:rPr>
              <w:t>10.0%</w:t>
            </w:r>
          </w:p>
        </w:tc>
      </w:tr>
      <w:tr w:rsidR="0056304B" w:rsidRPr="002C3794" w:rsidTr="0056304B">
        <w:trPr>
          <w:cantSplit/>
          <w:trHeight w:val="300"/>
          <w:tblHeader/>
        </w:trPr>
        <w:tc>
          <w:tcPr>
            <w:tcW w:w="3276" w:type="dxa"/>
            <w:tcBorders>
              <w:top w:val="nil"/>
              <w:left w:val="single" w:sz="12" w:space="0" w:color="auto"/>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rPr>
                <w:rFonts w:eastAsia="Times New Roman"/>
                <w:b/>
                <w:bCs/>
                <w:color w:val="000000"/>
                <w:lang w:eastAsia="en-GB"/>
              </w:rPr>
            </w:pPr>
            <w:r w:rsidRPr="002C3794">
              <w:rPr>
                <w:rFonts w:eastAsia="Times New Roman"/>
                <w:b/>
                <w:bCs/>
                <w:color w:val="000000"/>
                <w:lang w:eastAsia="en-GB"/>
              </w:rPr>
              <w:t>Band 2</w:t>
            </w:r>
          </w:p>
        </w:tc>
        <w:tc>
          <w:tcPr>
            <w:tcW w:w="87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851</w:t>
            </w:r>
          </w:p>
        </w:tc>
        <w:tc>
          <w:tcPr>
            <w:tcW w:w="75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195</w:t>
            </w:r>
          </w:p>
        </w:tc>
        <w:tc>
          <w:tcPr>
            <w:tcW w:w="1339" w:type="dxa"/>
            <w:tcBorders>
              <w:top w:val="nil"/>
              <w:left w:val="nil"/>
              <w:bottom w:val="single" w:sz="12" w:space="0" w:color="auto"/>
              <w:right w:val="single" w:sz="12" w:space="0" w:color="auto"/>
            </w:tcBorders>
            <w:shd w:val="clear" w:color="auto" w:fill="auto"/>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74</w:t>
            </w:r>
          </w:p>
        </w:tc>
        <w:tc>
          <w:tcPr>
            <w:tcW w:w="79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1120</w:t>
            </w:r>
          </w:p>
        </w:tc>
        <w:tc>
          <w:tcPr>
            <w:tcW w:w="1217"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76.0%</w:t>
            </w:r>
          </w:p>
        </w:tc>
        <w:tc>
          <w:tcPr>
            <w:tcW w:w="1134" w:type="dxa"/>
            <w:tcBorders>
              <w:top w:val="nil"/>
              <w:left w:val="nil"/>
              <w:bottom w:val="single" w:sz="12" w:space="0" w:color="auto"/>
              <w:right w:val="single" w:sz="12" w:space="0" w:color="auto"/>
            </w:tcBorders>
            <w:shd w:val="clear" w:color="auto" w:fill="auto"/>
            <w:noWrap/>
            <w:vAlign w:val="center"/>
            <w:hideMark/>
          </w:tcPr>
          <w:p w:rsidR="0056304B" w:rsidRPr="0056304B" w:rsidRDefault="0056304B" w:rsidP="001E0F80">
            <w:pPr>
              <w:spacing w:after="0" w:line="240" w:lineRule="auto"/>
              <w:jc w:val="center"/>
              <w:rPr>
                <w:rFonts w:eastAsia="Times New Roman"/>
                <w:lang w:eastAsia="en-GB"/>
              </w:rPr>
            </w:pPr>
            <w:r w:rsidRPr="0056304B">
              <w:rPr>
                <w:rFonts w:eastAsia="Times New Roman"/>
                <w:lang w:eastAsia="en-GB"/>
              </w:rPr>
              <w:t>17.4%</w:t>
            </w:r>
          </w:p>
        </w:tc>
      </w:tr>
      <w:tr w:rsidR="0056304B" w:rsidRPr="002C3794" w:rsidTr="0056304B">
        <w:trPr>
          <w:cantSplit/>
          <w:trHeight w:val="300"/>
          <w:tblHeader/>
        </w:trPr>
        <w:tc>
          <w:tcPr>
            <w:tcW w:w="3276" w:type="dxa"/>
            <w:tcBorders>
              <w:top w:val="nil"/>
              <w:left w:val="single" w:sz="12" w:space="0" w:color="auto"/>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rPr>
                <w:rFonts w:eastAsia="Times New Roman"/>
                <w:b/>
                <w:bCs/>
                <w:color w:val="000000"/>
                <w:lang w:eastAsia="en-GB"/>
              </w:rPr>
            </w:pPr>
            <w:r w:rsidRPr="002C3794">
              <w:rPr>
                <w:rFonts w:eastAsia="Times New Roman"/>
                <w:b/>
                <w:bCs/>
                <w:color w:val="000000"/>
                <w:lang w:eastAsia="en-GB"/>
              </w:rPr>
              <w:t>Band 3</w:t>
            </w:r>
          </w:p>
        </w:tc>
        <w:tc>
          <w:tcPr>
            <w:tcW w:w="87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231</w:t>
            </w:r>
          </w:p>
        </w:tc>
        <w:tc>
          <w:tcPr>
            <w:tcW w:w="75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79</w:t>
            </w:r>
          </w:p>
        </w:tc>
        <w:tc>
          <w:tcPr>
            <w:tcW w:w="1339" w:type="dxa"/>
            <w:tcBorders>
              <w:top w:val="nil"/>
              <w:left w:val="nil"/>
              <w:bottom w:val="single" w:sz="12" w:space="0" w:color="auto"/>
              <w:right w:val="single" w:sz="12" w:space="0" w:color="auto"/>
            </w:tcBorders>
            <w:shd w:val="clear" w:color="auto" w:fill="auto"/>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12</w:t>
            </w:r>
          </w:p>
        </w:tc>
        <w:tc>
          <w:tcPr>
            <w:tcW w:w="79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322</w:t>
            </w:r>
          </w:p>
        </w:tc>
        <w:tc>
          <w:tcPr>
            <w:tcW w:w="1217"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71.7%</w:t>
            </w:r>
          </w:p>
        </w:tc>
        <w:tc>
          <w:tcPr>
            <w:tcW w:w="1134" w:type="dxa"/>
            <w:tcBorders>
              <w:top w:val="nil"/>
              <w:left w:val="nil"/>
              <w:bottom w:val="single" w:sz="12" w:space="0" w:color="auto"/>
              <w:right w:val="single" w:sz="12" w:space="0" w:color="auto"/>
            </w:tcBorders>
            <w:shd w:val="clear" w:color="auto" w:fill="auto"/>
            <w:noWrap/>
            <w:vAlign w:val="center"/>
            <w:hideMark/>
          </w:tcPr>
          <w:p w:rsidR="0056304B" w:rsidRPr="0056304B" w:rsidRDefault="0056304B" w:rsidP="001E0F80">
            <w:pPr>
              <w:spacing w:after="0" w:line="240" w:lineRule="auto"/>
              <w:jc w:val="center"/>
              <w:rPr>
                <w:rFonts w:eastAsia="Times New Roman"/>
                <w:b/>
                <w:lang w:eastAsia="en-GB"/>
              </w:rPr>
            </w:pPr>
            <w:r w:rsidRPr="0056304B">
              <w:rPr>
                <w:rFonts w:eastAsia="Times New Roman"/>
                <w:b/>
                <w:lang w:eastAsia="en-GB"/>
              </w:rPr>
              <w:t>24.5%</w:t>
            </w:r>
          </w:p>
        </w:tc>
      </w:tr>
      <w:tr w:rsidR="0056304B" w:rsidRPr="002C3794" w:rsidTr="0056304B">
        <w:trPr>
          <w:cantSplit/>
          <w:trHeight w:val="300"/>
          <w:tblHeader/>
        </w:trPr>
        <w:tc>
          <w:tcPr>
            <w:tcW w:w="3276" w:type="dxa"/>
            <w:tcBorders>
              <w:top w:val="nil"/>
              <w:left w:val="single" w:sz="12" w:space="0" w:color="auto"/>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rPr>
                <w:rFonts w:eastAsia="Times New Roman"/>
                <w:b/>
                <w:bCs/>
                <w:color w:val="000000"/>
                <w:lang w:eastAsia="en-GB"/>
              </w:rPr>
            </w:pPr>
            <w:r w:rsidRPr="002C3794">
              <w:rPr>
                <w:rFonts w:eastAsia="Times New Roman"/>
                <w:b/>
                <w:bCs/>
                <w:color w:val="000000"/>
                <w:lang w:eastAsia="en-GB"/>
              </w:rPr>
              <w:t>Band 4</w:t>
            </w:r>
          </w:p>
        </w:tc>
        <w:tc>
          <w:tcPr>
            <w:tcW w:w="87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163</w:t>
            </w:r>
          </w:p>
        </w:tc>
        <w:tc>
          <w:tcPr>
            <w:tcW w:w="75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17</w:t>
            </w:r>
          </w:p>
        </w:tc>
        <w:tc>
          <w:tcPr>
            <w:tcW w:w="1339" w:type="dxa"/>
            <w:tcBorders>
              <w:top w:val="nil"/>
              <w:left w:val="nil"/>
              <w:bottom w:val="single" w:sz="12" w:space="0" w:color="auto"/>
              <w:right w:val="single" w:sz="12" w:space="0" w:color="auto"/>
            </w:tcBorders>
            <w:shd w:val="clear" w:color="auto" w:fill="auto"/>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6</w:t>
            </w:r>
          </w:p>
        </w:tc>
        <w:tc>
          <w:tcPr>
            <w:tcW w:w="79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186</w:t>
            </w:r>
          </w:p>
        </w:tc>
        <w:tc>
          <w:tcPr>
            <w:tcW w:w="1217"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87.6%</w:t>
            </w:r>
          </w:p>
        </w:tc>
        <w:tc>
          <w:tcPr>
            <w:tcW w:w="1134" w:type="dxa"/>
            <w:tcBorders>
              <w:top w:val="nil"/>
              <w:left w:val="nil"/>
              <w:bottom w:val="single" w:sz="12" w:space="0" w:color="auto"/>
              <w:right w:val="single" w:sz="12" w:space="0" w:color="auto"/>
            </w:tcBorders>
            <w:shd w:val="clear" w:color="auto" w:fill="auto"/>
            <w:noWrap/>
            <w:vAlign w:val="center"/>
            <w:hideMark/>
          </w:tcPr>
          <w:p w:rsidR="0056304B" w:rsidRPr="0056304B" w:rsidRDefault="0056304B" w:rsidP="001E0F80">
            <w:pPr>
              <w:spacing w:after="0" w:line="240" w:lineRule="auto"/>
              <w:jc w:val="center"/>
              <w:rPr>
                <w:rFonts w:eastAsia="Times New Roman"/>
                <w:lang w:eastAsia="en-GB"/>
              </w:rPr>
            </w:pPr>
            <w:r w:rsidRPr="0056304B">
              <w:rPr>
                <w:rFonts w:eastAsia="Times New Roman"/>
                <w:lang w:eastAsia="en-GB"/>
              </w:rPr>
              <w:t>9.1%</w:t>
            </w:r>
          </w:p>
        </w:tc>
      </w:tr>
      <w:tr w:rsidR="0056304B" w:rsidRPr="002C3794" w:rsidTr="0056304B">
        <w:trPr>
          <w:cantSplit/>
          <w:trHeight w:val="300"/>
          <w:tblHeader/>
        </w:trPr>
        <w:tc>
          <w:tcPr>
            <w:tcW w:w="3276" w:type="dxa"/>
            <w:tcBorders>
              <w:top w:val="nil"/>
              <w:left w:val="single" w:sz="12" w:space="0" w:color="auto"/>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rPr>
                <w:rFonts w:eastAsia="Times New Roman"/>
                <w:b/>
                <w:bCs/>
                <w:color w:val="000000"/>
                <w:lang w:eastAsia="en-GB"/>
              </w:rPr>
            </w:pPr>
            <w:r w:rsidRPr="002C3794">
              <w:rPr>
                <w:rFonts w:eastAsia="Times New Roman"/>
                <w:b/>
                <w:bCs/>
                <w:color w:val="000000"/>
                <w:lang w:eastAsia="en-GB"/>
              </w:rPr>
              <w:t>Band 5</w:t>
            </w:r>
          </w:p>
        </w:tc>
        <w:tc>
          <w:tcPr>
            <w:tcW w:w="87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674</w:t>
            </w:r>
          </w:p>
        </w:tc>
        <w:tc>
          <w:tcPr>
            <w:tcW w:w="75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418</w:t>
            </w:r>
          </w:p>
        </w:tc>
        <w:tc>
          <w:tcPr>
            <w:tcW w:w="1339" w:type="dxa"/>
            <w:tcBorders>
              <w:top w:val="nil"/>
              <w:left w:val="nil"/>
              <w:bottom w:val="single" w:sz="12" w:space="0" w:color="auto"/>
              <w:right w:val="single" w:sz="12" w:space="0" w:color="auto"/>
            </w:tcBorders>
            <w:shd w:val="clear" w:color="auto" w:fill="auto"/>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109</w:t>
            </w:r>
          </w:p>
        </w:tc>
        <w:tc>
          <w:tcPr>
            <w:tcW w:w="79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1201</w:t>
            </w:r>
          </w:p>
        </w:tc>
        <w:tc>
          <w:tcPr>
            <w:tcW w:w="1217"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56.1%</w:t>
            </w:r>
          </w:p>
        </w:tc>
        <w:tc>
          <w:tcPr>
            <w:tcW w:w="1134" w:type="dxa"/>
            <w:tcBorders>
              <w:top w:val="nil"/>
              <w:left w:val="nil"/>
              <w:bottom w:val="single" w:sz="12" w:space="0" w:color="auto"/>
              <w:right w:val="single" w:sz="12" w:space="0" w:color="auto"/>
            </w:tcBorders>
            <w:shd w:val="clear" w:color="auto" w:fill="auto"/>
            <w:noWrap/>
            <w:vAlign w:val="center"/>
            <w:hideMark/>
          </w:tcPr>
          <w:p w:rsidR="0056304B" w:rsidRPr="0056304B" w:rsidRDefault="0056304B" w:rsidP="001E0F80">
            <w:pPr>
              <w:spacing w:after="0" w:line="240" w:lineRule="auto"/>
              <w:jc w:val="center"/>
              <w:rPr>
                <w:rFonts w:eastAsia="Times New Roman"/>
                <w:b/>
                <w:lang w:eastAsia="en-GB"/>
              </w:rPr>
            </w:pPr>
            <w:r w:rsidRPr="0056304B">
              <w:rPr>
                <w:rFonts w:eastAsia="Times New Roman"/>
                <w:b/>
                <w:lang w:eastAsia="en-GB"/>
              </w:rPr>
              <w:t>34.8%</w:t>
            </w:r>
          </w:p>
        </w:tc>
      </w:tr>
      <w:tr w:rsidR="0056304B" w:rsidRPr="002C3794" w:rsidTr="0056304B">
        <w:trPr>
          <w:cantSplit/>
          <w:trHeight w:val="300"/>
          <w:tblHeader/>
        </w:trPr>
        <w:tc>
          <w:tcPr>
            <w:tcW w:w="3276" w:type="dxa"/>
            <w:tcBorders>
              <w:top w:val="nil"/>
              <w:left w:val="single" w:sz="12" w:space="0" w:color="auto"/>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rPr>
                <w:rFonts w:eastAsia="Times New Roman"/>
                <w:b/>
                <w:bCs/>
                <w:color w:val="000000"/>
                <w:lang w:eastAsia="en-GB"/>
              </w:rPr>
            </w:pPr>
            <w:r w:rsidRPr="002C3794">
              <w:rPr>
                <w:rFonts w:eastAsia="Times New Roman"/>
                <w:b/>
                <w:bCs/>
                <w:color w:val="000000"/>
                <w:lang w:eastAsia="en-GB"/>
              </w:rPr>
              <w:t>Band 6</w:t>
            </w:r>
          </w:p>
        </w:tc>
        <w:tc>
          <w:tcPr>
            <w:tcW w:w="87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843</w:t>
            </w:r>
          </w:p>
        </w:tc>
        <w:tc>
          <w:tcPr>
            <w:tcW w:w="75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151</w:t>
            </w:r>
          </w:p>
        </w:tc>
        <w:tc>
          <w:tcPr>
            <w:tcW w:w="1339" w:type="dxa"/>
            <w:tcBorders>
              <w:top w:val="nil"/>
              <w:left w:val="nil"/>
              <w:bottom w:val="single" w:sz="12" w:space="0" w:color="auto"/>
              <w:right w:val="single" w:sz="12" w:space="0" w:color="auto"/>
            </w:tcBorders>
            <w:shd w:val="clear" w:color="auto" w:fill="auto"/>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48</w:t>
            </w:r>
          </w:p>
        </w:tc>
        <w:tc>
          <w:tcPr>
            <w:tcW w:w="79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1042</w:t>
            </w:r>
          </w:p>
        </w:tc>
        <w:tc>
          <w:tcPr>
            <w:tcW w:w="1217"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80.9%</w:t>
            </w:r>
          </w:p>
        </w:tc>
        <w:tc>
          <w:tcPr>
            <w:tcW w:w="1134" w:type="dxa"/>
            <w:tcBorders>
              <w:top w:val="nil"/>
              <w:left w:val="nil"/>
              <w:bottom w:val="single" w:sz="12" w:space="0" w:color="auto"/>
              <w:right w:val="single" w:sz="12" w:space="0" w:color="auto"/>
            </w:tcBorders>
            <w:shd w:val="clear" w:color="auto" w:fill="auto"/>
            <w:noWrap/>
            <w:vAlign w:val="center"/>
            <w:hideMark/>
          </w:tcPr>
          <w:p w:rsidR="0056304B" w:rsidRPr="0056304B" w:rsidRDefault="0056304B" w:rsidP="001E0F80">
            <w:pPr>
              <w:spacing w:after="0" w:line="240" w:lineRule="auto"/>
              <w:jc w:val="center"/>
              <w:rPr>
                <w:rFonts w:eastAsia="Times New Roman"/>
                <w:lang w:eastAsia="en-GB"/>
              </w:rPr>
            </w:pPr>
            <w:r w:rsidRPr="0056304B">
              <w:rPr>
                <w:rFonts w:eastAsia="Times New Roman"/>
                <w:lang w:eastAsia="en-GB"/>
              </w:rPr>
              <w:t>14.5%</w:t>
            </w:r>
          </w:p>
        </w:tc>
      </w:tr>
      <w:tr w:rsidR="0056304B" w:rsidRPr="002C3794" w:rsidTr="0056304B">
        <w:trPr>
          <w:cantSplit/>
          <w:trHeight w:val="300"/>
          <w:tblHeader/>
        </w:trPr>
        <w:tc>
          <w:tcPr>
            <w:tcW w:w="3276" w:type="dxa"/>
            <w:tcBorders>
              <w:top w:val="nil"/>
              <w:left w:val="single" w:sz="12" w:space="0" w:color="auto"/>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rPr>
                <w:rFonts w:eastAsia="Times New Roman"/>
                <w:b/>
                <w:bCs/>
                <w:color w:val="000000"/>
                <w:lang w:eastAsia="en-GB"/>
              </w:rPr>
            </w:pPr>
            <w:r w:rsidRPr="002C3794">
              <w:rPr>
                <w:rFonts w:eastAsia="Times New Roman"/>
                <w:b/>
                <w:bCs/>
                <w:color w:val="000000"/>
                <w:lang w:eastAsia="en-GB"/>
              </w:rPr>
              <w:t>Band 7</w:t>
            </w:r>
          </w:p>
        </w:tc>
        <w:tc>
          <w:tcPr>
            <w:tcW w:w="87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515</w:t>
            </w:r>
          </w:p>
        </w:tc>
        <w:tc>
          <w:tcPr>
            <w:tcW w:w="75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47</w:t>
            </w:r>
          </w:p>
        </w:tc>
        <w:tc>
          <w:tcPr>
            <w:tcW w:w="1339" w:type="dxa"/>
            <w:tcBorders>
              <w:top w:val="nil"/>
              <w:left w:val="nil"/>
              <w:bottom w:val="single" w:sz="12" w:space="0" w:color="auto"/>
              <w:right w:val="single" w:sz="12" w:space="0" w:color="auto"/>
            </w:tcBorders>
            <w:shd w:val="clear" w:color="auto" w:fill="auto"/>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29</w:t>
            </w:r>
          </w:p>
        </w:tc>
        <w:tc>
          <w:tcPr>
            <w:tcW w:w="79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591</w:t>
            </w:r>
          </w:p>
        </w:tc>
        <w:tc>
          <w:tcPr>
            <w:tcW w:w="1217"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87.1%</w:t>
            </w:r>
          </w:p>
        </w:tc>
        <w:tc>
          <w:tcPr>
            <w:tcW w:w="1134" w:type="dxa"/>
            <w:tcBorders>
              <w:top w:val="nil"/>
              <w:left w:val="nil"/>
              <w:bottom w:val="single" w:sz="12" w:space="0" w:color="auto"/>
              <w:right w:val="single" w:sz="12" w:space="0" w:color="auto"/>
            </w:tcBorders>
            <w:shd w:val="clear" w:color="auto" w:fill="auto"/>
            <w:noWrap/>
            <w:vAlign w:val="center"/>
            <w:hideMark/>
          </w:tcPr>
          <w:p w:rsidR="0056304B" w:rsidRPr="0056304B" w:rsidRDefault="0056304B" w:rsidP="001E0F80">
            <w:pPr>
              <w:spacing w:after="0" w:line="240" w:lineRule="auto"/>
              <w:jc w:val="center"/>
              <w:rPr>
                <w:rFonts w:eastAsia="Times New Roman"/>
                <w:lang w:eastAsia="en-GB"/>
              </w:rPr>
            </w:pPr>
            <w:r w:rsidRPr="0056304B">
              <w:rPr>
                <w:rFonts w:eastAsia="Times New Roman"/>
                <w:lang w:eastAsia="en-GB"/>
              </w:rPr>
              <w:t>8.0%</w:t>
            </w:r>
          </w:p>
        </w:tc>
      </w:tr>
      <w:tr w:rsidR="0056304B" w:rsidRPr="002C3794" w:rsidTr="0056304B">
        <w:trPr>
          <w:cantSplit/>
          <w:trHeight w:val="300"/>
          <w:tblHeader/>
        </w:trPr>
        <w:tc>
          <w:tcPr>
            <w:tcW w:w="3276" w:type="dxa"/>
            <w:tcBorders>
              <w:top w:val="nil"/>
              <w:left w:val="single" w:sz="12" w:space="0" w:color="auto"/>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rPr>
                <w:rFonts w:eastAsia="Times New Roman"/>
                <w:b/>
                <w:bCs/>
                <w:color w:val="000000"/>
                <w:lang w:eastAsia="en-GB"/>
              </w:rPr>
            </w:pPr>
            <w:r w:rsidRPr="002C3794">
              <w:rPr>
                <w:rFonts w:eastAsia="Times New Roman"/>
                <w:b/>
                <w:bCs/>
                <w:color w:val="000000"/>
                <w:lang w:eastAsia="en-GB"/>
              </w:rPr>
              <w:t>Band 8a</w:t>
            </w:r>
          </w:p>
        </w:tc>
        <w:tc>
          <w:tcPr>
            <w:tcW w:w="87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101</w:t>
            </w:r>
          </w:p>
        </w:tc>
        <w:tc>
          <w:tcPr>
            <w:tcW w:w="75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9</w:t>
            </w:r>
          </w:p>
        </w:tc>
        <w:tc>
          <w:tcPr>
            <w:tcW w:w="1339" w:type="dxa"/>
            <w:tcBorders>
              <w:top w:val="nil"/>
              <w:left w:val="nil"/>
              <w:bottom w:val="single" w:sz="12" w:space="0" w:color="auto"/>
              <w:right w:val="single" w:sz="12" w:space="0" w:color="auto"/>
            </w:tcBorders>
            <w:shd w:val="clear" w:color="auto" w:fill="auto"/>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5</w:t>
            </w:r>
          </w:p>
        </w:tc>
        <w:tc>
          <w:tcPr>
            <w:tcW w:w="79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115</w:t>
            </w:r>
          </w:p>
        </w:tc>
        <w:tc>
          <w:tcPr>
            <w:tcW w:w="1217"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87.8%</w:t>
            </w:r>
          </w:p>
        </w:tc>
        <w:tc>
          <w:tcPr>
            <w:tcW w:w="1134" w:type="dxa"/>
            <w:tcBorders>
              <w:top w:val="nil"/>
              <w:left w:val="nil"/>
              <w:bottom w:val="single" w:sz="12" w:space="0" w:color="auto"/>
              <w:right w:val="single" w:sz="12" w:space="0" w:color="auto"/>
            </w:tcBorders>
            <w:shd w:val="clear" w:color="auto" w:fill="auto"/>
            <w:noWrap/>
            <w:vAlign w:val="center"/>
            <w:hideMark/>
          </w:tcPr>
          <w:p w:rsidR="0056304B" w:rsidRPr="0056304B" w:rsidRDefault="0056304B" w:rsidP="001E0F80">
            <w:pPr>
              <w:spacing w:after="0" w:line="240" w:lineRule="auto"/>
              <w:jc w:val="center"/>
              <w:rPr>
                <w:rFonts w:eastAsia="Times New Roman"/>
                <w:lang w:eastAsia="en-GB"/>
              </w:rPr>
            </w:pPr>
            <w:r w:rsidRPr="0056304B">
              <w:rPr>
                <w:rFonts w:eastAsia="Times New Roman"/>
                <w:lang w:eastAsia="en-GB"/>
              </w:rPr>
              <w:t>7.8%</w:t>
            </w:r>
          </w:p>
        </w:tc>
      </w:tr>
      <w:tr w:rsidR="0056304B" w:rsidRPr="002C3794" w:rsidTr="0056304B">
        <w:trPr>
          <w:cantSplit/>
          <w:trHeight w:val="300"/>
          <w:tblHeader/>
        </w:trPr>
        <w:tc>
          <w:tcPr>
            <w:tcW w:w="3276" w:type="dxa"/>
            <w:tcBorders>
              <w:top w:val="nil"/>
              <w:left w:val="single" w:sz="12" w:space="0" w:color="auto"/>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rPr>
                <w:rFonts w:eastAsia="Times New Roman"/>
                <w:b/>
                <w:bCs/>
                <w:color w:val="000000"/>
                <w:lang w:eastAsia="en-GB"/>
              </w:rPr>
            </w:pPr>
            <w:r w:rsidRPr="002C3794">
              <w:rPr>
                <w:rFonts w:eastAsia="Times New Roman"/>
                <w:b/>
                <w:bCs/>
                <w:color w:val="000000"/>
                <w:lang w:eastAsia="en-GB"/>
              </w:rPr>
              <w:t>Band 8b</w:t>
            </w:r>
          </w:p>
        </w:tc>
        <w:tc>
          <w:tcPr>
            <w:tcW w:w="87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33</w:t>
            </w:r>
          </w:p>
        </w:tc>
        <w:tc>
          <w:tcPr>
            <w:tcW w:w="75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 </w:t>
            </w:r>
          </w:p>
        </w:tc>
        <w:tc>
          <w:tcPr>
            <w:tcW w:w="1339" w:type="dxa"/>
            <w:tcBorders>
              <w:top w:val="nil"/>
              <w:left w:val="nil"/>
              <w:bottom w:val="single" w:sz="12" w:space="0" w:color="auto"/>
              <w:right w:val="single" w:sz="12" w:space="0" w:color="auto"/>
            </w:tcBorders>
            <w:shd w:val="clear" w:color="auto" w:fill="auto"/>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w:t>
            </w:r>
          </w:p>
        </w:tc>
        <w:tc>
          <w:tcPr>
            <w:tcW w:w="79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34</w:t>
            </w:r>
          </w:p>
        </w:tc>
        <w:tc>
          <w:tcPr>
            <w:tcW w:w="1217"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97.1%</w:t>
            </w:r>
          </w:p>
        </w:tc>
        <w:tc>
          <w:tcPr>
            <w:tcW w:w="1134" w:type="dxa"/>
            <w:tcBorders>
              <w:top w:val="nil"/>
              <w:left w:val="nil"/>
              <w:bottom w:val="single" w:sz="12" w:space="0" w:color="auto"/>
              <w:right w:val="single" w:sz="12" w:space="0" w:color="auto"/>
            </w:tcBorders>
            <w:shd w:val="clear" w:color="auto" w:fill="auto"/>
            <w:noWrap/>
            <w:vAlign w:val="center"/>
            <w:hideMark/>
          </w:tcPr>
          <w:p w:rsidR="0056304B" w:rsidRPr="0056304B" w:rsidRDefault="0056304B" w:rsidP="001E0F80">
            <w:pPr>
              <w:spacing w:after="0" w:line="240" w:lineRule="auto"/>
              <w:jc w:val="center"/>
              <w:rPr>
                <w:rFonts w:eastAsia="Times New Roman"/>
                <w:lang w:eastAsia="en-GB"/>
              </w:rPr>
            </w:pPr>
            <w:r w:rsidRPr="0056304B">
              <w:rPr>
                <w:rFonts w:eastAsia="Times New Roman"/>
                <w:lang w:eastAsia="en-GB"/>
              </w:rPr>
              <w:t>0.0%</w:t>
            </w:r>
          </w:p>
        </w:tc>
      </w:tr>
      <w:tr w:rsidR="0056304B" w:rsidRPr="002C3794" w:rsidTr="0056304B">
        <w:trPr>
          <w:cantSplit/>
          <w:trHeight w:val="300"/>
          <w:tblHeader/>
        </w:trPr>
        <w:tc>
          <w:tcPr>
            <w:tcW w:w="3276" w:type="dxa"/>
            <w:tcBorders>
              <w:top w:val="nil"/>
              <w:left w:val="single" w:sz="12" w:space="0" w:color="auto"/>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rPr>
                <w:rFonts w:eastAsia="Times New Roman"/>
                <w:b/>
                <w:bCs/>
                <w:color w:val="000000"/>
                <w:lang w:eastAsia="en-GB"/>
              </w:rPr>
            </w:pPr>
            <w:r w:rsidRPr="002C3794">
              <w:rPr>
                <w:rFonts w:eastAsia="Times New Roman"/>
                <w:b/>
                <w:bCs/>
                <w:color w:val="000000"/>
                <w:lang w:eastAsia="en-GB"/>
              </w:rPr>
              <w:t>Band 8c</w:t>
            </w:r>
          </w:p>
        </w:tc>
        <w:tc>
          <w:tcPr>
            <w:tcW w:w="87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11</w:t>
            </w:r>
          </w:p>
        </w:tc>
        <w:tc>
          <w:tcPr>
            <w:tcW w:w="75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 </w:t>
            </w:r>
          </w:p>
        </w:tc>
        <w:tc>
          <w:tcPr>
            <w:tcW w:w="1339" w:type="dxa"/>
            <w:tcBorders>
              <w:top w:val="nil"/>
              <w:left w:val="nil"/>
              <w:bottom w:val="single" w:sz="12" w:space="0" w:color="auto"/>
              <w:right w:val="single" w:sz="12" w:space="0" w:color="auto"/>
            </w:tcBorders>
            <w:shd w:val="clear" w:color="auto" w:fill="auto"/>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w:t>
            </w:r>
          </w:p>
        </w:tc>
        <w:tc>
          <w:tcPr>
            <w:tcW w:w="79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12</w:t>
            </w:r>
          </w:p>
        </w:tc>
        <w:tc>
          <w:tcPr>
            <w:tcW w:w="1217"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91.7%</w:t>
            </w:r>
          </w:p>
        </w:tc>
        <w:tc>
          <w:tcPr>
            <w:tcW w:w="1134" w:type="dxa"/>
            <w:tcBorders>
              <w:top w:val="nil"/>
              <w:left w:val="nil"/>
              <w:bottom w:val="single" w:sz="12" w:space="0" w:color="auto"/>
              <w:right w:val="single" w:sz="12" w:space="0" w:color="auto"/>
            </w:tcBorders>
            <w:shd w:val="clear" w:color="auto" w:fill="auto"/>
            <w:noWrap/>
            <w:vAlign w:val="center"/>
            <w:hideMark/>
          </w:tcPr>
          <w:p w:rsidR="0056304B" w:rsidRPr="0056304B" w:rsidRDefault="0056304B" w:rsidP="001E0F80">
            <w:pPr>
              <w:spacing w:after="0" w:line="240" w:lineRule="auto"/>
              <w:jc w:val="center"/>
              <w:rPr>
                <w:rFonts w:eastAsia="Times New Roman"/>
                <w:lang w:eastAsia="en-GB"/>
              </w:rPr>
            </w:pPr>
            <w:r w:rsidRPr="0056304B">
              <w:rPr>
                <w:rFonts w:eastAsia="Times New Roman"/>
                <w:lang w:eastAsia="en-GB"/>
              </w:rPr>
              <w:t>0.0%</w:t>
            </w:r>
          </w:p>
        </w:tc>
      </w:tr>
      <w:tr w:rsidR="0056304B" w:rsidRPr="002C3794" w:rsidTr="0056304B">
        <w:trPr>
          <w:cantSplit/>
          <w:trHeight w:val="300"/>
          <w:tblHeader/>
        </w:trPr>
        <w:tc>
          <w:tcPr>
            <w:tcW w:w="3276" w:type="dxa"/>
            <w:tcBorders>
              <w:top w:val="nil"/>
              <w:left w:val="single" w:sz="12" w:space="0" w:color="auto"/>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rPr>
                <w:rFonts w:eastAsia="Times New Roman"/>
                <w:b/>
                <w:bCs/>
                <w:color w:val="000000"/>
                <w:lang w:eastAsia="en-GB"/>
              </w:rPr>
            </w:pPr>
            <w:r w:rsidRPr="002C3794">
              <w:rPr>
                <w:rFonts w:eastAsia="Times New Roman"/>
                <w:b/>
                <w:bCs/>
                <w:color w:val="000000"/>
                <w:lang w:eastAsia="en-GB"/>
              </w:rPr>
              <w:t>Band 8d</w:t>
            </w:r>
          </w:p>
        </w:tc>
        <w:tc>
          <w:tcPr>
            <w:tcW w:w="87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3</w:t>
            </w:r>
          </w:p>
        </w:tc>
        <w:tc>
          <w:tcPr>
            <w:tcW w:w="75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 </w:t>
            </w:r>
          </w:p>
        </w:tc>
        <w:tc>
          <w:tcPr>
            <w:tcW w:w="1339" w:type="dxa"/>
            <w:tcBorders>
              <w:top w:val="nil"/>
              <w:left w:val="nil"/>
              <w:bottom w:val="single" w:sz="12" w:space="0" w:color="auto"/>
              <w:right w:val="single" w:sz="12" w:space="0" w:color="auto"/>
            </w:tcBorders>
            <w:shd w:val="clear" w:color="auto" w:fill="auto"/>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 </w:t>
            </w:r>
          </w:p>
        </w:tc>
        <w:tc>
          <w:tcPr>
            <w:tcW w:w="79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3</w:t>
            </w:r>
          </w:p>
        </w:tc>
        <w:tc>
          <w:tcPr>
            <w:tcW w:w="1217"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100.0%</w:t>
            </w:r>
          </w:p>
        </w:tc>
        <w:tc>
          <w:tcPr>
            <w:tcW w:w="1134" w:type="dxa"/>
            <w:tcBorders>
              <w:top w:val="nil"/>
              <w:left w:val="nil"/>
              <w:bottom w:val="single" w:sz="12" w:space="0" w:color="auto"/>
              <w:right w:val="single" w:sz="12" w:space="0" w:color="auto"/>
            </w:tcBorders>
            <w:shd w:val="clear" w:color="auto" w:fill="auto"/>
            <w:noWrap/>
            <w:vAlign w:val="center"/>
            <w:hideMark/>
          </w:tcPr>
          <w:p w:rsidR="0056304B" w:rsidRPr="0056304B" w:rsidRDefault="0056304B" w:rsidP="001E0F80">
            <w:pPr>
              <w:spacing w:after="0" w:line="240" w:lineRule="auto"/>
              <w:jc w:val="center"/>
              <w:rPr>
                <w:rFonts w:eastAsia="Times New Roman"/>
                <w:lang w:eastAsia="en-GB"/>
              </w:rPr>
            </w:pPr>
            <w:r w:rsidRPr="0056304B">
              <w:rPr>
                <w:rFonts w:eastAsia="Times New Roman"/>
                <w:lang w:eastAsia="en-GB"/>
              </w:rPr>
              <w:t>0.0%</w:t>
            </w:r>
          </w:p>
        </w:tc>
      </w:tr>
      <w:tr w:rsidR="0056304B" w:rsidRPr="002C3794" w:rsidTr="0056304B">
        <w:trPr>
          <w:cantSplit/>
          <w:trHeight w:val="300"/>
          <w:tblHeader/>
        </w:trPr>
        <w:tc>
          <w:tcPr>
            <w:tcW w:w="3276" w:type="dxa"/>
            <w:tcBorders>
              <w:top w:val="nil"/>
              <w:left w:val="single" w:sz="12" w:space="0" w:color="auto"/>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rPr>
                <w:rFonts w:eastAsia="Times New Roman"/>
                <w:b/>
                <w:bCs/>
                <w:color w:val="000000"/>
                <w:lang w:eastAsia="en-GB"/>
              </w:rPr>
            </w:pPr>
            <w:r w:rsidRPr="002C3794">
              <w:rPr>
                <w:rFonts w:eastAsia="Times New Roman"/>
                <w:b/>
                <w:bCs/>
                <w:color w:val="000000"/>
                <w:lang w:eastAsia="en-GB"/>
              </w:rPr>
              <w:t>Band 9</w:t>
            </w:r>
          </w:p>
        </w:tc>
        <w:tc>
          <w:tcPr>
            <w:tcW w:w="87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2</w:t>
            </w:r>
          </w:p>
        </w:tc>
        <w:tc>
          <w:tcPr>
            <w:tcW w:w="75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 </w:t>
            </w:r>
          </w:p>
        </w:tc>
        <w:tc>
          <w:tcPr>
            <w:tcW w:w="1339" w:type="dxa"/>
            <w:tcBorders>
              <w:top w:val="nil"/>
              <w:left w:val="nil"/>
              <w:bottom w:val="single" w:sz="12" w:space="0" w:color="auto"/>
              <w:right w:val="single" w:sz="12" w:space="0" w:color="auto"/>
            </w:tcBorders>
            <w:shd w:val="clear" w:color="auto" w:fill="auto"/>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 </w:t>
            </w:r>
          </w:p>
        </w:tc>
        <w:tc>
          <w:tcPr>
            <w:tcW w:w="79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2</w:t>
            </w:r>
          </w:p>
        </w:tc>
        <w:tc>
          <w:tcPr>
            <w:tcW w:w="1217"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100.0%</w:t>
            </w:r>
          </w:p>
        </w:tc>
        <w:tc>
          <w:tcPr>
            <w:tcW w:w="1134" w:type="dxa"/>
            <w:tcBorders>
              <w:top w:val="nil"/>
              <w:left w:val="nil"/>
              <w:bottom w:val="single" w:sz="12" w:space="0" w:color="auto"/>
              <w:right w:val="single" w:sz="12" w:space="0" w:color="auto"/>
            </w:tcBorders>
            <w:shd w:val="clear" w:color="auto" w:fill="auto"/>
            <w:noWrap/>
            <w:vAlign w:val="center"/>
            <w:hideMark/>
          </w:tcPr>
          <w:p w:rsidR="0056304B" w:rsidRPr="0056304B" w:rsidRDefault="0056304B" w:rsidP="001E0F80">
            <w:pPr>
              <w:spacing w:after="0" w:line="240" w:lineRule="auto"/>
              <w:jc w:val="center"/>
              <w:rPr>
                <w:rFonts w:eastAsia="Times New Roman"/>
                <w:lang w:eastAsia="en-GB"/>
              </w:rPr>
            </w:pPr>
            <w:r w:rsidRPr="0056304B">
              <w:rPr>
                <w:rFonts w:eastAsia="Times New Roman"/>
                <w:lang w:eastAsia="en-GB"/>
              </w:rPr>
              <w:t>0.0%</w:t>
            </w:r>
          </w:p>
        </w:tc>
      </w:tr>
      <w:tr w:rsidR="0056304B" w:rsidRPr="002C3794" w:rsidTr="0056304B">
        <w:trPr>
          <w:cantSplit/>
          <w:trHeight w:val="300"/>
          <w:tblHeader/>
        </w:trPr>
        <w:tc>
          <w:tcPr>
            <w:tcW w:w="3276" w:type="dxa"/>
            <w:tcBorders>
              <w:top w:val="nil"/>
              <w:left w:val="single" w:sz="12" w:space="0" w:color="auto"/>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rPr>
                <w:rFonts w:eastAsia="Times New Roman"/>
                <w:b/>
                <w:bCs/>
                <w:color w:val="000000"/>
                <w:lang w:eastAsia="en-GB"/>
              </w:rPr>
            </w:pPr>
            <w:r w:rsidRPr="002C3794">
              <w:rPr>
                <w:rFonts w:eastAsia="Times New Roman"/>
                <w:b/>
                <w:bCs/>
                <w:color w:val="000000"/>
                <w:lang w:eastAsia="en-GB"/>
              </w:rPr>
              <w:t>VSM</w:t>
            </w:r>
          </w:p>
        </w:tc>
        <w:tc>
          <w:tcPr>
            <w:tcW w:w="87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5</w:t>
            </w:r>
          </w:p>
        </w:tc>
        <w:tc>
          <w:tcPr>
            <w:tcW w:w="75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w:t>
            </w:r>
          </w:p>
        </w:tc>
        <w:tc>
          <w:tcPr>
            <w:tcW w:w="1339" w:type="dxa"/>
            <w:tcBorders>
              <w:top w:val="nil"/>
              <w:left w:val="nil"/>
              <w:bottom w:val="single" w:sz="12" w:space="0" w:color="auto"/>
              <w:right w:val="single" w:sz="12" w:space="0" w:color="auto"/>
            </w:tcBorders>
            <w:shd w:val="clear" w:color="auto" w:fill="auto"/>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2</w:t>
            </w:r>
          </w:p>
        </w:tc>
        <w:tc>
          <w:tcPr>
            <w:tcW w:w="79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8</w:t>
            </w:r>
          </w:p>
        </w:tc>
        <w:tc>
          <w:tcPr>
            <w:tcW w:w="1217"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62.5%</w:t>
            </w:r>
          </w:p>
        </w:tc>
        <w:tc>
          <w:tcPr>
            <w:tcW w:w="1134" w:type="dxa"/>
            <w:tcBorders>
              <w:top w:val="nil"/>
              <w:left w:val="nil"/>
              <w:bottom w:val="single" w:sz="12" w:space="0" w:color="auto"/>
              <w:right w:val="single" w:sz="12" w:space="0" w:color="auto"/>
            </w:tcBorders>
            <w:shd w:val="clear" w:color="auto" w:fill="auto"/>
            <w:noWrap/>
            <w:vAlign w:val="center"/>
            <w:hideMark/>
          </w:tcPr>
          <w:p w:rsidR="0056304B" w:rsidRPr="0056304B" w:rsidRDefault="0056304B" w:rsidP="001E0F80">
            <w:pPr>
              <w:spacing w:after="0" w:line="240" w:lineRule="auto"/>
              <w:jc w:val="center"/>
              <w:rPr>
                <w:rFonts w:eastAsia="Times New Roman"/>
                <w:lang w:eastAsia="en-GB"/>
              </w:rPr>
            </w:pPr>
            <w:r w:rsidRPr="0056304B">
              <w:rPr>
                <w:rFonts w:eastAsia="Times New Roman"/>
                <w:lang w:eastAsia="en-GB"/>
              </w:rPr>
              <w:t>12.5%</w:t>
            </w:r>
          </w:p>
        </w:tc>
      </w:tr>
      <w:tr w:rsidR="0056304B" w:rsidRPr="002C3794" w:rsidTr="0056304B">
        <w:trPr>
          <w:cantSplit/>
          <w:trHeight w:val="300"/>
          <w:tblHeader/>
        </w:trPr>
        <w:tc>
          <w:tcPr>
            <w:tcW w:w="3276" w:type="dxa"/>
            <w:tcBorders>
              <w:top w:val="nil"/>
              <w:left w:val="single" w:sz="12" w:space="0" w:color="auto"/>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rPr>
                <w:rFonts w:eastAsia="Times New Roman"/>
                <w:b/>
                <w:bCs/>
                <w:color w:val="000000"/>
                <w:lang w:eastAsia="en-GB"/>
              </w:rPr>
            </w:pPr>
            <w:r w:rsidRPr="002C3794">
              <w:rPr>
                <w:rFonts w:eastAsia="Times New Roman"/>
                <w:b/>
                <w:bCs/>
                <w:color w:val="000000"/>
                <w:lang w:eastAsia="en-GB"/>
              </w:rPr>
              <w:t>Medical: Consultants</w:t>
            </w:r>
          </w:p>
        </w:tc>
        <w:tc>
          <w:tcPr>
            <w:tcW w:w="87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246</w:t>
            </w:r>
          </w:p>
        </w:tc>
        <w:tc>
          <w:tcPr>
            <w:tcW w:w="75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83</w:t>
            </w:r>
          </w:p>
        </w:tc>
        <w:tc>
          <w:tcPr>
            <w:tcW w:w="1339"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18</w:t>
            </w:r>
          </w:p>
        </w:tc>
        <w:tc>
          <w:tcPr>
            <w:tcW w:w="79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347</w:t>
            </w:r>
          </w:p>
        </w:tc>
        <w:tc>
          <w:tcPr>
            <w:tcW w:w="1217"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70.9%</w:t>
            </w:r>
          </w:p>
        </w:tc>
        <w:tc>
          <w:tcPr>
            <w:tcW w:w="1134" w:type="dxa"/>
            <w:tcBorders>
              <w:top w:val="nil"/>
              <w:left w:val="nil"/>
              <w:bottom w:val="single" w:sz="12" w:space="0" w:color="auto"/>
              <w:right w:val="single" w:sz="12" w:space="0" w:color="auto"/>
            </w:tcBorders>
            <w:shd w:val="clear" w:color="auto" w:fill="auto"/>
            <w:noWrap/>
            <w:vAlign w:val="center"/>
            <w:hideMark/>
          </w:tcPr>
          <w:p w:rsidR="0056304B" w:rsidRPr="0056304B" w:rsidRDefault="0056304B" w:rsidP="001E0F80">
            <w:pPr>
              <w:spacing w:after="0" w:line="240" w:lineRule="auto"/>
              <w:jc w:val="center"/>
              <w:rPr>
                <w:rFonts w:eastAsia="Times New Roman"/>
                <w:b/>
                <w:lang w:eastAsia="en-GB"/>
              </w:rPr>
            </w:pPr>
            <w:r w:rsidRPr="0056304B">
              <w:rPr>
                <w:rFonts w:eastAsia="Times New Roman"/>
                <w:b/>
                <w:lang w:eastAsia="en-GB"/>
              </w:rPr>
              <w:t>23.9%</w:t>
            </w:r>
          </w:p>
        </w:tc>
      </w:tr>
      <w:tr w:rsidR="0056304B" w:rsidRPr="002C3794" w:rsidTr="0056304B">
        <w:trPr>
          <w:cantSplit/>
          <w:trHeight w:val="444"/>
          <w:tblHeader/>
        </w:trPr>
        <w:tc>
          <w:tcPr>
            <w:tcW w:w="3276" w:type="dxa"/>
            <w:tcBorders>
              <w:top w:val="nil"/>
              <w:left w:val="single" w:sz="12" w:space="0" w:color="auto"/>
              <w:bottom w:val="single" w:sz="12" w:space="0" w:color="auto"/>
              <w:right w:val="single" w:sz="12" w:space="0" w:color="auto"/>
            </w:tcBorders>
            <w:shd w:val="clear" w:color="auto" w:fill="auto"/>
            <w:vAlign w:val="center"/>
            <w:hideMark/>
          </w:tcPr>
          <w:p w:rsidR="0056304B" w:rsidRPr="002C3794" w:rsidRDefault="0056304B" w:rsidP="001E0F80">
            <w:pPr>
              <w:spacing w:after="0" w:line="240" w:lineRule="auto"/>
              <w:rPr>
                <w:rFonts w:eastAsia="Times New Roman"/>
                <w:b/>
                <w:bCs/>
                <w:color w:val="000000"/>
                <w:lang w:eastAsia="en-GB"/>
              </w:rPr>
            </w:pPr>
            <w:r w:rsidRPr="002C3794">
              <w:rPr>
                <w:rFonts w:eastAsia="Times New Roman"/>
                <w:b/>
                <w:bCs/>
                <w:color w:val="000000"/>
                <w:lang w:eastAsia="en-GB"/>
              </w:rPr>
              <w:t>Medical: Non-consultant career grade</w:t>
            </w:r>
          </w:p>
        </w:tc>
        <w:tc>
          <w:tcPr>
            <w:tcW w:w="87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63</w:t>
            </w:r>
          </w:p>
        </w:tc>
        <w:tc>
          <w:tcPr>
            <w:tcW w:w="75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90</w:t>
            </w:r>
          </w:p>
        </w:tc>
        <w:tc>
          <w:tcPr>
            <w:tcW w:w="1339"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14</w:t>
            </w:r>
          </w:p>
        </w:tc>
        <w:tc>
          <w:tcPr>
            <w:tcW w:w="79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167</w:t>
            </w:r>
          </w:p>
        </w:tc>
        <w:tc>
          <w:tcPr>
            <w:tcW w:w="1217"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37.7%</w:t>
            </w:r>
          </w:p>
        </w:tc>
        <w:tc>
          <w:tcPr>
            <w:tcW w:w="1134" w:type="dxa"/>
            <w:tcBorders>
              <w:top w:val="nil"/>
              <w:left w:val="nil"/>
              <w:bottom w:val="single" w:sz="12" w:space="0" w:color="auto"/>
              <w:right w:val="single" w:sz="12" w:space="0" w:color="auto"/>
            </w:tcBorders>
            <w:shd w:val="clear" w:color="auto" w:fill="auto"/>
            <w:noWrap/>
            <w:vAlign w:val="center"/>
            <w:hideMark/>
          </w:tcPr>
          <w:p w:rsidR="0056304B" w:rsidRPr="0056304B" w:rsidRDefault="0056304B" w:rsidP="001E0F80">
            <w:pPr>
              <w:spacing w:after="0" w:line="240" w:lineRule="auto"/>
              <w:jc w:val="center"/>
              <w:rPr>
                <w:rFonts w:eastAsia="Times New Roman"/>
                <w:b/>
                <w:lang w:eastAsia="en-GB"/>
              </w:rPr>
            </w:pPr>
            <w:r w:rsidRPr="0056304B">
              <w:rPr>
                <w:rFonts w:eastAsia="Times New Roman"/>
                <w:b/>
                <w:lang w:eastAsia="en-GB"/>
              </w:rPr>
              <w:t>53.9%</w:t>
            </w:r>
          </w:p>
        </w:tc>
      </w:tr>
      <w:tr w:rsidR="0056304B" w:rsidRPr="002C3794" w:rsidTr="0056304B">
        <w:trPr>
          <w:cantSplit/>
          <w:trHeight w:val="312"/>
          <w:tblHeader/>
        </w:trPr>
        <w:tc>
          <w:tcPr>
            <w:tcW w:w="3276" w:type="dxa"/>
            <w:tcBorders>
              <w:top w:val="nil"/>
              <w:left w:val="single" w:sz="12" w:space="0" w:color="auto"/>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rPr>
                <w:rFonts w:eastAsia="Times New Roman"/>
                <w:b/>
                <w:bCs/>
                <w:color w:val="000000"/>
                <w:lang w:eastAsia="en-GB"/>
              </w:rPr>
            </w:pPr>
            <w:r w:rsidRPr="002C3794">
              <w:rPr>
                <w:rFonts w:eastAsia="Times New Roman"/>
                <w:b/>
                <w:bCs/>
                <w:color w:val="000000"/>
                <w:lang w:eastAsia="en-GB"/>
              </w:rPr>
              <w:t>Medical: Trainee</w:t>
            </w:r>
          </w:p>
        </w:tc>
        <w:tc>
          <w:tcPr>
            <w:tcW w:w="87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240</w:t>
            </w:r>
          </w:p>
        </w:tc>
        <w:tc>
          <w:tcPr>
            <w:tcW w:w="75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121</w:t>
            </w:r>
          </w:p>
        </w:tc>
        <w:tc>
          <w:tcPr>
            <w:tcW w:w="1339"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26</w:t>
            </w:r>
          </w:p>
        </w:tc>
        <w:tc>
          <w:tcPr>
            <w:tcW w:w="790"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387</w:t>
            </w:r>
          </w:p>
        </w:tc>
        <w:tc>
          <w:tcPr>
            <w:tcW w:w="1217" w:type="dxa"/>
            <w:tcBorders>
              <w:top w:val="nil"/>
              <w:left w:val="nil"/>
              <w:bottom w:val="single" w:sz="12" w:space="0" w:color="auto"/>
              <w:right w:val="single" w:sz="12" w:space="0" w:color="auto"/>
            </w:tcBorders>
            <w:shd w:val="clear" w:color="auto" w:fill="auto"/>
            <w:noWrap/>
            <w:vAlign w:val="center"/>
            <w:hideMark/>
          </w:tcPr>
          <w:p w:rsidR="0056304B" w:rsidRPr="002C3794" w:rsidRDefault="0056304B" w:rsidP="001E0F80">
            <w:pPr>
              <w:spacing w:after="0" w:line="240" w:lineRule="auto"/>
              <w:jc w:val="center"/>
              <w:rPr>
                <w:rFonts w:eastAsia="Times New Roman"/>
                <w:color w:val="000000"/>
                <w:lang w:eastAsia="en-GB"/>
              </w:rPr>
            </w:pPr>
            <w:r w:rsidRPr="002C3794">
              <w:rPr>
                <w:rFonts w:eastAsia="Times New Roman"/>
                <w:color w:val="000000"/>
                <w:lang w:eastAsia="en-GB"/>
              </w:rPr>
              <w:t>62.0%</w:t>
            </w:r>
          </w:p>
        </w:tc>
        <w:tc>
          <w:tcPr>
            <w:tcW w:w="1134" w:type="dxa"/>
            <w:tcBorders>
              <w:top w:val="nil"/>
              <w:left w:val="nil"/>
              <w:bottom w:val="single" w:sz="12" w:space="0" w:color="auto"/>
              <w:right w:val="single" w:sz="12" w:space="0" w:color="auto"/>
            </w:tcBorders>
            <w:shd w:val="clear" w:color="auto" w:fill="auto"/>
            <w:noWrap/>
            <w:vAlign w:val="center"/>
            <w:hideMark/>
          </w:tcPr>
          <w:p w:rsidR="0056304B" w:rsidRPr="0056304B" w:rsidRDefault="0056304B" w:rsidP="001E0F80">
            <w:pPr>
              <w:spacing w:after="0" w:line="240" w:lineRule="auto"/>
              <w:jc w:val="center"/>
              <w:rPr>
                <w:rFonts w:eastAsia="Times New Roman"/>
                <w:b/>
                <w:lang w:eastAsia="en-GB"/>
              </w:rPr>
            </w:pPr>
            <w:r w:rsidRPr="0056304B">
              <w:rPr>
                <w:rFonts w:eastAsia="Times New Roman"/>
                <w:b/>
                <w:lang w:eastAsia="en-GB"/>
              </w:rPr>
              <w:t>31.3%</w:t>
            </w:r>
          </w:p>
        </w:tc>
      </w:tr>
      <w:tr w:rsidR="0056304B" w:rsidRPr="0056304B" w:rsidTr="0056304B">
        <w:trPr>
          <w:cantSplit/>
          <w:trHeight w:val="300"/>
          <w:tblHeader/>
        </w:trPr>
        <w:tc>
          <w:tcPr>
            <w:tcW w:w="3276" w:type="dxa"/>
            <w:tcBorders>
              <w:top w:val="nil"/>
              <w:left w:val="single" w:sz="12" w:space="0" w:color="auto"/>
              <w:bottom w:val="single" w:sz="12" w:space="0" w:color="auto"/>
              <w:right w:val="single" w:sz="12" w:space="0" w:color="auto"/>
            </w:tcBorders>
            <w:shd w:val="clear" w:color="auto" w:fill="auto"/>
            <w:noWrap/>
            <w:vAlign w:val="center"/>
            <w:hideMark/>
          </w:tcPr>
          <w:p w:rsidR="0056304B" w:rsidRPr="0056304B" w:rsidRDefault="0056304B" w:rsidP="0056304B">
            <w:pPr>
              <w:spacing w:after="0" w:line="240" w:lineRule="auto"/>
              <w:rPr>
                <w:rFonts w:eastAsia="Times New Roman"/>
                <w:b/>
                <w:bCs/>
                <w:lang w:eastAsia="en-GB"/>
              </w:rPr>
            </w:pPr>
            <w:r w:rsidRPr="0056304B">
              <w:rPr>
                <w:rFonts w:eastAsia="Times New Roman"/>
                <w:b/>
                <w:bCs/>
                <w:lang w:eastAsia="en-GB"/>
              </w:rPr>
              <w:t>All Clinical Roles</w:t>
            </w:r>
          </w:p>
        </w:tc>
        <w:tc>
          <w:tcPr>
            <w:tcW w:w="870" w:type="dxa"/>
            <w:tcBorders>
              <w:top w:val="nil"/>
              <w:left w:val="nil"/>
              <w:bottom w:val="single" w:sz="12" w:space="0" w:color="auto"/>
              <w:right w:val="single" w:sz="12" w:space="0" w:color="auto"/>
            </w:tcBorders>
            <w:shd w:val="clear" w:color="auto" w:fill="auto"/>
            <w:noWrap/>
            <w:vAlign w:val="center"/>
            <w:hideMark/>
          </w:tcPr>
          <w:p w:rsidR="0056304B" w:rsidRPr="0056304B" w:rsidRDefault="0056304B" w:rsidP="0056304B">
            <w:pPr>
              <w:spacing w:after="0" w:line="240" w:lineRule="auto"/>
              <w:jc w:val="center"/>
              <w:rPr>
                <w:rFonts w:eastAsia="Times New Roman"/>
                <w:bCs/>
                <w:lang w:eastAsia="en-GB"/>
              </w:rPr>
            </w:pPr>
            <w:r w:rsidRPr="0056304B">
              <w:rPr>
                <w:rFonts w:eastAsia="Times New Roman"/>
                <w:bCs/>
                <w:lang w:eastAsia="en-GB"/>
              </w:rPr>
              <w:t>3988</w:t>
            </w:r>
          </w:p>
        </w:tc>
        <w:tc>
          <w:tcPr>
            <w:tcW w:w="750" w:type="dxa"/>
            <w:tcBorders>
              <w:top w:val="nil"/>
              <w:left w:val="nil"/>
              <w:bottom w:val="single" w:sz="12" w:space="0" w:color="auto"/>
              <w:right w:val="single" w:sz="12" w:space="0" w:color="auto"/>
            </w:tcBorders>
            <w:shd w:val="clear" w:color="auto" w:fill="auto"/>
            <w:noWrap/>
            <w:vAlign w:val="center"/>
            <w:hideMark/>
          </w:tcPr>
          <w:p w:rsidR="0056304B" w:rsidRPr="0056304B" w:rsidRDefault="0056304B" w:rsidP="0056304B">
            <w:pPr>
              <w:spacing w:after="0" w:line="240" w:lineRule="auto"/>
              <w:jc w:val="center"/>
              <w:rPr>
                <w:rFonts w:eastAsia="Times New Roman"/>
                <w:bCs/>
                <w:lang w:eastAsia="en-GB"/>
              </w:rPr>
            </w:pPr>
            <w:r w:rsidRPr="0056304B">
              <w:rPr>
                <w:rFonts w:eastAsia="Times New Roman"/>
                <w:bCs/>
                <w:lang w:eastAsia="en-GB"/>
              </w:rPr>
              <w:t>1212</w:t>
            </w:r>
          </w:p>
        </w:tc>
        <w:tc>
          <w:tcPr>
            <w:tcW w:w="1339" w:type="dxa"/>
            <w:tcBorders>
              <w:top w:val="nil"/>
              <w:left w:val="nil"/>
              <w:bottom w:val="single" w:sz="12" w:space="0" w:color="auto"/>
              <w:right w:val="single" w:sz="12" w:space="0" w:color="auto"/>
            </w:tcBorders>
            <w:shd w:val="clear" w:color="auto" w:fill="auto"/>
            <w:noWrap/>
            <w:vAlign w:val="center"/>
            <w:hideMark/>
          </w:tcPr>
          <w:p w:rsidR="0056304B" w:rsidRPr="0056304B" w:rsidRDefault="0056304B" w:rsidP="0056304B">
            <w:pPr>
              <w:spacing w:after="0" w:line="240" w:lineRule="auto"/>
              <w:jc w:val="center"/>
              <w:rPr>
                <w:rFonts w:eastAsia="Times New Roman"/>
                <w:bCs/>
                <w:lang w:eastAsia="en-GB"/>
              </w:rPr>
            </w:pPr>
            <w:r w:rsidRPr="0056304B">
              <w:rPr>
                <w:rFonts w:eastAsia="Times New Roman"/>
                <w:bCs/>
                <w:lang w:eastAsia="en-GB"/>
              </w:rPr>
              <w:t>347</w:t>
            </w:r>
          </w:p>
        </w:tc>
        <w:tc>
          <w:tcPr>
            <w:tcW w:w="790" w:type="dxa"/>
            <w:tcBorders>
              <w:top w:val="nil"/>
              <w:left w:val="nil"/>
              <w:bottom w:val="single" w:sz="12" w:space="0" w:color="auto"/>
              <w:right w:val="single" w:sz="12" w:space="0" w:color="auto"/>
            </w:tcBorders>
            <w:shd w:val="clear" w:color="auto" w:fill="auto"/>
            <w:noWrap/>
            <w:vAlign w:val="center"/>
            <w:hideMark/>
          </w:tcPr>
          <w:p w:rsidR="0056304B" w:rsidRPr="0056304B" w:rsidRDefault="0056304B" w:rsidP="0056304B">
            <w:pPr>
              <w:spacing w:after="0" w:line="240" w:lineRule="auto"/>
              <w:jc w:val="center"/>
              <w:rPr>
                <w:rFonts w:eastAsia="Times New Roman"/>
                <w:bCs/>
                <w:lang w:eastAsia="en-GB"/>
              </w:rPr>
            </w:pPr>
            <w:r w:rsidRPr="0056304B">
              <w:rPr>
                <w:rFonts w:eastAsia="Times New Roman"/>
                <w:bCs/>
                <w:lang w:eastAsia="en-GB"/>
              </w:rPr>
              <w:t>5547</w:t>
            </w:r>
          </w:p>
        </w:tc>
        <w:tc>
          <w:tcPr>
            <w:tcW w:w="1217" w:type="dxa"/>
            <w:tcBorders>
              <w:top w:val="nil"/>
              <w:left w:val="nil"/>
              <w:bottom w:val="single" w:sz="12" w:space="0" w:color="auto"/>
              <w:right w:val="single" w:sz="12" w:space="0" w:color="auto"/>
            </w:tcBorders>
            <w:shd w:val="clear" w:color="auto" w:fill="auto"/>
            <w:noWrap/>
            <w:vAlign w:val="center"/>
            <w:hideMark/>
          </w:tcPr>
          <w:p w:rsidR="0056304B" w:rsidRPr="0056304B" w:rsidRDefault="0056304B" w:rsidP="0056304B">
            <w:pPr>
              <w:spacing w:after="0" w:line="240" w:lineRule="auto"/>
              <w:jc w:val="center"/>
              <w:rPr>
                <w:rFonts w:eastAsia="Times New Roman"/>
                <w:bCs/>
                <w:lang w:eastAsia="en-GB"/>
              </w:rPr>
            </w:pPr>
            <w:r w:rsidRPr="0056304B">
              <w:rPr>
                <w:rFonts w:eastAsia="Times New Roman"/>
                <w:bCs/>
                <w:lang w:eastAsia="en-GB"/>
              </w:rPr>
              <w:t>71.9%</w:t>
            </w:r>
          </w:p>
        </w:tc>
        <w:tc>
          <w:tcPr>
            <w:tcW w:w="1134" w:type="dxa"/>
            <w:tcBorders>
              <w:top w:val="nil"/>
              <w:left w:val="nil"/>
              <w:bottom w:val="single" w:sz="12" w:space="0" w:color="auto"/>
              <w:right w:val="single" w:sz="12" w:space="0" w:color="auto"/>
            </w:tcBorders>
            <w:shd w:val="clear" w:color="auto" w:fill="auto"/>
            <w:noWrap/>
            <w:vAlign w:val="center"/>
            <w:hideMark/>
          </w:tcPr>
          <w:p w:rsidR="0056304B" w:rsidRPr="0056304B" w:rsidRDefault="0056304B" w:rsidP="0056304B">
            <w:pPr>
              <w:spacing w:after="0" w:line="240" w:lineRule="auto"/>
              <w:jc w:val="center"/>
              <w:rPr>
                <w:rFonts w:eastAsia="Times New Roman"/>
                <w:b/>
                <w:bCs/>
                <w:lang w:eastAsia="en-GB"/>
              </w:rPr>
            </w:pPr>
            <w:r w:rsidRPr="0056304B">
              <w:rPr>
                <w:rFonts w:eastAsia="Times New Roman"/>
                <w:b/>
                <w:bCs/>
                <w:lang w:eastAsia="en-GB"/>
              </w:rPr>
              <w:t>21.8%</w:t>
            </w:r>
          </w:p>
        </w:tc>
      </w:tr>
    </w:tbl>
    <w:p w:rsidR="009C4B8C" w:rsidRPr="001A6809" w:rsidRDefault="009C4B8C" w:rsidP="009C4B8C">
      <w:pPr>
        <w:rPr>
          <w:b/>
          <w:color w:val="009E49"/>
          <w:szCs w:val="24"/>
        </w:rPr>
      </w:pPr>
      <w:r>
        <w:lastRenderedPageBreak/>
        <w:br/>
      </w:r>
      <w:r w:rsidRPr="00994AC2">
        <w:rPr>
          <w:b/>
          <w:szCs w:val="24"/>
        </w:rPr>
        <w:t xml:space="preserve">Historical </w:t>
      </w:r>
      <w:r>
        <w:rPr>
          <w:b/>
          <w:szCs w:val="24"/>
        </w:rPr>
        <w:t>c</w:t>
      </w:r>
      <w:r w:rsidRPr="00994AC2">
        <w:rPr>
          <w:b/>
          <w:szCs w:val="24"/>
        </w:rPr>
        <w:t>omparison</w:t>
      </w:r>
      <w:r>
        <w:rPr>
          <w:b/>
          <w:szCs w:val="24"/>
        </w:rPr>
        <w:t xml:space="preserve"> from previous WRES reports</w:t>
      </w:r>
      <w:r>
        <w:rPr>
          <w:b/>
          <w:szCs w:val="24"/>
        </w:rPr>
        <w:br/>
      </w:r>
      <w:r w:rsidRPr="00994AC2">
        <w:rPr>
          <w:b/>
          <w:szCs w:val="24"/>
        </w:rPr>
        <w:br/>
      </w:r>
      <w:r>
        <w:rPr>
          <w:noProof/>
          <w:lang w:eastAsia="en-GB"/>
        </w:rPr>
        <w:drawing>
          <wp:inline distT="0" distB="0" distL="0" distR="0" wp14:anchorId="7FD3A981" wp14:editId="761AB052">
            <wp:extent cx="5818909" cy="2545773"/>
            <wp:effectExtent l="0" t="0" r="0" b="6985"/>
            <wp:docPr id="34" name="Chart 34" title="Chart showing the historical comparison from previous WRES reports for WSH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C4B8C" w:rsidRPr="00C00D3D" w:rsidRDefault="009C4B8C" w:rsidP="009C4B8C">
      <w:pPr>
        <w:rPr>
          <w:szCs w:val="24"/>
        </w:rPr>
      </w:pPr>
      <w:r>
        <w:rPr>
          <w:szCs w:val="24"/>
        </w:rPr>
        <w:t>The data highlights</w:t>
      </w:r>
      <w:r w:rsidRPr="00C00D3D">
        <w:rPr>
          <w:szCs w:val="24"/>
        </w:rPr>
        <w:t xml:space="preserve"> </w:t>
      </w:r>
      <w:r>
        <w:rPr>
          <w:szCs w:val="24"/>
        </w:rPr>
        <w:t>a lower than expected representation of BME staff in the majority of clinical roles</w:t>
      </w:r>
      <w:r w:rsidRPr="00C00D3D">
        <w:rPr>
          <w:szCs w:val="24"/>
        </w:rPr>
        <w:t xml:space="preserve">. </w:t>
      </w:r>
      <w:r>
        <w:rPr>
          <w:szCs w:val="24"/>
        </w:rPr>
        <w:t>However, t</w:t>
      </w:r>
      <w:r w:rsidRPr="00C00D3D">
        <w:rPr>
          <w:szCs w:val="24"/>
        </w:rPr>
        <w:t xml:space="preserve">his excludes bands 3 and 5 and medical roles </w:t>
      </w:r>
      <w:r>
        <w:rPr>
          <w:szCs w:val="24"/>
        </w:rPr>
        <w:t>with a higher than expected representation than</w:t>
      </w:r>
      <w:r w:rsidRPr="00C00D3D">
        <w:rPr>
          <w:szCs w:val="24"/>
        </w:rPr>
        <w:t xml:space="preserve"> the overall </w:t>
      </w:r>
      <w:r w:rsidR="00F73272">
        <w:rPr>
          <w:szCs w:val="24"/>
        </w:rPr>
        <w:t>(</w:t>
      </w:r>
      <w:r w:rsidRPr="00C00D3D">
        <w:rPr>
          <w:szCs w:val="24"/>
        </w:rPr>
        <w:t>workforce</w:t>
      </w:r>
      <w:r w:rsidR="00F73272">
        <w:rPr>
          <w:szCs w:val="24"/>
        </w:rPr>
        <w:t>)</w:t>
      </w:r>
      <w:r w:rsidRPr="00C00D3D">
        <w:rPr>
          <w:szCs w:val="24"/>
        </w:rPr>
        <w:t xml:space="preserve"> BME representation</w:t>
      </w:r>
      <w:r>
        <w:rPr>
          <w:szCs w:val="24"/>
        </w:rPr>
        <w:t>;</w:t>
      </w:r>
      <w:r w:rsidRPr="00C00D3D">
        <w:rPr>
          <w:szCs w:val="24"/>
        </w:rPr>
        <w:t xml:space="preserve"> band 2 is slightly under. From the previous year</w:t>
      </w:r>
      <w:r>
        <w:rPr>
          <w:szCs w:val="24"/>
        </w:rPr>
        <w:t>,</w:t>
      </w:r>
      <w:r w:rsidRPr="00C00D3D">
        <w:rPr>
          <w:szCs w:val="24"/>
        </w:rPr>
        <w:t xml:space="preserve"> there has been an increase of BME staff in bands 6 and 7.</w:t>
      </w:r>
    </w:p>
    <w:p w:rsidR="001B16CA" w:rsidRDefault="001B16CA" w:rsidP="001B16CA">
      <w:pPr>
        <w:pStyle w:val="Heading2"/>
      </w:pPr>
      <w:bookmarkStart w:id="19" w:name="_Toc79152356"/>
      <w:r w:rsidRPr="00317A5A">
        <w:t xml:space="preserve">Indicator 2 - Relative likelihood of </w:t>
      </w:r>
      <w:r>
        <w:t>applicants</w:t>
      </w:r>
      <w:r w:rsidRPr="00317A5A">
        <w:t xml:space="preserve"> being appointed from shortlisting across all posts</w:t>
      </w:r>
      <w:bookmarkEnd w:id="19"/>
      <w:r w:rsidRPr="00FA10E4">
        <w:t xml:space="preserve"> </w:t>
      </w:r>
    </w:p>
    <w:p w:rsidR="001B16CA" w:rsidRPr="004C04C6" w:rsidRDefault="001B16CA" w:rsidP="001B16CA">
      <w:pPr>
        <w:pStyle w:val="Heading3"/>
      </w:pPr>
      <w:r>
        <w:br/>
      </w:r>
      <w:bookmarkStart w:id="20" w:name="_Toc79152357"/>
      <w:r w:rsidRPr="004C04C6">
        <w:t>Brighton and Sussex University Hospitals NHS Trust:</w:t>
      </w:r>
      <w:bookmarkEnd w:id="20"/>
      <w:r>
        <w:br/>
      </w:r>
    </w:p>
    <w:tbl>
      <w:tblPr>
        <w:tblW w:w="8098" w:type="dxa"/>
        <w:jc w:val="center"/>
        <w:tblLayout w:type="fixed"/>
        <w:tblLook w:val="04A0" w:firstRow="1" w:lastRow="0" w:firstColumn="1" w:lastColumn="0" w:noHBand="0" w:noVBand="1"/>
        <w:tblCaption w:val="Calculation of relative likelihood for recruitment"/>
      </w:tblPr>
      <w:tblGrid>
        <w:gridCol w:w="2327"/>
        <w:gridCol w:w="1017"/>
        <w:gridCol w:w="1193"/>
        <w:gridCol w:w="850"/>
        <w:gridCol w:w="1152"/>
        <w:gridCol w:w="1559"/>
      </w:tblGrid>
      <w:tr w:rsidR="001B16CA" w:rsidRPr="004F22DF" w:rsidTr="001B16CA">
        <w:trPr>
          <w:cantSplit/>
          <w:trHeight w:val="1916"/>
          <w:tblHeader/>
          <w:jc w:val="center"/>
        </w:trPr>
        <w:tc>
          <w:tcPr>
            <w:tcW w:w="23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6CA" w:rsidRPr="001B16CA" w:rsidRDefault="001B16CA" w:rsidP="00A702A0">
            <w:pPr>
              <w:spacing w:after="0" w:line="240" w:lineRule="auto"/>
              <w:rPr>
                <w:rFonts w:eastAsia="Times New Roman"/>
                <w:b/>
                <w:color w:val="000000"/>
                <w:szCs w:val="24"/>
                <w:lang w:eastAsia="en-GB"/>
              </w:rPr>
            </w:pPr>
            <w:r w:rsidRPr="001B16CA">
              <w:rPr>
                <w:rFonts w:eastAsia="Times New Roman"/>
                <w:b/>
                <w:color w:val="000000"/>
                <w:szCs w:val="24"/>
                <w:lang w:eastAsia="en-GB"/>
              </w:rPr>
              <w:t xml:space="preserve">Applicant </w:t>
            </w:r>
            <w:r w:rsidR="00A702A0">
              <w:rPr>
                <w:rFonts w:eastAsia="Times New Roman"/>
                <w:b/>
                <w:color w:val="000000"/>
                <w:szCs w:val="24"/>
                <w:lang w:eastAsia="en-GB"/>
              </w:rPr>
              <w:t>Ethnicity</w:t>
            </w:r>
          </w:p>
        </w:tc>
        <w:tc>
          <w:tcPr>
            <w:tcW w:w="101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1B16CA" w:rsidRPr="004F22DF" w:rsidRDefault="001B16CA" w:rsidP="00A702A0">
            <w:pPr>
              <w:spacing w:after="0" w:line="240" w:lineRule="auto"/>
              <w:rPr>
                <w:rFonts w:eastAsia="Times New Roman"/>
                <w:b/>
                <w:bCs/>
                <w:color w:val="000000"/>
                <w:szCs w:val="24"/>
                <w:lang w:eastAsia="en-GB"/>
              </w:rPr>
            </w:pPr>
            <w:r>
              <w:rPr>
                <w:rFonts w:eastAsia="Times New Roman"/>
                <w:b/>
                <w:bCs/>
                <w:color w:val="000000"/>
                <w:szCs w:val="24"/>
                <w:lang w:eastAsia="en-GB"/>
              </w:rPr>
              <w:t>Applicants Shortlisted</w:t>
            </w:r>
          </w:p>
        </w:tc>
        <w:tc>
          <w:tcPr>
            <w:tcW w:w="119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1B16CA" w:rsidRPr="004F22DF" w:rsidRDefault="001B16CA" w:rsidP="00A702A0">
            <w:pPr>
              <w:spacing w:after="0" w:line="240" w:lineRule="auto"/>
              <w:ind w:left="113" w:right="113"/>
              <w:rPr>
                <w:rFonts w:eastAsia="Times New Roman"/>
                <w:b/>
                <w:bCs/>
                <w:color w:val="000000"/>
                <w:szCs w:val="24"/>
                <w:lang w:eastAsia="en-GB"/>
              </w:rPr>
            </w:pPr>
            <w:r>
              <w:rPr>
                <w:rFonts w:eastAsia="Times New Roman"/>
                <w:b/>
                <w:bCs/>
                <w:color w:val="000000"/>
                <w:szCs w:val="24"/>
                <w:lang w:eastAsia="en-GB"/>
              </w:rPr>
              <w:t xml:space="preserve">Shortlisted </w:t>
            </w:r>
            <w:r w:rsidRPr="004F22DF">
              <w:rPr>
                <w:rFonts w:eastAsia="Times New Roman"/>
                <w:b/>
                <w:bCs/>
                <w:color w:val="000000"/>
                <w:szCs w:val="24"/>
                <w:lang w:eastAsia="en-GB"/>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1B16CA" w:rsidRPr="004F22DF" w:rsidRDefault="001B16CA" w:rsidP="00A702A0">
            <w:pPr>
              <w:spacing w:after="0" w:line="240" w:lineRule="auto"/>
              <w:rPr>
                <w:rFonts w:eastAsia="Times New Roman"/>
                <w:b/>
                <w:bCs/>
                <w:color w:val="000000"/>
                <w:szCs w:val="24"/>
                <w:lang w:eastAsia="en-GB"/>
              </w:rPr>
            </w:pPr>
            <w:r>
              <w:rPr>
                <w:rFonts w:eastAsia="Times New Roman"/>
                <w:b/>
                <w:bCs/>
                <w:color w:val="000000"/>
                <w:szCs w:val="24"/>
                <w:lang w:eastAsia="en-GB"/>
              </w:rPr>
              <w:t>Applicants Appointed</w:t>
            </w:r>
          </w:p>
        </w:tc>
        <w:tc>
          <w:tcPr>
            <w:tcW w:w="11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1B16CA" w:rsidRPr="004F22DF" w:rsidRDefault="001B16CA" w:rsidP="00A702A0">
            <w:pPr>
              <w:spacing w:after="0" w:line="240" w:lineRule="auto"/>
              <w:ind w:left="113" w:right="113"/>
              <w:rPr>
                <w:rFonts w:eastAsia="Times New Roman"/>
                <w:b/>
                <w:bCs/>
                <w:color w:val="000000"/>
                <w:szCs w:val="24"/>
                <w:lang w:eastAsia="en-GB"/>
              </w:rPr>
            </w:pPr>
            <w:r>
              <w:rPr>
                <w:rFonts w:eastAsia="Times New Roman"/>
                <w:b/>
                <w:bCs/>
                <w:color w:val="000000"/>
                <w:szCs w:val="24"/>
                <w:lang w:eastAsia="en-GB"/>
              </w:rPr>
              <w:t xml:space="preserve">Appointed </w:t>
            </w:r>
            <w:r w:rsidRPr="004F22DF">
              <w:rPr>
                <w:rFonts w:eastAsia="Times New Roman"/>
                <w:b/>
                <w:bCs/>
                <w:color w:val="000000"/>
                <w:szCs w:val="24"/>
                <w:lang w:eastAsia="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B16CA" w:rsidRPr="001B16CA" w:rsidRDefault="001B16CA" w:rsidP="00A702A0">
            <w:pPr>
              <w:spacing w:after="0" w:line="240" w:lineRule="auto"/>
              <w:rPr>
                <w:rFonts w:eastAsia="Times New Roman"/>
                <w:b/>
                <w:bCs/>
                <w:szCs w:val="24"/>
                <w:lang w:eastAsia="en-GB"/>
              </w:rPr>
            </w:pPr>
            <w:r w:rsidRPr="001B16CA">
              <w:rPr>
                <w:rFonts w:eastAsia="Times New Roman"/>
                <w:b/>
                <w:bCs/>
                <w:szCs w:val="24"/>
                <w:lang w:eastAsia="en-GB"/>
              </w:rPr>
              <w:t>Relative Likelihood of being Appointed</w:t>
            </w:r>
          </w:p>
        </w:tc>
      </w:tr>
      <w:tr w:rsidR="001B16CA" w:rsidRPr="004F22DF" w:rsidTr="001B16CA">
        <w:trPr>
          <w:trHeight w:val="288"/>
          <w:tblHeader/>
          <w:jc w:val="center"/>
        </w:trPr>
        <w:tc>
          <w:tcPr>
            <w:tcW w:w="2327" w:type="dxa"/>
            <w:tcBorders>
              <w:top w:val="single" w:sz="4" w:space="0" w:color="auto"/>
              <w:left w:val="single" w:sz="8" w:space="0" w:color="auto"/>
              <w:bottom w:val="single" w:sz="4" w:space="0" w:color="auto"/>
              <w:right w:val="single" w:sz="12" w:space="0" w:color="auto"/>
            </w:tcBorders>
            <w:shd w:val="clear" w:color="auto" w:fill="auto"/>
            <w:noWrap/>
            <w:vAlign w:val="center"/>
            <w:hideMark/>
          </w:tcPr>
          <w:p w:rsidR="001B16CA" w:rsidRPr="001B16CA" w:rsidRDefault="001B16CA" w:rsidP="001E0F80">
            <w:pPr>
              <w:spacing w:after="0" w:line="240" w:lineRule="auto"/>
              <w:rPr>
                <w:rFonts w:eastAsia="Times New Roman"/>
                <w:b/>
                <w:color w:val="000000"/>
                <w:szCs w:val="24"/>
                <w:lang w:eastAsia="en-GB"/>
              </w:rPr>
            </w:pPr>
            <w:r w:rsidRPr="001B16CA">
              <w:rPr>
                <w:rFonts w:eastAsia="Times New Roman"/>
                <w:b/>
                <w:color w:val="000000"/>
                <w:szCs w:val="24"/>
                <w:lang w:eastAsia="en-GB"/>
              </w:rPr>
              <w:t>BME applicants</w:t>
            </w:r>
          </w:p>
        </w:tc>
        <w:tc>
          <w:tcPr>
            <w:tcW w:w="101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1B16CA" w:rsidRDefault="001B16CA" w:rsidP="001E0F80">
            <w:pPr>
              <w:jc w:val="center"/>
              <w:rPr>
                <w:color w:val="000000"/>
                <w:szCs w:val="24"/>
              </w:rPr>
            </w:pPr>
            <w:r>
              <w:rPr>
                <w:color w:val="000000"/>
              </w:rPr>
              <w:t>2239</w:t>
            </w:r>
          </w:p>
        </w:tc>
        <w:tc>
          <w:tcPr>
            <w:tcW w:w="1193" w:type="dxa"/>
            <w:tcBorders>
              <w:top w:val="single" w:sz="4" w:space="0" w:color="auto"/>
              <w:left w:val="nil"/>
              <w:bottom w:val="single" w:sz="4" w:space="0" w:color="auto"/>
              <w:right w:val="single" w:sz="12" w:space="0" w:color="auto"/>
            </w:tcBorders>
            <w:shd w:val="clear" w:color="auto" w:fill="auto"/>
            <w:noWrap/>
            <w:vAlign w:val="center"/>
          </w:tcPr>
          <w:p w:rsidR="001B16CA" w:rsidRDefault="001B16CA" w:rsidP="001E0F80">
            <w:pPr>
              <w:jc w:val="center"/>
              <w:rPr>
                <w:color w:val="000000"/>
                <w:szCs w:val="24"/>
              </w:rPr>
            </w:pPr>
            <w:r>
              <w:rPr>
                <w:color w:val="000000"/>
              </w:rPr>
              <w:t>25.2%</w:t>
            </w:r>
          </w:p>
        </w:tc>
        <w:tc>
          <w:tcPr>
            <w:tcW w:w="850" w:type="dxa"/>
            <w:tcBorders>
              <w:top w:val="single" w:sz="4" w:space="0" w:color="auto"/>
              <w:left w:val="single" w:sz="12" w:space="0" w:color="auto"/>
              <w:bottom w:val="single" w:sz="4" w:space="0" w:color="auto"/>
              <w:right w:val="single" w:sz="4" w:space="0" w:color="auto"/>
            </w:tcBorders>
            <w:shd w:val="clear" w:color="auto" w:fill="auto"/>
            <w:noWrap/>
            <w:vAlign w:val="center"/>
          </w:tcPr>
          <w:p w:rsidR="001B16CA" w:rsidRDefault="001B16CA" w:rsidP="001E0F80">
            <w:pPr>
              <w:jc w:val="center"/>
              <w:rPr>
                <w:color w:val="000000"/>
                <w:szCs w:val="24"/>
              </w:rPr>
            </w:pPr>
            <w:r>
              <w:rPr>
                <w:color w:val="000000"/>
              </w:rPr>
              <w:t>232</w:t>
            </w:r>
          </w:p>
        </w:tc>
        <w:tc>
          <w:tcPr>
            <w:tcW w:w="1152" w:type="dxa"/>
            <w:tcBorders>
              <w:top w:val="single" w:sz="4" w:space="0" w:color="auto"/>
              <w:left w:val="nil"/>
              <w:bottom w:val="single" w:sz="4" w:space="0" w:color="auto"/>
              <w:right w:val="single" w:sz="12" w:space="0" w:color="auto"/>
            </w:tcBorders>
            <w:shd w:val="clear" w:color="auto" w:fill="auto"/>
            <w:noWrap/>
            <w:vAlign w:val="center"/>
          </w:tcPr>
          <w:p w:rsidR="001B16CA" w:rsidRDefault="001B16CA" w:rsidP="001E0F80">
            <w:pPr>
              <w:jc w:val="center"/>
              <w:rPr>
                <w:color w:val="000000"/>
                <w:szCs w:val="24"/>
              </w:rPr>
            </w:pPr>
            <w:r>
              <w:rPr>
                <w:color w:val="000000"/>
              </w:rPr>
              <w:t>14.6%</w:t>
            </w:r>
          </w:p>
        </w:tc>
        <w:tc>
          <w:tcPr>
            <w:tcW w:w="1559" w:type="dxa"/>
            <w:tcBorders>
              <w:top w:val="single" w:sz="4" w:space="0" w:color="auto"/>
              <w:left w:val="single" w:sz="12" w:space="0" w:color="auto"/>
              <w:bottom w:val="single" w:sz="12" w:space="0" w:color="auto"/>
              <w:right w:val="single" w:sz="12" w:space="0" w:color="auto"/>
            </w:tcBorders>
            <w:shd w:val="clear" w:color="auto" w:fill="auto"/>
            <w:vAlign w:val="center"/>
          </w:tcPr>
          <w:p w:rsidR="001B16CA" w:rsidRPr="001B16CA" w:rsidRDefault="001B16CA" w:rsidP="001E0F80">
            <w:pPr>
              <w:jc w:val="center"/>
              <w:rPr>
                <w:b/>
                <w:bCs/>
                <w:szCs w:val="24"/>
              </w:rPr>
            </w:pPr>
            <w:r w:rsidRPr="001B16CA">
              <w:rPr>
                <w:b/>
                <w:bCs/>
              </w:rPr>
              <w:t>0.1036</w:t>
            </w:r>
          </w:p>
        </w:tc>
      </w:tr>
      <w:tr w:rsidR="001B16CA" w:rsidRPr="004F22DF" w:rsidTr="001B16CA">
        <w:trPr>
          <w:trHeight w:val="295"/>
          <w:tblHeader/>
          <w:jc w:val="center"/>
        </w:trPr>
        <w:tc>
          <w:tcPr>
            <w:tcW w:w="2327" w:type="dxa"/>
            <w:tcBorders>
              <w:top w:val="nil"/>
              <w:left w:val="single" w:sz="8" w:space="0" w:color="auto"/>
              <w:bottom w:val="single" w:sz="4" w:space="0" w:color="auto"/>
              <w:right w:val="single" w:sz="12" w:space="0" w:color="auto"/>
            </w:tcBorders>
            <w:shd w:val="clear" w:color="auto" w:fill="auto"/>
            <w:noWrap/>
            <w:vAlign w:val="center"/>
            <w:hideMark/>
          </w:tcPr>
          <w:p w:rsidR="001B16CA" w:rsidRPr="001B16CA" w:rsidRDefault="001B16CA" w:rsidP="001E0F80">
            <w:pPr>
              <w:spacing w:after="0" w:line="240" w:lineRule="auto"/>
              <w:rPr>
                <w:rFonts w:eastAsia="Times New Roman"/>
                <w:b/>
                <w:color w:val="000000"/>
                <w:szCs w:val="24"/>
                <w:lang w:eastAsia="en-GB"/>
              </w:rPr>
            </w:pPr>
            <w:r w:rsidRPr="001B16CA">
              <w:rPr>
                <w:rFonts w:eastAsia="Times New Roman"/>
                <w:b/>
                <w:color w:val="000000"/>
                <w:szCs w:val="24"/>
                <w:lang w:eastAsia="en-GB"/>
              </w:rPr>
              <w:t>White applicants</w:t>
            </w:r>
          </w:p>
        </w:tc>
        <w:tc>
          <w:tcPr>
            <w:tcW w:w="1017" w:type="dxa"/>
            <w:tcBorders>
              <w:top w:val="nil"/>
              <w:left w:val="single" w:sz="12" w:space="0" w:color="auto"/>
              <w:bottom w:val="single" w:sz="4" w:space="0" w:color="auto"/>
              <w:right w:val="single" w:sz="4" w:space="0" w:color="auto"/>
            </w:tcBorders>
            <w:shd w:val="clear" w:color="auto" w:fill="auto"/>
            <w:noWrap/>
            <w:vAlign w:val="center"/>
          </w:tcPr>
          <w:p w:rsidR="001B16CA" w:rsidRDefault="001B16CA" w:rsidP="001E0F80">
            <w:pPr>
              <w:jc w:val="center"/>
              <w:rPr>
                <w:color w:val="000000"/>
                <w:szCs w:val="24"/>
              </w:rPr>
            </w:pPr>
            <w:r>
              <w:rPr>
                <w:color w:val="000000"/>
              </w:rPr>
              <w:t>5854</w:t>
            </w:r>
          </w:p>
        </w:tc>
        <w:tc>
          <w:tcPr>
            <w:tcW w:w="1193" w:type="dxa"/>
            <w:tcBorders>
              <w:top w:val="nil"/>
              <w:left w:val="nil"/>
              <w:bottom w:val="single" w:sz="4" w:space="0" w:color="auto"/>
              <w:right w:val="single" w:sz="12" w:space="0" w:color="auto"/>
            </w:tcBorders>
            <w:shd w:val="clear" w:color="auto" w:fill="auto"/>
            <w:noWrap/>
            <w:vAlign w:val="center"/>
          </w:tcPr>
          <w:p w:rsidR="001B16CA" w:rsidRDefault="001B16CA" w:rsidP="001E0F80">
            <w:pPr>
              <w:jc w:val="center"/>
              <w:rPr>
                <w:color w:val="000000"/>
                <w:szCs w:val="24"/>
              </w:rPr>
            </w:pPr>
            <w:r>
              <w:rPr>
                <w:color w:val="000000"/>
              </w:rPr>
              <w:t>66.0%</w:t>
            </w:r>
          </w:p>
        </w:tc>
        <w:tc>
          <w:tcPr>
            <w:tcW w:w="850" w:type="dxa"/>
            <w:tcBorders>
              <w:top w:val="nil"/>
              <w:left w:val="single" w:sz="12" w:space="0" w:color="auto"/>
              <w:bottom w:val="single" w:sz="4" w:space="0" w:color="auto"/>
              <w:right w:val="single" w:sz="4" w:space="0" w:color="auto"/>
            </w:tcBorders>
            <w:shd w:val="clear" w:color="auto" w:fill="auto"/>
            <w:noWrap/>
            <w:vAlign w:val="center"/>
          </w:tcPr>
          <w:p w:rsidR="001B16CA" w:rsidRDefault="001B16CA" w:rsidP="001E0F80">
            <w:pPr>
              <w:jc w:val="center"/>
              <w:rPr>
                <w:color w:val="000000"/>
                <w:szCs w:val="24"/>
              </w:rPr>
            </w:pPr>
            <w:r>
              <w:rPr>
                <w:color w:val="000000"/>
              </w:rPr>
              <w:t>981</w:t>
            </w:r>
          </w:p>
        </w:tc>
        <w:tc>
          <w:tcPr>
            <w:tcW w:w="1152" w:type="dxa"/>
            <w:tcBorders>
              <w:top w:val="nil"/>
              <w:left w:val="nil"/>
              <w:bottom w:val="single" w:sz="4" w:space="0" w:color="auto"/>
              <w:right w:val="single" w:sz="12" w:space="0" w:color="auto"/>
            </w:tcBorders>
            <w:shd w:val="clear" w:color="auto" w:fill="auto"/>
            <w:noWrap/>
            <w:vAlign w:val="center"/>
          </w:tcPr>
          <w:p w:rsidR="001B16CA" w:rsidRDefault="001B16CA" w:rsidP="001E0F80">
            <w:pPr>
              <w:jc w:val="center"/>
              <w:rPr>
                <w:color w:val="000000"/>
                <w:szCs w:val="24"/>
              </w:rPr>
            </w:pPr>
            <w:r>
              <w:rPr>
                <w:color w:val="000000"/>
              </w:rPr>
              <w:t>61.9%</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rsidR="001B16CA" w:rsidRPr="001B16CA" w:rsidRDefault="001B16CA" w:rsidP="001E0F80">
            <w:pPr>
              <w:jc w:val="center"/>
              <w:rPr>
                <w:b/>
                <w:bCs/>
                <w:szCs w:val="24"/>
              </w:rPr>
            </w:pPr>
            <w:r w:rsidRPr="001B16CA">
              <w:rPr>
                <w:b/>
                <w:bCs/>
              </w:rPr>
              <w:t>0.1676</w:t>
            </w:r>
          </w:p>
        </w:tc>
      </w:tr>
      <w:tr w:rsidR="001B16CA" w:rsidRPr="004F22DF" w:rsidTr="001B16CA">
        <w:trPr>
          <w:trHeight w:val="360"/>
          <w:tblHeader/>
          <w:jc w:val="center"/>
        </w:trPr>
        <w:tc>
          <w:tcPr>
            <w:tcW w:w="2327" w:type="dxa"/>
            <w:tcBorders>
              <w:top w:val="nil"/>
              <w:left w:val="single" w:sz="8" w:space="0" w:color="auto"/>
              <w:bottom w:val="single" w:sz="4" w:space="0" w:color="auto"/>
              <w:right w:val="single" w:sz="12" w:space="0" w:color="auto"/>
            </w:tcBorders>
            <w:shd w:val="clear" w:color="auto" w:fill="auto"/>
            <w:noWrap/>
            <w:vAlign w:val="center"/>
            <w:hideMark/>
          </w:tcPr>
          <w:p w:rsidR="001B16CA" w:rsidRPr="001B16CA" w:rsidRDefault="001B16CA" w:rsidP="001E0F80">
            <w:pPr>
              <w:spacing w:after="0" w:line="240" w:lineRule="auto"/>
              <w:rPr>
                <w:rFonts w:eastAsia="Times New Roman"/>
                <w:b/>
                <w:color w:val="000000"/>
                <w:szCs w:val="24"/>
                <w:lang w:eastAsia="en-GB"/>
              </w:rPr>
            </w:pPr>
            <w:r w:rsidRPr="001B16CA">
              <w:rPr>
                <w:rFonts w:eastAsia="Times New Roman"/>
                <w:b/>
                <w:color w:val="000000"/>
                <w:szCs w:val="24"/>
                <w:lang w:eastAsia="en-GB"/>
              </w:rPr>
              <w:t>Not Stated / Unknown</w:t>
            </w:r>
          </w:p>
        </w:tc>
        <w:tc>
          <w:tcPr>
            <w:tcW w:w="1017" w:type="dxa"/>
            <w:tcBorders>
              <w:top w:val="nil"/>
              <w:left w:val="single" w:sz="12" w:space="0" w:color="auto"/>
              <w:bottom w:val="single" w:sz="4" w:space="0" w:color="auto"/>
              <w:right w:val="single" w:sz="4" w:space="0" w:color="auto"/>
            </w:tcBorders>
            <w:shd w:val="clear" w:color="auto" w:fill="auto"/>
            <w:noWrap/>
            <w:vAlign w:val="center"/>
          </w:tcPr>
          <w:p w:rsidR="001B16CA" w:rsidRDefault="001B16CA" w:rsidP="001E0F80">
            <w:pPr>
              <w:jc w:val="center"/>
              <w:rPr>
                <w:color w:val="000000"/>
                <w:szCs w:val="24"/>
              </w:rPr>
            </w:pPr>
            <w:r>
              <w:rPr>
                <w:color w:val="000000"/>
              </w:rPr>
              <w:t>776</w:t>
            </w:r>
          </w:p>
        </w:tc>
        <w:tc>
          <w:tcPr>
            <w:tcW w:w="1193" w:type="dxa"/>
            <w:tcBorders>
              <w:top w:val="nil"/>
              <w:left w:val="nil"/>
              <w:bottom w:val="single" w:sz="4" w:space="0" w:color="auto"/>
              <w:right w:val="single" w:sz="12" w:space="0" w:color="auto"/>
            </w:tcBorders>
            <w:shd w:val="clear" w:color="auto" w:fill="auto"/>
            <w:noWrap/>
            <w:vAlign w:val="center"/>
          </w:tcPr>
          <w:p w:rsidR="001B16CA" w:rsidRDefault="001B16CA" w:rsidP="001E0F80">
            <w:pPr>
              <w:jc w:val="center"/>
              <w:rPr>
                <w:color w:val="000000"/>
                <w:szCs w:val="24"/>
              </w:rPr>
            </w:pPr>
            <w:r>
              <w:rPr>
                <w:color w:val="000000"/>
              </w:rPr>
              <w:t>8.7%</w:t>
            </w:r>
          </w:p>
        </w:tc>
        <w:tc>
          <w:tcPr>
            <w:tcW w:w="850" w:type="dxa"/>
            <w:tcBorders>
              <w:top w:val="nil"/>
              <w:left w:val="single" w:sz="12" w:space="0" w:color="auto"/>
              <w:bottom w:val="single" w:sz="4" w:space="0" w:color="auto"/>
              <w:right w:val="single" w:sz="4" w:space="0" w:color="auto"/>
            </w:tcBorders>
            <w:shd w:val="clear" w:color="auto" w:fill="auto"/>
            <w:noWrap/>
            <w:vAlign w:val="center"/>
          </w:tcPr>
          <w:p w:rsidR="001B16CA" w:rsidRDefault="001B16CA" w:rsidP="001E0F80">
            <w:pPr>
              <w:jc w:val="center"/>
              <w:rPr>
                <w:color w:val="000000"/>
                <w:szCs w:val="24"/>
              </w:rPr>
            </w:pPr>
            <w:r>
              <w:rPr>
                <w:color w:val="000000"/>
              </w:rPr>
              <w:t>371</w:t>
            </w:r>
          </w:p>
        </w:tc>
        <w:tc>
          <w:tcPr>
            <w:tcW w:w="1152" w:type="dxa"/>
            <w:tcBorders>
              <w:top w:val="nil"/>
              <w:left w:val="nil"/>
              <w:bottom w:val="single" w:sz="4" w:space="0" w:color="auto"/>
              <w:right w:val="single" w:sz="12" w:space="0" w:color="auto"/>
            </w:tcBorders>
            <w:shd w:val="clear" w:color="auto" w:fill="auto"/>
            <w:noWrap/>
            <w:vAlign w:val="center"/>
          </w:tcPr>
          <w:p w:rsidR="001B16CA" w:rsidRDefault="001B16CA" w:rsidP="001E0F80">
            <w:pPr>
              <w:jc w:val="center"/>
              <w:rPr>
                <w:color w:val="000000"/>
                <w:szCs w:val="24"/>
              </w:rPr>
            </w:pPr>
            <w:r>
              <w:rPr>
                <w:color w:val="000000"/>
              </w:rPr>
              <w:t>23.4%</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rsidR="001B16CA" w:rsidRPr="001B16CA" w:rsidRDefault="001B16CA" w:rsidP="001E0F80">
            <w:pPr>
              <w:jc w:val="center"/>
              <w:rPr>
                <w:b/>
                <w:bCs/>
                <w:szCs w:val="24"/>
              </w:rPr>
            </w:pPr>
            <w:r w:rsidRPr="001B16CA">
              <w:rPr>
                <w:b/>
                <w:bCs/>
              </w:rPr>
              <w:t>0.4781</w:t>
            </w:r>
          </w:p>
        </w:tc>
      </w:tr>
      <w:tr w:rsidR="001B16CA" w:rsidRPr="00A818B3" w:rsidTr="001E0F80">
        <w:trPr>
          <w:trHeight w:val="300"/>
          <w:tblHeader/>
          <w:jc w:val="center"/>
        </w:trPr>
        <w:tc>
          <w:tcPr>
            <w:tcW w:w="2327" w:type="dxa"/>
            <w:tcBorders>
              <w:top w:val="nil"/>
              <w:left w:val="single" w:sz="8" w:space="0" w:color="auto"/>
              <w:bottom w:val="single" w:sz="4" w:space="0" w:color="auto"/>
              <w:right w:val="single" w:sz="12" w:space="0" w:color="auto"/>
            </w:tcBorders>
            <w:shd w:val="clear" w:color="auto" w:fill="auto"/>
            <w:noWrap/>
            <w:vAlign w:val="center"/>
            <w:hideMark/>
          </w:tcPr>
          <w:p w:rsidR="001B16CA" w:rsidRPr="001B16CA" w:rsidRDefault="001B16CA" w:rsidP="001E0F80">
            <w:pPr>
              <w:spacing w:after="0" w:line="240" w:lineRule="auto"/>
              <w:rPr>
                <w:rFonts w:eastAsia="Times New Roman"/>
                <w:b/>
                <w:bCs/>
                <w:color w:val="000000"/>
                <w:szCs w:val="24"/>
                <w:lang w:eastAsia="en-GB"/>
              </w:rPr>
            </w:pPr>
            <w:r w:rsidRPr="001B16CA">
              <w:rPr>
                <w:rFonts w:eastAsia="Times New Roman"/>
                <w:b/>
                <w:bCs/>
                <w:color w:val="000000"/>
                <w:szCs w:val="24"/>
                <w:lang w:eastAsia="en-GB"/>
              </w:rPr>
              <w:t>Total</w:t>
            </w:r>
          </w:p>
        </w:tc>
        <w:tc>
          <w:tcPr>
            <w:tcW w:w="1017" w:type="dxa"/>
            <w:tcBorders>
              <w:top w:val="nil"/>
              <w:left w:val="single" w:sz="12" w:space="0" w:color="auto"/>
              <w:bottom w:val="single" w:sz="12" w:space="0" w:color="auto"/>
              <w:right w:val="single" w:sz="4" w:space="0" w:color="auto"/>
            </w:tcBorders>
            <w:shd w:val="clear" w:color="auto" w:fill="auto"/>
            <w:noWrap/>
            <w:vAlign w:val="center"/>
          </w:tcPr>
          <w:p w:rsidR="001B16CA" w:rsidRDefault="001B16CA" w:rsidP="001E0F80">
            <w:pPr>
              <w:jc w:val="center"/>
              <w:rPr>
                <w:color w:val="000000"/>
                <w:szCs w:val="24"/>
              </w:rPr>
            </w:pPr>
            <w:r>
              <w:rPr>
                <w:color w:val="000000"/>
              </w:rPr>
              <w:t>8869</w:t>
            </w:r>
          </w:p>
        </w:tc>
        <w:tc>
          <w:tcPr>
            <w:tcW w:w="1193" w:type="dxa"/>
            <w:tcBorders>
              <w:top w:val="nil"/>
              <w:left w:val="nil"/>
              <w:bottom w:val="single" w:sz="12" w:space="0" w:color="auto"/>
              <w:right w:val="single" w:sz="12" w:space="0" w:color="auto"/>
            </w:tcBorders>
            <w:shd w:val="clear" w:color="auto" w:fill="auto"/>
            <w:noWrap/>
            <w:vAlign w:val="center"/>
          </w:tcPr>
          <w:p w:rsidR="001B16CA" w:rsidRDefault="001B16CA" w:rsidP="001E0F80">
            <w:pPr>
              <w:jc w:val="center"/>
              <w:rPr>
                <w:color w:val="000000"/>
                <w:szCs w:val="24"/>
              </w:rPr>
            </w:pPr>
            <w:r>
              <w:rPr>
                <w:color w:val="000000"/>
              </w:rPr>
              <w:t>100.0%</w:t>
            </w:r>
          </w:p>
        </w:tc>
        <w:tc>
          <w:tcPr>
            <w:tcW w:w="850" w:type="dxa"/>
            <w:tcBorders>
              <w:top w:val="nil"/>
              <w:left w:val="single" w:sz="12" w:space="0" w:color="auto"/>
              <w:bottom w:val="single" w:sz="12" w:space="0" w:color="auto"/>
              <w:right w:val="single" w:sz="4" w:space="0" w:color="auto"/>
            </w:tcBorders>
            <w:shd w:val="clear" w:color="auto" w:fill="auto"/>
            <w:noWrap/>
            <w:vAlign w:val="center"/>
          </w:tcPr>
          <w:p w:rsidR="001B16CA" w:rsidRDefault="001B16CA" w:rsidP="001E0F80">
            <w:pPr>
              <w:jc w:val="center"/>
              <w:rPr>
                <w:color w:val="000000"/>
                <w:szCs w:val="24"/>
              </w:rPr>
            </w:pPr>
            <w:r>
              <w:rPr>
                <w:color w:val="000000"/>
              </w:rPr>
              <w:t>1584</w:t>
            </w:r>
          </w:p>
        </w:tc>
        <w:tc>
          <w:tcPr>
            <w:tcW w:w="1152" w:type="dxa"/>
            <w:tcBorders>
              <w:top w:val="nil"/>
              <w:left w:val="nil"/>
              <w:bottom w:val="single" w:sz="12" w:space="0" w:color="auto"/>
              <w:right w:val="single" w:sz="12" w:space="0" w:color="auto"/>
            </w:tcBorders>
            <w:shd w:val="clear" w:color="auto" w:fill="auto"/>
            <w:noWrap/>
            <w:vAlign w:val="center"/>
          </w:tcPr>
          <w:p w:rsidR="001B16CA" w:rsidRDefault="001B16CA" w:rsidP="001E0F80">
            <w:pPr>
              <w:jc w:val="center"/>
              <w:rPr>
                <w:color w:val="000000"/>
                <w:szCs w:val="24"/>
              </w:rPr>
            </w:pPr>
            <w:r>
              <w:rPr>
                <w:color w:val="000000"/>
              </w:rPr>
              <w:t>100.0%</w:t>
            </w:r>
          </w:p>
        </w:tc>
        <w:tc>
          <w:tcPr>
            <w:tcW w:w="1559" w:type="dxa"/>
            <w:tcBorders>
              <w:top w:val="single" w:sz="12" w:space="0" w:color="auto"/>
              <w:left w:val="single" w:sz="12" w:space="0" w:color="auto"/>
            </w:tcBorders>
            <w:vAlign w:val="center"/>
          </w:tcPr>
          <w:p w:rsidR="001B16CA" w:rsidRPr="008E5644" w:rsidRDefault="001B16CA" w:rsidP="001E0F80">
            <w:pPr>
              <w:jc w:val="center"/>
              <w:rPr>
                <w:b/>
                <w:bCs/>
                <w:color w:val="000000"/>
                <w:szCs w:val="24"/>
              </w:rPr>
            </w:pPr>
          </w:p>
        </w:tc>
      </w:tr>
    </w:tbl>
    <w:p w:rsidR="001B16CA" w:rsidRDefault="001B16CA" w:rsidP="001B16CA">
      <w:pPr>
        <w:rPr>
          <w:szCs w:val="24"/>
        </w:rPr>
      </w:pPr>
      <w:r>
        <w:rPr>
          <w:bCs/>
          <w:color w:val="0072C6"/>
        </w:rPr>
        <w:br/>
      </w:r>
      <w:r>
        <w:rPr>
          <w:szCs w:val="24"/>
        </w:rPr>
        <w:t>To calculate the</w:t>
      </w:r>
      <w:r w:rsidRPr="00032E7C">
        <w:rPr>
          <w:szCs w:val="24"/>
        </w:rPr>
        <w:t xml:space="preserve"> </w:t>
      </w:r>
      <w:r>
        <w:rPr>
          <w:szCs w:val="24"/>
        </w:rPr>
        <w:t xml:space="preserve">relative </w:t>
      </w:r>
      <w:r w:rsidRPr="00032E7C">
        <w:rPr>
          <w:szCs w:val="24"/>
        </w:rPr>
        <w:t xml:space="preserve">likelihood of white candidates being appointed from </w:t>
      </w:r>
      <w:r w:rsidRPr="00032E7C">
        <w:rPr>
          <w:szCs w:val="24"/>
        </w:rPr>
        <w:lastRenderedPageBreak/>
        <w:t xml:space="preserve">shortlisting: </w:t>
      </w:r>
      <w:r>
        <w:rPr>
          <w:szCs w:val="24"/>
        </w:rPr>
        <w:br/>
        <w:t>981 / 5854 = 0.1676</w:t>
      </w:r>
      <w:r>
        <w:rPr>
          <w:szCs w:val="24"/>
        </w:rPr>
        <w:br/>
      </w:r>
      <w:r w:rsidRPr="004F22DF">
        <w:rPr>
          <w:szCs w:val="24"/>
        </w:rPr>
        <w:br/>
      </w:r>
      <w:proofErr w:type="gramStart"/>
      <w:r>
        <w:rPr>
          <w:szCs w:val="24"/>
        </w:rPr>
        <w:t>To</w:t>
      </w:r>
      <w:proofErr w:type="gramEnd"/>
      <w:r>
        <w:rPr>
          <w:szCs w:val="24"/>
        </w:rPr>
        <w:t xml:space="preserve"> calculate the</w:t>
      </w:r>
      <w:r w:rsidRPr="00032E7C">
        <w:rPr>
          <w:szCs w:val="24"/>
        </w:rPr>
        <w:t xml:space="preserve"> </w:t>
      </w:r>
      <w:r>
        <w:rPr>
          <w:szCs w:val="24"/>
        </w:rPr>
        <w:t>relative</w:t>
      </w:r>
      <w:r w:rsidRPr="004F22DF">
        <w:rPr>
          <w:szCs w:val="24"/>
        </w:rPr>
        <w:t xml:space="preserve"> likelihood of BME candidates being appointed from shortlisting: </w:t>
      </w:r>
      <w:r w:rsidRPr="004F22DF">
        <w:rPr>
          <w:szCs w:val="24"/>
        </w:rPr>
        <w:br/>
      </w:r>
      <w:r>
        <w:rPr>
          <w:szCs w:val="24"/>
        </w:rPr>
        <w:t>232 / 2239 = 0.1036</w:t>
      </w:r>
    </w:p>
    <w:p w:rsidR="001B16CA" w:rsidRPr="00FA72EF" w:rsidRDefault="001B16CA" w:rsidP="001B16CA">
      <w:pPr>
        <w:rPr>
          <w:b/>
          <w:color w:val="FF0000"/>
          <w:szCs w:val="24"/>
        </w:rPr>
      </w:pPr>
      <w:r w:rsidRPr="00FA72EF">
        <w:rPr>
          <w:color w:val="FF0000"/>
          <w:szCs w:val="24"/>
        </w:rPr>
        <w:t>The relative likelihood of white candidates being appointed from shortlisting compared to BME staff is 0.1676 (white candidates) / 0.10</w:t>
      </w:r>
      <w:r>
        <w:rPr>
          <w:color w:val="FF0000"/>
          <w:szCs w:val="24"/>
        </w:rPr>
        <w:t>36</w:t>
      </w:r>
      <w:r w:rsidRPr="00FA72EF">
        <w:rPr>
          <w:color w:val="FF0000"/>
          <w:szCs w:val="24"/>
        </w:rPr>
        <w:t xml:space="preserve"> (BME candidates) = </w:t>
      </w:r>
      <w:r w:rsidRPr="00FA72EF">
        <w:rPr>
          <w:b/>
          <w:color w:val="FF0000"/>
          <w:szCs w:val="24"/>
        </w:rPr>
        <w:t>1.6</w:t>
      </w:r>
      <w:r>
        <w:rPr>
          <w:b/>
          <w:color w:val="FF0000"/>
          <w:szCs w:val="24"/>
        </w:rPr>
        <w:t>2</w:t>
      </w:r>
      <w:r w:rsidRPr="00FA72EF">
        <w:rPr>
          <w:b/>
          <w:color w:val="FF0000"/>
          <w:szCs w:val="24"/>
        </w:rPr>
        <w:t xml:space="preserve"> times greater.</w:t>
      </w:r>
    </w:p>
    <w:p w:rsidR="001B16CA" w:rsidRPr="001B16CA" w:rsidRDefault="001B16CA" w:rsidP="001B16CA">
      <w:pPr>
        <w:rPr>
          <w:color w:val="FF0000"/>
          <w:szCs w:val="24"/>
        </w:rPr>
      </w:pPr>
      <w:r w:rsidRPr="001B16CA">
        <w:rPr>
          <w:color w:val="FF0000"/>
          <w:szCs w:val="24"/>
        </w:rPr>
        <w:t>In this instance, the data suggests white candidates are more likely than BME candidates to be appointed from shortlisting.</w:t>
      </w:r>
    </w:p>
    <w:p w:rsidR="001B16CA" w:rsidRDefault="001B16CA" w:rsidP="001B16CA">
      <w:pPr>
        <w:rPr>
          <w:b/>
          <w:szCs w:val="24"/>
        </w:rPr>
      </w:pPr>
      <w:r w:rsidRPr="004F22DF">
        <w:rPr>
          <w:szCs w:val="24"/>
        </w:rPr>
        <w:br/>
      </w:r>
      <w:r w:rsidRPr="00317A5A">
        <w:rPr>
          <w:b/>
          <w:szCs w:val="24"/>
        </w:rPr>
        <w:t>Historical comparison with previous WRES reports</w:t>
      </w:r>
    </w:p>
    <w:p w:rsidR="001B16CA" w:rsidRDefault="001B16CA" w:rsidP="001B16CA">
      <w:pPr>
        <w:jc w:val="center"/>
        <w:rPr>
          <w:b/>
          <w:color w:val="0072C6"/>
          <w:szCs w:val="23"/>
        </w:rPr>
      </w:pPr>
      <w:r w:rsidRPr="00317A5A">
        <w:rPr>
          <w:noProof/>
          <w:shd w:val="clear" w:color="auto" w:fill="C0504D" w:themeFill="accent2"/>
          <w:lang w:eastAsia="en-GB"/>
        </w:rPr>
        <w:drawing>
          <wp:inline distT="0" distB="0" distL="0" distR="0" wp14:anchorId="24B92DEF" wp14:editId="6F23FC8B">
            <wp:extent cx="5743575" cy="2466975"/>
            <wp:effectExtent l="0" t="0" r="0" b="0"/>
            <wp:docPr id="22" name="Chart 22" title="Recruitment historical comparative data"/>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B16CA" w:rsidRDefault="001B16CA" w:rsidP="001B16CA">
      <w:pPr>
        <w:rPr>
          <w:szCs w:val="23"/>
        </w:rPr>
      </w:pPr>
      <w:r>
        <w:rPr>
          <w:szCs w:val="23"/>
        </w:rPr>
        <w:t>In the above chart, BME applicants have a constant measure of 1.0. So for white applicants, if their bar is below the BME line, it would suggest; that white applicants are less likely to be recruited from shortlisting than BME applicants. So naturally, if the white applicant bar is above, it indicates that they have a greater chance of being appointed.</w:t>
      </w:r>
    </w:p>
    <w:p w:rsidR="001B16CA" w:rsidRDefault="001B16CA" w:rsidP="001B16CA">
      <w:pPr>
        <w:rPr>
          <w:szCs w:val="23"/>
        </w:rPr>
      </w:pPr>
      <w:r>
        <w:rPr>
          <w:szCs w:val="23"/>
        </w:rPr>
        <w:t>The Trust does not share personal or equal opportunities data with managers at the shortlisting stage to help remove bias in the recruitment process.</w:t>
      </w:r>
    </w:p>
    <w:p w:rsidR="001B16CA" w:rsidRDefault="001B16CA" w:rsidP="001B16CA">
      <w:pPr>
        <w:rPr>
          <w:szCs w:val="23"/>
        </w:rPr>
      </w:pPr>
      <w:r>
        <w:rPr>
          <w:szCs w:val="23"/>
        </w:rPr>
        <w:t>Using the rule of four-fifths, if the likelihood of white applicants is below 0.8 or above 1.2, it would suggest there is an adverse statistical impact. The data shows that in 2019, 2020, and 2021 white applicants are more likely to be recruited than BME applicants.</w:t>
      </w:r>
    </w:p>
    <w:p w:rsidR="00D93EAB" w:rsidRPr="004C04C6" w:rsidRDefault="00D93EAB" w:rsidP="00D93EAB">
      <w:pPr>
        <w:pStyle w:val="Heading3"/>
      </w:pPr>
      <w:bookmarkStart w:id="21" w:name="_Toc79152358"/>
      <w:r>
        <w:t>Western Sussex Hospitals NHS Foundation Trust</w:t>
      </w:r>
      <w:r w:rsidRPr="004C04C6">
        <w:t>:</w:t>
      </w:r>
      <w:bookmarkEnd w:id="21"/>
    </w:p>
    <w:p w:rsidR="00D93EAB" w:rsidRPr="00E35717" w:rsidRDefault="00D93EAB" w:rsidP="001B16CA">
      <w:pPr>
        <w:rPr>
          <w:szCs w:val="23"/>
        </w:rPr>
      </w:pPr>
    </w:p>
    <w:tbl>
      <w:tblPr>
        <w:tblW w:w="7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reakdown of recruitment processes by ethnicity"/>
      </w:tblPr>
      <w:tblGrid>
        <w:gridCol w:w="2327"/>
        <w:gridCol w:w="1017"/>
        <w:gridCol w:w="1045"/>
        <w:gridCol w:w="850"/>
        <w:gridCol w:w="1152"/>
        <w:gridCol w:w="1559"/>
      </w:tblGrid>
      <w:tr w:rsidR="00D93EAB" w:rsidRPr="004F22DF" w:rsidTr="00D93EAB">
        <w:trPr>
          <w:trHeight w:val="1701"/>
          <w:tblHeader/>
          <w:jc w:val="center"/>
        </w:trPr>
        <w:tc>
          <w:tcPr>
            <w:tcW w:w="2327" w:type="dxa"/>
            <w:shd w:val="clear" w:color="auto" w:fill="auto"/>
            <w:noWrap/>
            <w:vAlign w:val="center"/>
            <w:hideMark/>
          </w:tcPr>
          <w:p w:rsidR="00D93EAB" w:rsidRPr="004F22DF" w:rsidRDefault="00D93EAB" w:rsidP="00A702A0">
            <w:pPr>
              <w:spacing w:after="0" w:line="240" w:lineRule="auto"/>
              <w:rPr>
                <w:rFonts w:eastAsia="Times New Roman"/>
                <w:color w:val="000000"/>
                <w:szCs w:val="24"/>
                <w:lang w:eastAsia="en-GB"/>
              </w:rPr>
            </w:pPr>
            <w:r w:rsidRPr="001B16CA">
              <w:rPr>
                <w:rFonts w:eastAsia="Times New Roman"/>
                <w:b/>
                <w:color w:val="000000"/>
                <w:szCs w:val="24"/>
                <w:lang w:eastAsia="en-GB"/>
              </w:rPr>
              <w:lastRenderedPageBreak/>
              <w:t xml:space="preserve">Applicant </w:t>
            </w:r>
            <w:r w:rsidR="00A702A0">
              <w:rPr>
                <w:rFonts w:eastAsia="Times New Roman"/>
                <w:b/>
                <w:color w:val="000000"/>
                <w:szCs w:val="24"/>
                <w:lang w:eastAsia="en-GB"/>
              </w:rPr>
              <w:t>Ethnicity</w:t>
            </w:r>
          </w:p>
        </w:tc>
        <w:tc>
          <w:tcPr>
            <w:tcW w:w="1017" w:type="dxa"/>
            <w:shd w:val="clear" w:color="auto" w:fill="auto"/>
            <w:noWrap/>
            <w:textDirection w:val="btLr"/>
            <w:vAlign w:val="center"/>
            <w:hideMark/>
          </w:tcPr>
          <w:p w:rsidR="00D93EAB" w:rsidRPr="004F22DF" w:rsidRDefault="00D93EAB" w:rsidP="00A702A0">
            <w:pPr>
              <w:spacing w:after="0" w:line="240" w:lineRule="auto"/>
              <w:rPr>
                <w:rFonts w:eastAsia="Times New Roman"/>
                <w:b/>
                <w:bCs/>
                <w:color w:val="000000"/>
                <w:szCs w:val="24"/>
                <w:lang w:eastAsia="en-GB"/>
              </w:rPr>
            </w:pPr>
            <w:r>
              <w:rPr>
                <w:rFonts w:eastAsia="Times New Roman"/>
                <w:b/>
                <w:bCs/>
                <w:color w:val="000000"/>
                <w:szCs w:val="24"/>
                <w:lang w:eastAsia="en-GB"/>
              </w:rPr>
              <w:t>Applicants Shortlisted</w:t>
            </w:r>
          </w:p>
        </w:tc>
        <w:tc>
          <w:tcPr>
            <w:tcW w:w="1045" w:type="dxa"/>
            <w:shd w:val="clear" w:color="auto" w:fill="auto"/>
            <w:noWrap/>
            <w:textDirection w:val="btLr"/>
            <w:vAlign w:val="center"/>
            <w:hideMark/>
          </w:tcPr>
          <w:p w:rsidR="00D93EAB" w:rsidRPr="004F22DF" w:rsidRDefault="00D93EAB" w:rsidP="00A702A0">
            <w:pPr>
              <w:spacing w:after="0" w:line="240" w:lineRule="auto"/>
              <w:rPr>
                <w:rFonts w:eastAsia="Times New Roman"/>
                <w:b/>
                <w:bCs/>
                <w:color w:val="000000"/>
                <w:szCs w:val="24"/>
                <w:lang w:eastAsia="en-GB"/>
              </w:rPr>
            </w:pPr>
            <w:r>
              <w:rPr>
                <w:rFonts w:eastAsia="Times New Roman"/>
                <w:b/>
                <w:bCs/>
                <w:color w:val="000000"/>
                <w:szCs w:val="24"/>
                <w:lang w:eastAsia="en-GB"/>
              </w:rPr>
              <w:t xml:space="preserve">Shortlisted </w:t>
            </w:r>
            <w:r w:rsidRPr="004F22DF">
              <w:rPr>
                <w:rFonts w:eastAsia="Times New Roman"/>
                <w:b/>
                <w:bCs/>
                <w:color w:val="000000"/>
                <w:szCs w:val="24"/>
                <w:lang w:eastAsia="en-GB"/>
              </w:rPr>
              <w:t>%</w:t>
            </w:r>
          </w:p>
        </w:tc>
        <w:tc>
          <w:tcPr>
            <w:tcW w:w="850" w:type="dxa"/>
            <w:shd w:val="clear" w:color="auto" w:fill="auto"/>
            <w:noWrap/>
            <w:textDirection w:val="btLr"/>
            <w:vAlign w:val="center"/>
            <w:hideMark/>
          </w:tcPr>
          <w:p w:rsidR="00D93EAB" w:rsidRPr="004F22DF" w:rsidRDefault="00D93EAB" w:rsidP="00A702A0">
            <w:pPr>
              <w:spacing w:after="0" w:line="240" w:lineRule="auto"/>
              <w:rPr>
                <w:rFonts w:eastAsia="Times New Roman"/>
                <w:b/>
                <w:bCs/>
                <w:color w:val="000000"/>
                <w:szCs w:val="24"/>
                <w:lang w:eastAsia="en-GB"/>
              </w:rPr>
            </w:pPr>
            <w:r>
              <w:rPr>
                <w:rFonts w:eastAsia="Times New Roman"/>
                <w:b/>
                <w:bCs/>
                <w:color w:val="000000"/>
                <w:szCs w:val="24"/>
                <w:lang w:eastAsia="en-GB"/>
              </w:rPr>
              <w:t>Applicants Appointed</w:t>
            </w:r>
          </w:p>
        </w:tc>
        <w:tc>
          <w:tcPr>
            <w:tcW w:w="1152" w:type="dxa"/>
            <w:shd w:val="clear" w:color="auto" w:fill="auto"/>
            <w:noWrap/>
            <w:textDirection w:val="btLr"/>
            <w:vAlign w:val="center"/>
            <w:hideMark/>
          </w:tcPr>
          <w:p w:rsidR="00D93EAB" w:rsidRPr="004F22DF" w:rsidRDefault="00D93EAB" w:rsidP="00A702A0">
            <w:pPr>
              <w:spacing w:after="0" w:line="240" w:lineRule="auto"/>
              <w:rPr>
                <w:rFonts w:eastAsia="Times New Roman"/>
                <w:b/>
                <w:bCs/>
                <w:color w:val="000000"/>
                <w:szCs w:val="24"/>
                <w:lang w:eastAsia="en-GB"/>
              </w:rPr>
            </w:pPr>
            <w:r>
              <w:rPr>
                <w:rFonts w:eastAsia="Times New Roman"/>
                <w:b/>
                <w:bCs/>
                <w:color w:val="000000"/>
                <w:szCs w:val="24"/>
                <w:lang w:eastAsia="en-GB"/>
              </w:rPr>
              <w:t xml:space="preserve">Appointed </w:t>
            </w:r>
            <w:r w:rsidRPr="004F22DF">
              <w:rPr>
                <w:rFonts w:eastAsia="Times New Roman"/>
                <w:b/>
                <w:bCs/>
                <w:color w:val="000000"/>
                <w:szCs w:val="24"/>
                <w:lang w:eastAsia="en-GB"/>
              </w:rPr>
              <w:t>%</w:t>
            </w:r>
          </w:p>
        </w:tc>
        <w:tc>
          <w:tcPr>
            <w:tcW w:w="1559" w:type="dxa"/>
            <w:shd w:val="clear" w:color="auto" w:fill="auto"/>
            <w:vAlign w:val="center"/>
          </w:tcPr>
          <w:p w:rsidR="00D93EAB" w:rsidRPr="00D93EAB" w:rsidRDefault="00D93EAB" w:rsidP="00A702A0">
            <w:pPr>
              <w:spacing w:after="0" w:line="240" w:lineRule="auto"/>
              <w:rPr>
                <w:rFonts w:eastAsia="Times New Roman"/>
                <w:b/>
                <w:bCs/>
                <w:szCs w:val="24"/>
                <w:lang w:eastAsia="en-GB"/>
              </w:rPr>
            </w:pPr>
            <w:r w:rsidRPr="00D93EAB">
              <w:rPr>
                <w:rFonts w:eastAsia="Times New Roman"/>
                <w:b/>
                <w:bCs/>
                <w:szCs w:val="24"/>
                <w:lang w:eastAsia="en-GB"/>
              </w:rPr>
              <w:t>Relative Likelihood of being Appointed</w:t>
            </w:r>
          </w:p>
        </w:tc>
      </w:tr>
      <w:tr w:rsidR="00D93EAB" w:rsidRPr="004F22DF" w:rsidTr="00D93EAB">
        <w:trPr>
          <w:trHeight w:val="288"/>
          <w:tblHeader/>
          <w:jc w:val="center"/>
        </w:trPr>
        <w:tc>
          <w:tcPr>
            <w:tcW w:w="2327" w:type="dxa"/>
            <w:shd w:val="clear" w:color="auto" w:fill="auto"/>
            <w:noWrap/>
            <w:vAlign w:val="center"/>
            <w:hideMark/>
          </w:tcPr>
          <w:p w:rsidR="00D93EAB" w:rsidRPr="004F22DF" w:rsidRDefault="00D93EAB" w:rsidP="001E0F80">
            <w:pPr>
              <w:spacing w:after="0" w:line="240" w:lineRule="auto"/>
              <w:rPr>
                <w:rFonts w:eastAsia="Times New Roman"/>
                <w:color w:val="000000"/>
                <w:szCs w:val="24"/>
                <w:lang w:eastAsia="en-GB"/>
              </w:rPr>
            </w:pPr>
            <w:r w:rsidRPr="004F22DF">
              <w:rPr>
                <w:rFonts w:eastAsia="Times New Roman"/>
                <w:color w:val="000000"/>
                <w:szCs w:val="24"/>
                <w:lang w:eastAsia="en-GB"/>
              </w:rPr>
              <w:t>BME applicants</w:t>
            </w:r>
          </w:p>
        </w:tc>
        <w:tc>
          <w:tcPr>
            <w:tcW w:w="1017" w:type="dxa"/>
            <w:shd w:val="clear" w:color="auto" w:fill="auto"/>
            <w:noWrap/>
            <w:vAlign w:val="center"/>
          </w:tcPr>
          <w:p w:rsidR="00D93EAB" w:rsidRDefault="00D93EAB" w:rsidP="001E0F80">
            <w:pPr>
              <w:jc w:val="center"/>
              <w:rPr>
                <w:color w:val="000000"/>
              </w:rPr>
            </w:pPr>
            <w:r>
              <w:rPr>
                <w:color w:val="000000"/>
              </w:rPr>
              <w:t>1132</w:t>
            </w:r>
          </w:p>
        </w:tc>
        <w:tc>
          <w:tcPr>
            <w:tcW w:w="1045" w:type="dxa"/>
            <w:shd w:val="clear" w:color="auto" w:fill="auto"/>
            <w:noWrap/>
            <w:vAlign w:val="center"/>
          </w:tcPr>
          <w:p w:rsidR="00D93EAB" w:rsidRDefault="00D93EAB" w:rsidP="001E0F80">
            <w:pPr>
              <w:jc w:val="center"/>
              <w:rPr>
                <w:color w:val="000000"/>
              </w:rPr>
            </w:pPr>
            <w:r>
              <w:rPr>
                <w:color w:val="000000"/>
              </w:rPr>
              <w:t>20.0%</w:t>
            </w:r>
          </w:p>
        </w:tc>
        <w:tc>
          <w:tcPr>
            <w:tcW w:w="850" w:type="dxa"/>
            <w:shd w:val="clear" w:color="auto" w:fill="auto"/>
            <w:noWrap/>
            <w:vAlign w:val="center"/>
          </w:tcPr>
          <w:p w:rsidR="00D93EAB" w:rsidRDefault="00D93EAB" w:rsidP="001E0F80">
            <w:pPr>
              <w:jc w:val="center"/>
              <w:rPr>
                <w:color w:val="000000"/>
                <w:szCs w:val="24"/>
              </w:rPr>
            </w:pPr>
            <w:r>
              <w:rPr>
                <w:color w:val="000000"/>
              </w:rPr>
              <w:t>76</w:t>
            </w:r>
          </w:p>
        </w:tc>
        <w:tc>
          <w:tcPr>
            <w:tcW w:w="1152" w:type="dxa"/>
            <w:shd w:val="clear" w:color="auto" w:fill="auto"/>
            <w:noWrap/>
            <w:vAlign w:val="center"/>
          </w:tcPr>
          <w:p w:rsidR="00D93EAB" w:rsidRDefault="00D93EAB" w:rsidP="001E0F80">
            <w:pPr>
              <w:jc w:val="center"/>
              <w:rPr>
                <w:color w:val="000000"/>
                <w:szCs w:val="24"/>
              </w:rPr>
            </w:pPr>
            <w:r>
              <w:rPr>
                <w:color w:val="000000"/>
              </w:rPr>
              <w:t>13.6%</w:t>
            </w:r>
          </w:p>
        </w:tc>
        <w:tc>
          <w:tcPr>
            <w:tcW w:w="1559" w:type="dxa"/>
            <w:shd w:val="clear" w:color="auto" w:fill="auto"/>
            <w:vAlign w:val="center"/>
          </w:tcPr>
          <w:p w:rsidR="00D93EAB" w:rsidRPr="00D93EAB" w:rsidRDefault="00D93EAB" w:rsidP="001E0F80">
            <w:pPr>
              <w:jc w:val="center"/>
              <w:rPr>
                <w:b/>
                <w:bCs/>
                <w:szCs w:val="24"/>
              </w:rPr>
            </w:pPr>
            <w:r w:rsidRPr="00D93EAB">
              <w:rPr>
                <w:b/>
                <w:bCs/>
              </w:rPr>
              <w:t>0.0671</w:t>
            </w:r>
          </w:p>
        </w:tc>
      </w:tr>
      <w:tr w:rsidR="00D93EAB" w:rsidRPr="004F22DF" w:rsidTr="00D93EAB">
        <w:trPr>
          <w:trHeight w:val="295"/>
          <w:tblHeader/>
          <w:jc w:val="center"/>
        </w:trPr>
        <w:tc>
          <w:tcPr>
            <w:tcW w:w="2327" w:type="dxa"/>
            <w:shd w:val="clear" w:color="auto" w:fill="auto"/>
            <w:noWrap/>
            <w:vAlign w:val="center"/>
            <w:hideMark/>
          </w:tcPr>
          <w:p w:rsidR="00D93EAB" w:rsidRPr="004F22DF" w:rsidRDefault="00D93EAB" w:rsidP="001E0F80">
            <w:pPr>
              <w:spacing w:after="0" w:line="240" w:lineRule="auto"/>
              <w:rPr>
                <w:rFonts w:eastAsia="Times New Roman"/>
                <w:color w:val="000000"/>
                <w:szCs w:val="24"/>
                <w:lang w:eastAsia="en-GB"/>
              </w:rPr>
            </w:pPr>
            <w:r w:rsidRPr="004F22DF">
              <w:rPr>
                <w:rFonts w:eastAsia="Times New Roman"/>
                <w:color w:val="000000"/>
                <w:szCs w:val="24"/>
                <w:lang w:eastAsia="en-GB"/>
              </w:rPr>
              <w:t>White applicants</w:t>
            </w:r>
          </w:p>
        </w:tc>
        <w:tc>
          <w:tcPr>
            <w:tcW w:w="1017" w:type="dxa"/>
            <w:shd w:val="clear" w:color="auto" w:fill="auto"/>
            <w:noWrap/>
            <w:vAlign w:val="center"/>
          </w:tcPr>
          <w:p w:rsidR="00D93EAB" w:rsidRDefault="00D93EAB" w:rsidP="001E0F80">
            <w:pPr>
              <w:jc w:val="center"/>
              <w:rPr>
                <w:color w:val="000000"/>
                <w:szCs w:val="24"/>
              </w:rPr>
            </w:pPr>
            <w:r>
              <w:rPr>
                <w:color w:val="000000"/>
              </w:rPr>
              <w:t>4372</w:t>
            </w:r>
          </w:p>
        </w:tc>
        <w:tc>
          <w:tcPr>
            <w:tcW w:w="1045" w:type="dxa"/>
            <w:shd w:val="clear" w:color="auto" w:fill="auto"/>
            <w:noWrap/>
            <w:vAlign w:val="center"/>
          </w:tcPr>
          <w:p w:rsidR="00D93EAB" w:rsidRDefault="00D93EAB" w:rsidP="001E0F80">
            <w:pPr>
              <w:jc w:val="center"/>
              <w:rPr>
                <w:color w:val="000000"/>
              </w:rPr>
            </w:pPr>
            <w:r>
              <w:rPr>
                <w:color w:val="000000"/>
              </w:rPr>
              <w:t>77.2%</w:t>
            </w:r>
          </w:p>
        </w:tc>
        <w:tc>
          <w:tcPr>
            <w:tcW w:w="850" w:type="dxa"/>
            <w:shd w:val="clear" w:color="auto" w:fill="auto"/>
            <w:noWrap/>
            <w:vAlign w:val="center"/>
          </w:tcPr>
          <w:p w:rsidR="00D93EAB" w:rsidRDefault="00D93EAB" w:rsidP="001E0F80">
            <w:pPr>
              <w:jc w:val="center"/>
              <w:rPr>
                <w:color w:val="000000"/>
                <w:szCs w:val="24"/>
              </w:rPr>
            </w:pPr>
            <w:r>
              <w:rPr>
                <w:color w:val="000000"/>
              </w:rPr>
              <w:t>456</w:t>
            </w:r>
          </w:p>
        </w:tc>
        <w:tc>
          <w:tcPr>
            <w:tcW w:w="1152" w:type="dxa"/>
            <w:shd w:val="clear" w:color="auto" w:fill="auto"/>
            <w:noWrap/>
            <w:vAlign w:val="center"/>
          </w:tcPr>
          <w:p w:rsidR="00D93EAB" w:rsidRDefault="00D93EAB" w:rsidP="001E0F80">
            <w:pPr>
              <w:jc w:val="center"/>
              <w:rPr>
                <w:color w:val="000000"/>
                <w:szCs w:val="24"/>
              </w:rPr>
            </w:pPr>
            <w:r>
              <w:rPr>
                <w:color w:val="000000"/>
              </w:rPr>
              <w:t>81.6%</w:t>
            </w:r>
          </w:p>
        </w:tc>
        <w:tc>
          <w:tcPr>
            <w:tcW w:w="1559" w:type="dxa"/>
            <w:shd w:val="clear" w:color="auto" w:fill="auto"/>
            <w:vAlign w:val="center"/>
          </w:tcPr>
          <w:p w:rsidR="00D93EAB" w:rsidRPr="00D93EAB" w:rsidRDefault="00D93EAB" w:rsidP="001E0F80">
            <w:pPr>
              <w:jc w:val="center"/>
              <w:rPr>
                <w:b/>
                <w:bCs/>
                <w:szCs w:val="24"/>
              </w:rPr>
            </w:pPr>
            <w:r w:rsidRPr="00D93EAB">
              <w:rPr>
                <w:b/>
                <w:bCs/>
              </w:rPr>
              <w:t>0.1043</w:t>
            </w:r>
          </w:p>
        </w:tc>
      </w:tr>
      <w:tr w:rsidR="00D93EAB" w:rsidRPr="004F22DF" w:rsidTr="00D93EAB">
        <w:trPr>
          <w:trHeight w:val="360"/>
          <w:tblHeader/>
          <w:jc w:val="center"/>
        </w:trPr>
        <w:tc>
          <w:tcPr>
            <w:tcW w:w="2327" w:type="dxa"/>
            <w:shd w:val="clear" w:color="auto" w:fill="auto"/>
            <w:noWrap/>
            <w:vAlign w:val="center"/>
            <w:hideMark/>
          </w:tcPr>
          <w:p w:rsidR="00D93EAB" w:rsidRPr="004F22DF" w:rsidRDefault="00D93EAB" w:rsidP="001E0F80">
            <w:pPr>
              <w:spacing w:after="0" w:line="240" w:lineRule="auto"/>
              <w:rPr>
                <w:rFonts w:eastAsia="Times New Roman"/>
                <w:color w:val="000000"/>
                <w:szCs w:val="24"/>
                <w:lang w:eastAsia="en-GB"/>
              </w:rPr>
            </w:pPr>
            <w:r w:rsidRPr="004F22DF">
              <w:rPr>
                <w:rFonts w:eastAsia="Times New Roman"/>
                <w:color w:val="000000"/>
                <w:szCs w:val="24"/>
                <w:lang w:eastAsia="en-GB"/>
              </w:rPr>
              <w:t>Not Stated / Unknown</w:t>
            </w:r>
          </w:p>
        </w:tc>
        <w:tc>
          <w:tcPr>
            <w:tcW w:w="1017" w:type="dxa"/>
            <w:shd w:val="clear" w:color="auto" w:fill="auto"/>
            <w:noWrap/>
            <w:vAlign w:val="center"/>
          </w:tcPr>
          <w:p w:rsidR="00D93EAB" w:rsidRDefault="00D93EAB" w:rsidP="001E0F80">
            <w:pPr>
              <w:jc w:val="center"/>
              <w:rPr>
                <w:color w:val="000000"/>
                <w:szCs w:val="24"/>
              </w:rPr>
            </w:pPr>
            <w:r>
              <w:rPr>
                <w:color w:val="000000"/>
              </w:rPr>
              <w:t>161</w:t>
            </w:r>
          </w:p>
        </w:tc>
        <w:tc>
          <w:tcPr>
            <w:tcW w:w="1045" w:type="dxa"/>
            <w:shd w:val="clear" w:color="auto" w:fill="auto"/>
            <w:noWrap/>
            <w:vAlign w:val="center"/>
          </w:tcPr>
          <w:p w:rsidR="00D93EAB" w:rsidRDefault="00D93EAB" w:rsidP="001E0F80">
            <w:pPr>
              <w:jc w:val="center"/>
              <w:rPr>
                <w:color w:val="000000"/>
              </w:rPr>
            </w:pPr>
            <w:r>
              <w:rPr>
                <w:color w:val="000000"/>
              </w:rPr>
              <w:t>2.8%</w:t>
            </w:r>
          </w:p>
        </w:tc>
        <w:tc>
          <w:tcPr>
            <w:tcW w:w="850" w:type="dxa"/>
            <w:shd w:val="clear" w:color="auto" w:fill="auto"/>
            <w:noWrap/>
            <w:vAlign w:val="center"/>
          </w:tcPr>
          <w:p w:rsidR="00D93EAB" w:rsidRDefault="00D93EAB" w:rsidP="001E0F80">
            <w:pPr>
              <w:jc w:val="center"/>
              <w:rPr>
                <w:color w:val="000000"/>
                <w:szCs w:val="24"/>
              </w:rPr>
            </w:pPr>
            <w:r>
              <w:rPr>
                <w:color w:val="000000"/>
              </w:rPr>
              <w:t>27</w:t>
            </w:r>
          </w:p>
        </w:tc>
        <w:tc>
          <w:tcPr>
            <w:tcW w:w="1152" w:type="dxa"/>
            <w:shd w:val="clear" w:color="auto" w:fill="auto"/>
            <w:noWrap/>
            <w:vAlign w:val="center"/>
          </w:tcPr>
          <w:p w:rsidR="00D93EAB" w:rsidRDefault="00D93EAB" w:rsidP="001E0F80">
            <w:pPr>
              <w:jc w:val="center"/>
              <w:rPr>
                <w:color w:val="000000"/>
                <w:szCs w:val="24"/>
              </w:rPr>
            </w:pPr>
            <w:r>
              <w:rPr>
                <w:color w:val="000000"/>
              </w:rPr>
              <w:t>4.8%</w:t>
            </w:r>
          </w:p>
        </w:tc>
        <w:tc>
          <w:tcPr>
            <w:tcW w:w="1559" w:type="dxa"/>
            <w:tcBorders>
              <w:bottom w:val="single" w:sz="4" w:space="0" w:color="auto"/>
            </w:tcBorders>
            <w:shd w:val="clear" w:color="auto" w:fill="auto"/>
            <w:vAlign w:val="center"/>
          </w:tcPr>
          <w:p w:rsidR="00D93EAB" w:rsidRPr="00D93EAB" w:rsidRDefault="00D93EAB" w:rsidP="001E0F80">
            <w:pPr>
              <w:jc w:val="center"/>
              <w:rPr>
                <w:b/>
                <w:bCs/>
                <w:szCs w:val="24"/>
              </w:rPr>
            </w:pPr>
            <w:r w:rsidRPr="00D93EAB">
              <w:rPr>
                <w:b/>
                <w:bCs/>
              </w:rPr>
              <w:t>0.1677</w:t>
            </w:r>
          </w:p>
        </w:tc>
      </w:tr>
      <w:tr w:rsidR="00D93EAB" w:rsidRPr="00A818B3" w:rsidTr="00D93EAB">
        <w:trPr>
          <w:trHeight w:val="696"/>
          <w:tblHeader/>
          <w:jc w:val="center"/>
        </w:trPr>
        <w:tc>
          <w:tcPr>
            <w:tcW w:w="2327" w:type="dxa"/>
            <w:shd w:val="clear" w:color="auto" w:fill="auto"/>
            <w:noWrap/>
            <w:vAlign w:val="center"/>
            <w:hideMark/>
          </w:tcPr>
          <w:p w:rsidR="00D93EAB" w:rsidRPr="00A818B3" w:rsidRDefault="00D93EAB" w:rsidP="001E0F80">
            <w:pPr>
              <w:spacing w:after="0" w:line="240" w:lineRule="auto"/>
              <w:rPr>
                <w:rFonts w:eastAsia="Times New Roman"/>
                <w:b/>
                <w:bCs/>
                <w:color w:val="000000"/>
                <w:szCs w:val="24"/>
                <w:lang w:eastAsia="en-GB"/>
              </w:rPr>
            </w:pPr>
            <w:r w:rsidRPr="004F22DF">
              <w:rPr>
                <w:rFonts w:eastAsia="Times New Roman"/>
                <w:b/>
                <w:bCs/>
                <w:color w:val="000000"/>
                <w:szCs w:val="24"/>
                <w:lang w:eastAsia="en-GB"/>
              </w:rPr>
              <w:t>Total</w:t>
            </w:r>
          </w:p>
        </w:tc>
        <w:tc>
          <w:tcPr>
            <w:tcW w:w="1017" w:type="dxa"/>
            <w:shd w:val="clear" w:color="auto" w:fill="auto"/>
            <w:noWrap/>
            <w:vAlign w:val="center"/>
          </w:tcPr>
          <w:p w:rsidR="00D93EAB" w:rsidRDefault="00D93EAB" w:rsidP="001E0F80">
            <w:pPr>
              <w:jc w:val="center"/>
              <w:rPr>
                <w:color w:val="000000"/>
                <w:szCs w:val="24"/>
              </w:rPr>
            </w:pPr>
            <w:r>
              <w:rPr>
                <w:color w:val="000000"/>
              </w:rPr>
              <w:t>5665</w:t>
            </w:r>
          </w:p>
        </w:tc>
        <w:tc>
          <w:tcPr>
            <w:tcW w:w="1045" w:type="dxa"/>
            <w:shd w:val="clear" w:color="auto" w:fill="auto"/>
            <w:noWrap/>
            <w:vAlign w:val="center"/>
          </w:tcPr>
          <w:p w:rsidR="00D93EAB" w:rsidRDefault="00D93EAB" w:rsidP="001E0F80">
            <w:pPr>
              <w:jc w:val="center"/>
              <w:rPr>
                <w:color w:val="000000"/>
                <w:szCs w:val="24"/>
              </w:rPr>
            </w:pPr>
            <w:r>
              <w:rPr>
                <w:color w:val="000000"/>
              </w:rPr>
              <w:t>100.0%</w:t>
            </w:r>
          </w:p>
        </w:tc>
        <w:tc>
          <w:tcPr>
            <w:tcW w:w="850" w:type="dxa"/>
            <w:shd w:val="clear" w:color="auto" w:fill="auto"/>
            <w:noWrap/>
            <w:vAlign w:val="center"/>
          </w:tcPr>
          <w:p w:rsidR="00D93EAB" w:rsidRDefault="00D93EAB" w:rsidP="001E0F80">
            <w:pPr>
              <w:jc w:val="center"/>
              <w:rPr>
                <w:color w:val="000000"/>
                <w:szCs w:val="24"/>
              </w:rPr>
            </w:pPr>
            <w:r>
              <w:rPr>
                <w:color w:val="000000"/>
              </w:rPr>
              <w:t>559</w:t>
            </w:r>
          </w:p>
        </w:tc>
        <w:tc>
          <w:tcPr>
            <w:tcW w:w="1152" w:type="dxa"/>
            <w:shd w:val="clear" w:color="auto" w:fill="auto"/>
            <w:noWrap/>
            <w:vAlign w:val="center"/>
          </w:tcPr>
          <w:p w:rsidR="00D93EAB" w:rsidRDefault="00D93EAB" w:rsidP="001E0F80">
            <w:pPr>
              <w:jc w:val="center"/>
              <w:rPr>
                <w:color w:val="000000"/>
                <w:szCs w:val="24"/>
              </w:rPr>
            </w:pPr>
            <w:r>
              <w:rPr>
                <w:color w:val="000000"/>
              </w:rPr>
              <w:t>100.0%</w:t>
            </w:r>
          </w:p>
        </w:tc>
        <w:tc>
          <w:tcPr>
            <w:tcW w:w="1559" w:type="dxa"/>
            <w:tcBorders>
              <w:bottom w:val="nil"/>
              <w:right w:val="nil"/>
            </w:tcBorders>
            <w:vAlign w:val="center"/>
          </w:tcPr>
          <w:p w:rsidR="00D93EAB" w:rsidRDefault="00D93EAB" w:rsidP="001E0F80">
            <w:pPr>
              <w:jc w:val="center"/>
              <w:rPr>
                <w:b/>
                <w:bCs/>
                <w:color w:val="000000"/>
                <w:szCs w:val="24"/>
              </w:rPr>
            </w:pPr>
          </w:p>
        </w:tc>
      </w:tr>
    </w:tbl>
    <w:p w:rsidR="00D93EAB" w:rsidRPr="00E35717" w:rsidRDefault="00D93EAB" w:rsidP="001B16CA">
      <w:pPr>
        <w:rPr>
          <w:szCs w:val="23"/>
        </w:rPr>
      </w:pPr>
    </w:p>
    <w:p w:rsidR="001B16CA" w:rsidRPr="001B16CA" w:rsidRDefault="001B16CA" w:rsidP="001B16CA"/>
    <w:p w:rsidR="00D93EAB" w:rsidRPr="004F22DF" w:rsidRDefault="00D93EAB" w:rsidP="00D93EAB">
      <w:pPr>
        <w:rPr>
          <w:szCs w:val="24"/>
        </w:rPr>
      </w:pPr>
      <w:r>
        <w:rPr>
          <w:szCs w:val="24"/>
        </w:rPr>
        <w:t>To calculate the</w:t>
      </w:r>
      <w:r w:rsidRPr="00032E7C">
        <w:rPr>
          <w:szCs w:val="24"/>
        </w:rPr>
        <w:t xml:space="preserve"> </w:t>
      </w:r>
      <w:r>
        <w:rPr>
          <w:szCs w:val="24"/>
        </w:rPr>
        <w:t xml:space="preserve">relative </w:t>
      </w:r>
      <w:r w:rsidRPr="00032E7C">
        <w:rPr>
          <w:szCs w:val="24"/>
        </w:rPr>
        <w:t xml:space="preserve">likelihood of white candidates being appointed from shortlisting: </w:t>
      </w:r>
      <w:r>
        <w:rPr>
          <w:szCs w:val="24"/>
        </w:rPr>
        <w:br/>
        <w:t>456 / 4372 = 0.1043</w:t>
      </w:r>
      <w:r>
        <w:rPr>
          <w:szCs w:val="24"/>
        </w:rPr>
        <w:br/>
      </w:r>
      <w:r w:rsidRPr="004F22DF">
        <w:rPr>
          <w:szCs w:val="24"/>
        </w:rPr>
        <w:br/>
      </w:r>
      <w:proofErr w:type="gramStart"/>
      <w:r>
        <w:rPr>
          <w:szCs w:val="24"/>
        </w:rPr>
        <w:t>To</w:t>
      </w:r>
      <w:proofErr w:type="gramEnd"/>
      <w:r>
        <w:rPr>
          <w:szCs w:val="24"/>
        </w:rPr>
        <w:t xml:space="preserve"> calculate the</w:t>
      </w:r>
      <w:r w:rsidRPr="00032E7C">
        <w:rPr>
          <w:szCs w:val="24"/>
        </w:rPr>
        <w:t xml:space="preserve"> </w:t>
      </w:r>
      <w:r>
        <w:rPr>
          <w:szCs w:val="24"/>
        </w:rPr>
        <w:t>relative</w:t>
      </w:r>
      <w:r w:rsidRPr="004F22DF">
        <w:rPr>
          <w:szCs w:val="24"/>
        </w:rPr>
        <w:t xml:space="preserve"> likelihood of BME candidates being appointed from shortlisting: </w:t>
      </w:r>
      <w:r w:rsidRPr="004F22DF">
        <w:rPr>
          <w:szCs w:val="24"/>
        </w:rPr>
        <w:br/>
      </w:r>
      <w:r>
        <w:rPr>
          <w:szCs w:val="24"/>
        </w:rPr>
        <w:t>76 / 1132 = 0.0671</w:t>
      </w:r>
    </w:p>
    <w:p w:rsidR="00D93EAB" w:rsidRPr="00FA72EF" w:rsidRDefault="00D93EAB" w:rsidP="00D93EAB">
      <w:pPr>
        <w:rPr>
          <w:b/>
          <w:color w:val="FF0000"/>
          <w:szCs w:val="24"/>
        </w:rPr>
      </w:pPr>
      <w:r w:rsidRPr="00FA72EF">
        <w:rPr>
          <w:color w:val="FF0000"/>
          <w:szCs w:val="24"/>
        </w:rPr>
        <w:t>The relative likelihood of white candidates being appointed from shortlisting compared to BME staff is 0.1043 (white candidates) / 0.067</w:t>
      </w:r>
      <w:r>
        <w:rPr>
          <w:color w:val="FF0000"/>
          <w:szCs w:val="24"/>
        </w:rPr>
        <w:t>1</w:t>
      </w:r>
      <w:r w:rsidRPr="00FA72EF">
        <w:rPr>
          <w:color w:val="FF0000"/>
          <w:szCs w:val="24"/>
        </w:rPr>
        <w:t xml:space="preserve"> (BME candidates) = </w:t>
      </w:r>
      <w:r w:rsidRPr="00FA72EF">
        <w:rPr>
          <w:b/>
          <w:color w:val="FF0000"/>
          <w:szCs w:val="24"/>
        </w:rPr>
        <w:t>1.55 times greater.</w:t>
      </w:r>
    </w:p>
    <w:p w:rsidR="00D93EAB" w:rsidRPr="00D93EAB" w:rsidRDefault="00D93EAB" w:rsidP="00D93EAB">
      <w:pPr>
        <w:rPr>
          <w:b/>
          <w:szCs w:val="24"/>
        </w:rPr>
      </w:pPr>
      <w:r w:rsidRPr="00D93EAB">
        <w:rPr>
          <w:color w:val="FF0000"/>
          <w:szCs w:val="24"/>
        </w:rPr>
        <w:t>In this instance, the data suggests white candidates are more likely than BME candidates to be appointed from shortlisting.</w:t>
      </w:r>
    </w:p>
    <w:p w:rsidR="00D93EAB" w:rsidRDefault="00D93EAB" w:rsidP="00D93EAB">
      <w:pPr>
        <w:rPr>
          <w:b/>
          <w:szCs w:val="24"/>
        </w:rPr>
      </w:pPr>
      <w:r w:rsidRPr="006A0C9E">
        <w:rPr>
          <w:b/>
          <w:szCs w:val="24"/>
        </w:rPr>
        <w:t>Historical comparison with previous WRES reports</w:t>
      </w:r>
    </w:p>
    <w:p w:rsidR="00D93EAB" w:rsidRDefault="00D93EAB" w:rsidP="00D93EAB">
      <w:pPr>
        <w:jc w:val="center"/>
      </w:pPr>
      <w:r>
        <w:rPr>
          <w:noProof/>
          <w:lang w:eastAsia="en-GB"/>
        </w:rPr>
        <w:drawing>
          <wp:inline distT="0" distB="0" distL="0" distR="0" wp14:anchorId="65A3B817" wp14:editId="54DA3F64">
            <wp:extent cx="4943475" cy="2266950"/>
            <wp:effectExtent l="0" t="0" r="0" b="0"/>
            <wp:docPr id="20" name="Chart 20" title="Recruitment historical comparative data"/>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93EAB" w:rsidRDefault="00D93EAB" w:rsidP="00D93EAB">
      <w:pPr>
        <w:rPr>
          <w:szCs w:val="23"/>
        </w:rPr>
      </w:pPr>
      <w:r>
        <w:rPr>
          <w:szCs w:val="23"/>
        </w:rPr>
        <w:lastRenderedPageBreak/>
        <w:t>In the above chart, BME applicants have a constant measure of 1.0. So for white applicants, if their bar is below the BME line, it would suggest; that white applicants are less likely to be recruited from shortlisting than BME applicants. So naturally, if the white applicant bar is above, it indicates that they have a greater chance of being appointed.</w:t>
      </w:r>
    </w:p>
    <w:p w:rsidR="00D93EAB" w:rsidRDefault="00D93EAB" w:rsidP="00D93EAB">
      <w:pPr>
        <w:rPr>
          <w:szCs w:val="23"/>
        </w:rPr>
      </w:pPr>
      <w:r w:rsidRPr="00CB07E1">
        <w:rPr>
          <w:szCs w:val="23"/>
        </w:rPr>
        <w:t xml:space="preserve">The Trust does not share personal or equal opportunities data with managers at the shortlisting stage to help remove bias in the </w:t>
      </w:r>
      <w:r>
        <w:rPr>
          <w:szCs w:val="23"/>
        </w:rPr>
        <w:t xml:space="preserve">recruitment </w:t>
      </w:r>
      <w:r w:rsidRPr="00CB07E1">
        <w:rPr>
          <w:szCs w:val="23"/>
        </w:rPr>
        <w:t>process.</w:t>
      </w:r>
    </w:p>
    <w:p w:rsidR="00D93EAB" w:rsidRPr="00E35717" w:rsidRDefault="00D93EAB" w:rsidP="00D93EAB">
      <w:pPr>
        <w:rPr>
          <w:szCs w:val="23"/>
        </w:rPr>
      </w:pPr>
      <w:r>
        <w:rPr>
          <w:szCs w:val="23"/>
        </w:rPr>
        <w:t>Using the rule of four-fifths, if the likelihood of white applicants is below 0.8 or above 1.2, it would suggest there is an adverse statistical impact.</w:t>
      </w:r>
      <w:r w:rsidRPr="00D93EAB">
        <w:rPr>
          <w:szCs w:val="23"/>
        </w:rPr>
        <w:t xml:space="preserve"> </w:t>
      </w:r>
      <w:r>
        <w:rPr>
          <w:szCs w:val="23"/>
        </w:rPr>
        <w:t>The data shows that in 2019, 2020, and 2021 white applicants are more likely to be recruited than BME applicants.</w:t>
      </w:r>
    </w:p>
    <w:p w:rsidR="00A702A0" w:rsidRPr="00FA10E4" w:rsidRDefault="00A702A0" w:rsidP="00A702A0">
      <w:pPr>
        <w:pStyle w:val="Heading2"/>
      </w:pPr>
      <w:bookmarkStart w:id="22" w:name="_Toc79152359"/>
      <w:r w:rsidRPr="0095258A">
        <w:t>Indicator 3 - Relative likelihood of staff entering the formal disciplinary process, as measured by entry into a formal disciplinary investigation</w:t>
      </w:r>
      <w:bookmarkEnd w:id="22"/>
      <w:r w:rsidRPr="00FA10E4">
        <w:t xml:space="preserve"> </w:t>
      </w:r>
    </w:p>
    <w:p w:rsidR="00A702A0" w:rsidRDefault="00A702A0" w:rsidP="00A702A0">
      <w:pPr>
        <w:rPr>
          <w:b/>
          <w:color w:val="0072C6"/>
          <w:sz w:val="28"/>
          <w:szCs w:val="24"/>
        </w:rPr>
      </w:pPr>
    </w:p>
    <w:p w:rsidR="00A702A0" w:rsidRDefault="00A702A0" w:rsidP="00A702A0">
      <w:pPr>
        <w:pStyle w:val="Heading3"/>
      </w:pPr>
      <w:bookmarkStart w:id="23" w:name="_Toc79152360"/>
      <w:r w:rsidRPr="004C04C6">
        <w:t>Brighton and Sussex University Hospitals NHS Trust:</w:t>
      </w:r>
      <w:bookmarkEnd w:id="23"/>
    </w:p>
    <w:p w:rsidR="00A702A0" w:rsidRPr="00A702A0" w:rsidRDefault="00A702A0" w:rsidP="00A702A0"/>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reakdown of disciplinary processes by ethnicity"/>
      </w:tblPr>
      <w:tblGrid>
        <w:gridCol w:w="1575"/>
        <w:gridCol w:w="3118"/>
        <w:gridCol w:w="1647"/>
        <w:gridCol w:w="2747"/>
      </w:tblGrid>
      <w:tr w:rsidR="00A702A0" w:rsidRPr="00A702A0" w:rsidTr="00A702A0">
        <w:trPr>
          <w:cantSplit/>
          <w:trHeight w:val="615"/>
          <w:tblHeader/>
        </w:trPr>
        <w:tc>
          <w:tcPr>
            <w:tcW w:w="1575" w:type="dxa"/>
            <w:shd w:val="clear" w:color="auto" w:fill="auto"/>
            <w:noWrap/>
            <w:vAlign w:val="bottom"/>
            <w:hideMark/>
          </w:tcPr>
          <w:p w:rsidR="00A702A0" w:rsidRPr="00A702A0" w:rsidRDefault="00A702A0" w:rsidP="00A702A0">
            <w:pPr>
              <w:spacing w:after="0" w:line="240" w:lineRule="auto"/>
              <w:rPr>
                <w:rFonts w:eastAsia="Times New Roman"/>
                <w:b/>
                <w:bCs/>
                <w:szCs w:val="24"/>
                <w:lang w:eastAsia="en-GB"/>
              </w:rPr>
            </w:pPr>
            <w:r w:rsidRPr="00A702A0">
              <w:rPr>
                <w:rFonts w:eastAsia="Times New Roman"/>
                <w:b/>
                <w:bCs/>
                <w:szCs w:val="24"/>
                <w:lang w:eastAsia="en-GB"/>
              </w:rPr>
              <w:t>Staff Ethnicity</w:t>
            </w:r>
          </w:p>
        </w:tc>
        <w:tc>
          <w:tcPr>
            <w:tcW w:w="3118" w:type="dxa"/>
            <w:shd w:val="clear" w:color="auto" w:fill="auto"/>
            <w:vAlign w:val="bottom"/>
            <w:hideMark/>
          </w:tcPr>
          <w:p w:rsidR="00A702A0" w:rsidRPr="00A702A0" w:rsidRDefault="00A702A0" w:rsidP="00A702A0">
            <w:pPr>
              <w:spacing w:after="0" w:line="240" w:lineRule="auto"/>
              <w:rPr>
                <w:rFonts w:eastAsia="Times New Roman"/>
                <w:b/>
                <w:bCs/>
                <w:szCs w:val="24"/>
                <w:lang w:eastAsia="en-GB"/>
              </w:rPr>
            </w:pPr>
            <w:r w:rsidRPr="00A702A0">
              <w:rPr>
                <w:rFonts w:eastAsia="Times New Roman"/>
                <w:b/>
                <w:bCs/>
                <w:szCs w:val="24"/>
                <w:lang w:eastAsia="en-GB"/>
              </w:rPr>
              <w:t xml:space="preserve">Number of Disciplinary Procedures </w:t>
            </w:r>
          </w:p>
        </w:tc>
        <w:tc>
          <w:tcPr>
            <w:tcW w:w="1647" w:type="dxa"/>
            <w:shd w:val="clear" w:color="auto" w:fill="auto"/>
            <w:vAlign w:val="bottom"/>
            <w:hideMark/>
          </w:tcPr>
          <w:p w:rsidR="00A702A0" w:rsidRPr="00A702A0" w:rsidRDefault="00A702A0" w:rsidP="00A702A0">
            <w:pPr>
              <w:spacing w:after="0" w:line="240" w:lineRule="auto"/>
              <w:rPr>
                <w:rFonts w:eastAsia="Times New Roman"/>
                <w:b/>
                <w:bCs/>
                <w:szCs w:val="24"/>
                <w:lang w:eastAsia="en-GB"/>
              </w:rPr>
            </w:pPr>
            <w:r w:rsidRPr="00A702A0">
              <w:rPr>
                <w:rFonts w:eastAsia="Times New Roman"/>
                <w:b/>
                <w:bCs/>
                <w:szCs w:val="24"/>
                <w:lang w:eastAsia="en-GB"/>
              </w:rPr>
              <w:t xml:space="preserve">Number in Workforce </w:t>
            </w:r>
          </w:p>
        </w:tc>
        <w:tc>
          <w:tcPr>
            <w:tcW w:w="2747" w:type="dxa"/>
            <w:shd w:val="clear" w:color="auto" w:fill="auto"/>
            <w:vAlign w:val="bottom"/>
            <w:hideMark/>
          </w:tcPr>
          <w:p w:rsidR="00A702A0" w:rsidRPr="00A702A0" w:rsidRDefault="00A702A0" w:rsidP="00A702A0">
            <w:pPr>
              <w:spacing w:after="0" w:line="240" w:lineRule="auto"/>
              <w:rPr>
                <w:rFonts w:eastAsia="Times New Roman"/>
                <w:b/>
                <w:bCs/>
                <w:szCs w:val="24"/>
                <w:lang w:eastAsia="en-GB"/>
              </w:rPr>
            </w:pPr>
            <w:r w:rsidRPr="00A702A0">
              <w:rPr>
                <w:rFonts w:eastAsia="Times New Roman"/>
                <w:b/>
                <w:bCs/>
                <w:szCs w:val="24"/>
                <w:lang w:eastAsia="en-GB"/>
              </w:rPr>
              <w:t>Relative Likelihood of entering procedure</w:t>
            </w:r>
          </w:p>
        </w:tc>
      </w:tr>
      <w:tr w:rsidR="00A702A0" w:rsidRPr="00A702A0" w:rsidTr="00A702A0">
        <w:trPr>
          <w:cantSplit/>
          <w:trHeight w:val="315"/>
          <w:tblHeader/>
        </w:trPr>
        <w:tc>
          <w:tcPr>
            <w:tcW w:w="1575" w:type="dxa"/>
            <w:shd w:val="clear" w:color="auto" w:fill="auto"/>
            <w:noWrap/>
            <w:vAlign w:val="center"/>
            <w:hideMark/>
          </w:tcPr>
          <w:p w:rsidR="00A702A0" w:rsidRPr="00A702A0" w:rsidRDefault="00A702A0" w:rsidP="001E0F80">
            <w:pPr>
              <w:spacing w:after="0" w:line="240" w:lineRule="auto"/>
              <w:rPr>
                <w:rFonts w:eastAsia="Times New Roman"/>
                <w:b/>
                <w:bCs/>
                <w:szCs w:val="24"/>
                <w:lang w:eastAsia="en-GB"/>
              </w:rPr>
            </w:pPr>
            <w:r w:rsidRPr="00A702A0">
              <w:rPr>
                <w:rFonts w:eastAsia="Times New Roman"/>
                <w:b/>
                <w:bCs/>
                <w:szCs w:val="24"/>
                <w:lang w:eastAsia="en-GB"/>
              </w:rPr>
              <w:t>White</w:t>
            </w:r>
          </w:p>
        </w:tc>
        <w:tc>
          <w:tcPr>
            <w:tcW w:w="3118" w:type="dxa"/>
            <w:shd w:val="clear" w:color="auto" w:fill="auto"/>
            <w:noWrap/>
            <w:vAlign w:val="center"/>
          </w:tcPr>
          <w:p w:rsidR="00A702A0" w:rsidRPr="00A702A0" w:rsidRDefault="00A702A0" w:rsidP="00A702A0">
            <w:pPr>
              <w:jc w:val="center"/>
              <w:rPr>
                <w:szCs w:val="24"/>
              </w:rPr>
            </w:pPr>
            <w:r w:rsidRPr="00A702A0">
              <w:t>22</w:t>
            </w:r>
          </w:p>
        </w:tc>
        <w:tc>
          <w:tcPr>
            <w:tcW w:w="1647" w:type="dxa"/>
            <w:shd w:val="clear" w:color="auto" w:fill="auto"/>
            <w:noWrap/>
            <w:vAlign w:val="center"/>
          </w:tcPr>
          <w:p w:rsidR="00A702A0" w:rsidRPr="00A702A0" w:rsidRDefault="00A702A0" w:rsidP="00A702A0">
            <w:pPr>
              <w:jc w:val="center"/>
              <w:rPr>
                <w:szCs w:val="24"/>
              </w:rPr>
            </w:pPr>
            <w:r w:rsidRPr="00A702A0">
              <w:t>6890</w:t>
            </w:r>
          </w:p>
        </w:tc>
        <w:tc>
          <w:tcPr>
            <w:tcW w:w="2747" w:type="dxa"/>
            <w:shd w:val="clear" w:color="auto" w:fill="auto"/>
            <w:noWrap/>
            <w:vAlign w:val="center"/>
          </w:tcPr>
          <w:p w:rsidR="00A702A0" w:rsidRPr="00A702A0" w:rsidRDefault="00A702A0" w:rsidP="00A702A0">
            <w:pPr>
              <w:jc w:val="center"/>
              <w:rPr>
                <w:szCs w:val="24"/>
              </w:rPr>
            </w:pPr>
            <w:r w:rsidRPr="00A702A0">
              <w:t>0.0032</w:t>
            </w:r>
          </w:p>
        </w:tc>
      </w:tr>
      <w:tr w:rsidR="00A702A0" w:rsidRPr="00A702A0" w:rsidTr="00A702A0">
        <w:trPr>
          <w:cantSplit/>
          <w:trHeight w:val="315"/>
          <w:tblHeader/>
        </w:trPr>
        <w:tc>
          <w:tcPr>
            <w:tcW w:w="1575" w:type="dxa"/>
            <w:shd w:val="clear" w:color="auto" w:fill="auto"/>
            <w:noWrap/>
            <w:vAlign w:val="center"/>
            <w:hideMark/>
          </w:tcPr>
          <w:p w:rsidR="00A702A0" w:rsidRPr="00A702A0" w:rsidRDefault="00A702A0" w:rsidP="001E0F80">
            <w:pPr>
              <w:spacing w:after="0" w:line="240" w:lineRule="auto"/>
              <w:rPr>
                <w:rFonts w:eastAsia="Times New Roman"/>
                <w:b/>
                <w:bCs/>
                <w:szCs w:val="24"/>
                <w:lang w:eastAsia="en-GB"/>
              </w:rPr>
            </w:pPr>
            <w:r w:rsidRPr="00A702A0">
              <w:rPr>
                <w:rFonts w:eastAsia="Times New Roman"/>
                <w:b/>
                <w:bCs/>
                <w:szCs w:val="24"/>
                <w:lang w:eastAsia="en-GB"/>
              </w:rPr>
              <w:t>BME</w:t>
            </w:r>
          </w:p>
        </w:tc>
        <w:tc>
          <w:tcPr>
            <w:tcW w:w="3118" w:type="dxa"/>
            <w:shd w:val="clear" w:color="auto" w:fill="auto"/>
            <w:noWrap/>
            <w:vAlign w:val="center"/>
          </w:tcPr>
          <w:p w:rsidR="00A702A0" w:rsidRPr="00A702A0" w:rsidRDefault="00A702A0" w:rsidP="00A702A0">
            <w:pPr>
              <w:jc w:val="center"/>
              <w:rPr>
                <w:szCs w:val="24"/>
              </w:rPr>
            </w:pPr>
            <w:r w:rsidRPr="00A702A0">
              <w:t>1</w:t>
            </w:r>
          </w:p>
        </w:tc>
        <w:tc>
          <w:tcPr>
            <w:tcW w:w="1647" w:type="dxa"/>
            <w:shd w:val="clear" w:color="auto" w:fill="auto"/>
            <w:noWrap/>
            <w:vAlign w:val="center"/>
          </w:tcPr>
          <w:p w:rsidR="00A702A0" w:rsidRPr="00A702A0" w:rsidRDefault="00A702A0" w:rsidP="00A702A0">
            <w:pPr>
              <w:jc w:val="center"/>
              <w:rPr>
                <w:szCs w:val="24"/>
              </w:rPr>
            </w:pPr>
            <w:r w:rsidRPr="00A702A0">
              <w:t>1725</w:t>
            </w:r>
          </w:p>
        </w:tc>
        <w:tc>
          <w:tcPr>
            <w:tcW w:w="2747" w:type="dxa"/>
            <w:shd w:val="clear" w:color="auto" w:fill="auto"/>
            <w:noWrap/>
            <w:vAlign w:val="center"/>
          </w:tcPr>
          <w:p w:rsidR="00A702A0" w:rsidRPr="00A702A0" w:rsidRDefault="00A702A0" w:rsidP="00A702A0">
            <w:pPr>
              <w:jc w:val="center"/>
              <w:rPr>
                <w:szCs w:val="24"/>
              </w:rPr>
            </w:pPr>
            <w:r w:rsidRPr="00A702A0">
              <w:t>0.0006</w:t>
            </w:r>
          </w:p>
        </w:tc>
      </w:tr>
      <w:tr w:rsidR="00A702A0" w:rsidRPr="00A702A0" w:rsidTr="00A702A0">
        <w:trPr>
          <w:cantSplit/>
          <w:trHeight w:val="315"/>
          <w:tblHeader/>
        </w:trPr>
        <w:tc>
          <w:tcPr>
            <w:tcW w:w="1575" w:type="dxa"/>
            <w:shd w:val="clear" w:color="auto" w:fill="auto"/>
            <w:noWrap/>
            <w:vAlign w:val="center"/>
            <w:hideMark/>
          </w:tcPr>
          <w:p w:rsidR="00A702A0" w:rsidRPr="00A702A0" w:rsidRDefault="00A702A0" w:rsidP="001E0F80">
            <w:pPr>
              <w:spacing w:after="0" w:line="240" w:lineRule="auto"/>
              <w:rPr>
                <w:rFonts w:eastAsia="Times New Roman"/>
                <w:b/>
                <w:bCs/>
                <w:szCs w:val="24"/>
                <w:lang w:eastAsia="en-GB"/>
              </w:rPr>
            </w:pPr>
            <w:r w:rsidRPr="00A702A0">
              <w:rPr>
                <w:rFonts w:eastAsia="Times New Roman"/>
                <w:b/>
                <w:bCs/>
                <w:szCs w:val="24"/>
                <w:lang w:eastAsia="en-GB"/>
              </w:rPr>
              <w:t>Unknown</w:t>
            </w:r>
          </w:p>
        </w:tc>
        <w:tc>
          <w:tcPr>
            <w:tcW w:w="3118" w:type="dxa"/>
            <w:shd w:val="clear" w:color="auto" w:fill="auto"/>
            <w:noWrap/>
            <w:vAlign w:val="center"/>
          </w:tcPr>
          <w:p w:rsidR="00A702A0" w:rsidRPr="00A702A0" w:rsidRDefault="00A702A0" w:rsidP="00A702A0">
            <w:pPr>
              <w:jc w:val="center"/>
              <w:rPr>
                <w:szCs w:val="24"/>
              </w:rPr>
            </w:pPr>
            <w:r w:rsidRPr="00A702A0">
              <w:t>0</w:t>
            </w:r>
          </w:p>
        </w:tc>
        <w:tc>
          <w:tcPr>
            <w:tcW w:w="1647" w:type="dxa"/>
            <w:shd w:val="clear" w:color="auto" w:fill="auto"/>
            <w:noWrap/>
            <w:vAlign w:val="center"/>
          </w:tcPr>
          <w:p w:rsidR="00A702A0" w:rsidRPr="00A702A0" w:rsidRDefault="00A702A0" w:rsidP="00A702A0">
            <w:pPr>
              <w:jc w:val="center"/>
              <w:rPr>
                <w:szCs w:val="24"/>
              </w:rPr>
            </w:pPr>
            <w:r w:rsidRPr="00A702A0">
              <w:t>258</w:t>
            </w:r>
          </w:p>
        </w:tc>
        <w:tc>
          <w:tcPr>
            <w:tcW w:w="2747" w:type="dxa"/>
            <w:shd w:val="clear" w:color="auto" w:fill="auto"/>
            <w:noWrap/>
            <w:vAlign w:val="center"/>
          </w:tcPr>
          <w:p w:rsidR="00A702A0" w:rsidRPr="00A702A0" w:rsidRDefault="00A702A0" w:rsidP="00A702A0">
            <w:pPr>
              <w:jc w:val="center"/>
              <w:rPr>
                <w:szCs w:val="24"/>
              </w:rPr>
            </w:pPr>
            <w:r w:rsidRPr="00A702A0">
              <w:t>0.0000</w:t>
            </w:r>
          </w:p>
        </w:tc>
      </w:tr>
    </w:tbl>
    <w:p w:rsidR="00A702A0" w:rsidRDefault="00A702A0" w:rsidP="00A702A0">
      <w:pPr>
        <w:rPr>
          <w:b/>
          <w:color w:val="0072C6"/>
        </w:rPr>
      </w:pPr>
    </w:p>
    <w:p w:rsidR="00A702A0" w:rsidRPr="004F22DF" w:rsidRDefault="00A702A0" w:rsidP="00A702A0">
      <w:pPr>
        <w:rPr>
          <w:szCs w:val="24"/>
        </w:rPr>
      </w:pPr>
      <w:r w:rsidRPr="00D51143">
        <w:rPr>
          <w:szCs w:val="24"/>
        </w:rPr>
        <w:t xml:space="preserve">The likelihood of white staff entering the formal disciplinary process: </w:t>
      </w:r>
      <w:r w:rsidRPr="00D51143">
        <w:rPr>
          <w:szCs w:val="24"/>
        </w:rPr>
        <w:br/>
      </w:r>
      <w:r>
        <w:rPr>
          <w:szCs w:val="24"/>
        </w:rPr>
        <w:t>22</w:t>
      </w:r>
      <w:r w:rsidRPr="004F22DF">
        <w:rPr>
          <w:szCs w:val="24"/>
        </w:rPr>
        <w:t xml:space="preserve"> / </w:t>
      </w:r>
      <w:r>
        <w:rPr>
          <w:szCs w:val="24"/>
        </w:rPr>
        <w:t>6890</w:t>
      </w:r>
      <w:r w:rsidRPr="004F22DF">
        <w:rPr>
          <w:szCs w:val="24"/>
        </w:rPr>
        <w:t xml:space="preserve"> = </w:t>
      </w:r>
      <w:r>
        <w:rPr>
          <w:szCs w:val="24"/>
        </w:rPr>
        <w:t>0.0032</w:t>
      </w:r>
    </w:p>
    <w:p w:rsidR="00A702A0" w:rsidRPr="004F22DF" w:rsidRDefault="00A702A0" w:rsidP="00A702A0">
      <w:pPr>
        <w:spacing w:line="240" w:lineRule="auto"/>
        <w:rPr>
          <w:szCs w:val="24"/>
        </w:rPr>
      </w:pPr>
      <w:r w:rsidRPr="004F22DF">
        <w:rPr>
          <w:szCs w:val="24"/>
        </w:rPr>
        <w:t xml:space="preserve">The likelihood of BME staff entering the formal disciplinary process: </w:t>
      </w:r>
      <w:r w:rsidRPr="004F22DF">
        <w:rPr>
          <w:szCs w:val="24"/>
        </w:rPr>
        <w:br/>
      </w:r>
      <w:r>
        <w:rPr>
          <w:szCs w:val="24"/>
        </w:rPr>
        <w:t>1</w:t>
      </w:r>
      <w:r w:rsidRPr="004F22DF">
        <w:rPr>
          <w:szCs w:val="24"/>
        </w:rPr>
        <w:t xml:space="preserve"> / </w:t>
      </w:r>
      <w:r>
        <w:rPr>
          <w:szCs w:val="24"/>
        </w:rPr>
        <w:t xml:space="preserve">1725 </w:t>
      </w:r>
      <w:r w:rsidRPr="004F22DF">
        <w:rPr>
          <w:szCs w:val="24"/>
        </w:rPr>
        <w:t xml:space="preserve">= </w:t>
      </w:r>
      <w:r>
        <w:rPr>
          <w:szCs w:val="24"/>
        </w:rPr>
        <w:t>0.0006</w:t>
      </w:r>
      <w:r w:rsidRPr="004F22DF">
        <w:rPr>
          <w:szCs w:val="24"/>
        </w:rPr>
        <w:br/>
      </w:r>
    </w:p>
    <w:p w:rsidR="00A702A0" w:rsidRPr="004F22DF" w:rsidRDefault="00A702A0" w:rsidP="00A702A0">
      <w:pPr>
        <w:rPr>
          <w:b/>
          <w:color w:val="009E49"/>
          <w:szCs w:val="24"/>
        </w:rPr>
      </w:pPr>
      <w:r w:rsidRPr="004F22DF">
        <w:rPr>
          <w:color w:val="009E49"/>
          <w:szCs w:val="24"/>
        </w:rPr>
        <w:t xml:space="preserve">The relative likelihood of BME staff entering the formal disciplinary process compared to white staff is </w:t>
      </w:r>
      <w:r>
        <w:rPr>
          <w:color w:val="009E49"/>
          <w:szCs w:val="24"/>
        </w:rPr>
        <w:t>0.0006</w:t>
      </w:r>
      <w:r w:rsidRPr="004F22DF">
        <w:rPr>
          <w:color w:val="009E49"/>
          <w:szCs w:val="24"/>
        </w:rPr>
        <w:t xml:space="preserve"> (BME Staff) / 0.00</w:t>
      </w:r>
      <w:r>
        <w:rPr>
          <w:color w:val="009E49"/>
          <w:szCs w:val="24"/>
        </w:rPr>
        <w:t>32</w:t>
      </w:r>
      <w:r w:rsidRPr="004F22DF">
        <w:rPr>
          <w:color w:val="009E49"/>
          <w:szCs w:val="24"/>
        </w:rPr>
        <w:t xml:space="preserve"> (White Staff) = </w:t>
      </w:r>
      <w:r>
        <w:rPr>
          <w:b/>
          <w:color w:val="009E49"/>
          <w:szCs w:val="24"/>
        </w:rPr>
        <w:t>0.19</w:t>
      </w:r>
      <w:r w:rsidRPr="004F22DF">
        <w:rPr>
          <w:b/>
          <w:color w:val="009E49"/>
          <w:szCs w:val="24"/>
        </w:rPr>
        <w:t xml:space="preserve"> times. </w:t>
      </w:r>
    </w:p>
    <w:p w:rsidR="00A702A0" w:rsidRPr="00A702A0" w:rsidRDefault="00A702A0" w:rsidP="00A702A0">
      <w:pPr>
        <w:rPr>
          <w:b/>
          <w:szCs w:val="24"/>
        </w:rPr>
      </w:pPr>
      <w:r w:rsidRPr="00A702A0">
        <w:rPr>
          <w:color w:val="009E49"/>
          <w:szCs w:val="24"/>
        </w:rPr>
        <w:t>In this instance, the data suggest that BME staff members are less likely t</w:t>
      </w:r>
      <w:r w:rsidR="00F73272">
        <w:rPr>
          <w:color w:val="009E49"/>
          <w:szCs w:val="24"/>
        </w:rPr>
        <w:t>o enter into a formal disciplinary process than white staff</w:t>
      </w:r>
      <w:r w:rsidRPr="00A702A0">
        <w:rPr>
          <w:b/>
          <w:color w:val="009E49"/>
          <w:szCs w:val="24"/>
        </w:rPr>
        <w:t>.</w:t>
      </w:r>
      <w:r w:rsidRPr="00A702A0">
        <w:rPr>
          <w:szCs w:val="24"/>
        </w:rPr>
        <w:br/>
      </w:r>
    </w:p>
    <w:p w:rsidR="00A702A0" w:rsidRDefault="00A702A0" w:rsidP="00A702A0">
      <w:pPr>
        <w:rPr>
          <w:b/>
          <w:szCs w:val="24"/>
        </w:rPr>
      </w:pPr>
      <w:r>
        <w:rPr>
          <w:b/>
          <w:szCs w:val="24"/>
        </w:rPr>
        <w:t>Historical comparison with previous WRES reports</w:t>
      </w:r>
    </w:p>
    <w:p w:rsidR="00A702A0" w:rsidRDefault="00A702A0" w:rsidP="00A702A0">
      <w:pPr>
        <w:jc w:val="center"/>
        <w:rPr>
          <w:b/>
          <w:szCs w:val="24"/>
        </w:rPr>
      </w:pPr>
      <w:r>
        <w:rPr>
          <w:noProof/>
          <w:lang w:eastAsia="en-GB"/>
        </w:rPr>
        <w:lastRenderedPageBreak/>
        <w:drawing>
          <wp:inline distT="0" distB="0" distL="0" distR="0" wp14:anchorId="6EDC160F" wp14:editId="0C473377">
            <wp:extent cx="5543550" cy="2238375"/>
            <wp:effectExtent l="0" t="0" r="0" b="0"/>
            <wp:docPr id="3" name="Chart 3" title="Historical comparative data for disciplinary process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702A0" w:rsidRDefault="00A702A0" w:rsidP="00A702A0">
      <w:pPr>
        <w:rPr>
          <w:szCs w:val="23"/>
        </w:rPr>
      </w:pPr>
      <w:r>
        <w:rPr>
          <w:szCs w:val="23"/>
        </w:rPr>
        <w:t xml:space="preserve">In the above chart, white </w:t>
      </w:r>
      <w:proofErr w:type="gramStart"/>
      <w:r>
        <w:rPr>
          <w:szCs w:val="23"/>
        </w:rPr>
        <w:t>staff have</w:t>
      </w:r>
      <w:proofErr w:type="gramEnd"/>
      <w:r>
        <w:rPr>
          <w:szCs w:val="23"/>
        </w:rPr>
        <w:t xml:space="preserve"> a constant measure of 1.0. For BME staff, if the bar is below the white staff line, it would suggest; that BME staff are less likely to enter the formal disciplinary process than white staff. Naturally, if the BME staff bar is above, it would suggest that they have a great chance of entering formal disciplinary procedures.</w:t>
      </w:r>
    </w:p>
    <w:p w:rsidR="00A702A0" w:rsidRDefault="00A702A0" w:rsidP="00A702A0">
      <w:pPr>
        <w:rPr>
          <w:szCs w:val="23"/>
        </w:rPr>
      </w:pPr>
      <w:r>
        <w:rPr>
          <w:szCs w:val="23"/>
        </w:rPr>
        <w:t>Using the rule of four-fifths, if the likelihood of BME staff is below 0.8 or above 1.2, it would suggest there is an adverse statistical impact. The graph above highlights that in 2019 and 2020, BME staff were more likely to enter the formal disciplinary process than white staff; in 2021, BME staff were less likely to enter such processes.</w:t>
      </w:r>
    </w:p>
    <w:p w:rsidR="00A702A0" w:rsidRDefault="00A702A0" w:rsidP="00A702A0"/>
    <w:p w:rsidR="00A702A0" w:rsidRDefault="00A702A0" w:rsidP="00A702A0">
      <w:pPr>
        <w:pStyle w:val="Heading3"/>
      </w:pPr>
      <w:bookmarkStart w:id="24" w:name="_Toc79152361"/>
      <w:r w:rsidRPr="008E5644">
        <w:t>Western Sussex Hospitals NHS Foundation Trust:</w:t>
      </w:r>
      <w:bookmarkEnd w:id="24"/>
    </w:p>
    <w:p w:rsidR="00A702A0" w:rsidRPr="00A702A0" w:rsidRDefault="00A702A0" w:rsidP="00A702A0"/>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reakdown of disciplinary processes by ethnicity"/>
      </w:tblPr>
      <w:tblGrid>
        <w:gridCol w:w="1575"/>
        <w:gridCol w:w="3118"/>
        <w:gridCol w:w="1647"/>
        <w:gridCol w:w="2747"/>
      </w:tblGrid>
      <w:tr w:rsidR="00A702A0" w:rsidRPr="00A702A0" w:rsidTr="001E0F80">
        <w:trPr>
          <w:cantSplit/>
          <w:trHeight w:val="615"/>
          <w:tblHeader/>
        </w:trPr>
        <w:tc>
          <w:tcPr>
            <w:tcW w:w="1575" w:type="dxa"/>
            <w:shd w:val="clear" w:color="auto" w:fill="auto"/>
            <w:noWrap/>
            <w:vAlign w:val="bottom"/>
            <w:hideMark/>
          </w:tcPr>
          <w:p w:rsidR="00A702A0" w:rsidRPr="00A702A0" w:rsidRDefault="00A702A0" w:rsidP="001E0F80">
            <w:pPr>
              <w:spacing w:after="0" w:line="240" w:lineRule="auto"/>
              <w:rPr>
                <w:rFonts w:eastAsia="Times New Roman"/>
                <w:b/>
                <w:bCs/>
                <w:szCs w:val="24"/>
                <w:lang w:eastAsia="en-GB"/>
              </w:rPr>
            </w:pPr>
            <w:r w:rsidRPr="00A702A0">
              <w:rPr>
                <w:rFonts w:eastAsia="Times New Roman"/>
                <w:b/>
                <w:bCs/>
                <w:szCs w:val="24"/>
                <w:lang w:eastAsia="en-GB"/>
              </w:rPr>
              <w:t>Staff Ethnicity</w:t>
            </w:r>
          </w:p>
        </w:tc>
        <w:tc>
          <w:tcPr>
            <w:tcW w:w="3118" w:type="dxa"/>
            <w:shd w:val="clear" w:color="auto" w:fill="auto"/>
            <w:vAlign w:val="bottom"/>
            <w:hideMark/>
          </w:tcPr>
          <w:p w:rsidR="00A702A0" w:rsidRPr="00A702A0" w:rsidRDefault="00A702A0" w:rsidP="001E0F80">
            <w:pPr>
              <w:spacing w:after="0" w:line="240" w:lineRule="auto"/>
              <w:rPr>
                <w:rFonts w:eastAsia="Times New Roman"/>
                <w:b/>
                <w:bCs/>
                <w:szCs w:val="24"/>
                <w:lang w:eastAsia="en-GB"/>
              </w:rPr>
            </w:pPr>
            <w:r w:rsidRPr="00A702A0">
              <w:rPr>
                <w:rFonts w:eastAsia="Times New Roman"/>
                <w:b/>
                <w:bCs/>
                <w:szCs w:val="24"/>
                <w:lang w:eastAsia="en-GB"/>
              </w:rPr>
              <w:t xml:space="preserve">Number of Disciplinary Procedures </w:t>
            </w:r>
          </w:p>
        </w:tc>
        <w:tc>
          <w:tcPr>
            <w:tcW w:w="1647" w:type="dxa"/>
            <w:shd w:val="clear" w:color="auto" w:fill="auto"/>
            <w:vAlign w:val="bottom"/>
            <w:hideMark/>
          </w:tcPr>
          <w:p w:rsidR="00A702A0" w:rsidRPr="00A702A0" w:rsidRDefault="00A702A0" w:rsidP="001E0F80">
            <w:pPr>
              <w:spacing w:after="0" w:line="240" w:lineRule="auto"/>
              <w:rPr>
                <w:rFonts w:eastAsia="Times New Roman"/>
                <w:b/>
                <w:bCs/>
                <w:szCs w:val="24"/>
                <w:lang w:eastAsia="en-GB"/>
              </w:rPr>
            </w:pPr>
            <w:r w:rsidRPr="00A702A0">
              <w:rPr>
                <w:rFonts w:eastAsia="Times New Roman"/>
                <w:b/>
                <w:bCs/>
                <w:szCs w:val="24"/>
                <w:lang w:eastAsia="en-GB"/>
              </w:rPr>
              <w:t xml:space="preserve">Number in Workforce </w:t>
            </w:r>
          </w:p>
        </w:tc>
        <w:tc>
          <w:tcPr>
            <w:tcW w:w="2747" w:type="dxa"/>
            <w:shd w:val="clear" w:color="auto" w:fill="auto"/>
            <w:vAlign w:val="bottom"/>
            <w:hideMark/>
          </w:tcPr>
          <w:p w:rsidR="00A702A0" w:rsidRPr="00A702A0" w:rsidRDefault="00A702A0" w:rsidP="001E0F80">
            <w:pPr>
              <w:spacing w:after="0" w:line="240" w:lineRule="auto"/>
              <w:rPr>
                <w:rFonts w:eastAsia="Times New Roman"/>
                <w:b/>
                <w:bCs/>
                <w:szCs w:val="24"/>
                <w:lang w:eastAsia="en-GB"/>
              </w:rPr>
            </w:pPr>
            <w:r w:rsidRPr="00A702A0">
              <w:rPr>
                <w:rFonts w:eastAsia="Times New Roman"/>
                <w:b/>
                <w:bCs/>
                <w:szCs w:val="24"/>
                <w:lang w:eastAsia="en-GB"/>
              </w:rPr>
              <w:t>Relative Likelihood of entering procedure</w:t>
            </w:r>
          </w:p>
        </w:tc>
      </w:tr>
      <w:tr w:rsidR="00A702A0" w:rsidRPr="004F22DF" w:rsidTr="001E0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5"/>
          <w:tblHeader/>
        </w:trPr>
        <w:tc>
          <w:tcPr>
            <w:tcW w:w="157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702A0" w:rsidRPr="004F22DF" w:rsidRDefault="00A702A0" w:rsidP="001E0F80">
            <w:pPr>
              <w:spacing w:after="0" w:line="240" w:lineRule="auto"/>
              <w:rPr>
                <w:rFonts w:eastAsia="Times New Roman"/>
                <w:b/>
                <w:bCs/>
                <w:color w:val="000000"/>
                <w:szCs w:val="24"/>
                <w:lang w:eastAsia="en-GB"/>
              </w:rPr>
            </w:pPr>
            <w:r w:rsidRPr="004F22DF">
              <w:rPr>
                <w:rFonts w:eastAsia="Times New Roman"/>
                <w:b/>
                <w:bCs/>
                <w:color w:val="000000"/>
                <w:szCs w:val="24"/>
                <w:lang w:eastAsia="en-GB"/>
              </w:rPr>
              <w:t>White</w:t>
            </w:r>
          </w:p>
        </w:tc>
        <w:tc>
          <w:tcPr>
            <w:tcW w:w="311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A702A0" w:rsidRPr="008E5644" w:rsidRDefault="00A702A0" w:rsidP="001E0F80">
            <w:pPr>
              <w:jc w:val="center"/>
              <w:rPr>
                <w:color w:val="000000"/>
                <w:szCs w:val="24"/>
              </w:rPr>
            </w:pPr>
            <w:r>
              <w:rPr>
                <w:color w:val="000000"/>
              </w:rPr>
              <w:t>9</w:t>
            </w:r>
          </w:p>
        </w:tc>
        <w:tc>
          <w:tcPr>
            <w:tcW w:w="16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A702A0" w:rsidRPr="008E5644" w:rsidRDefault="00A702A0" w:rsidP="001E0F80">
            <w:pPr>
              <w:jc w:val="center"/>
              <w:rPr>
                <w:color w:val="000000"/>
                <w:szCs w:val="24"/>
              </w:rPr>
            </w:pPr>
            <w:r w:rsidRPr="008E5644">
              <w:rPr>
                <w:color w:val="000000"/>
              </w:rPr>
              <w:t>5763</w:t>
            </w:r>
          </w:p>
        </w:tc>
        <w:tc>
          <w:tcPr>
            <w:tcW w:w="27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A702A0" w:rsidRPr="008E5644" w:rsidRDefault="00A702A0" w:rsidP="001E0F80">
            <w:pPr>
              <w:jc w:val="center"/>
              <w:rPr>
                <w:color w:val="000000"/>
                <w:szCs w:val="24"/>
              </w:rPr>
            </w:pPr>
            <w:r>
              <w:rPr>
                <w:color w:val="000000"/>
              </w:rPr>
              <w:t>0.0016</w:t>
            </w:r>
          </w:p>
        </w:tc>
      </w:tr>
      <w:tr w:rsidR="00A702A0" w:rsidRPr="004F22DF" w:rsidTr="001E0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5"/>
          <w:tblHeader/>
        </w:trPr>
        <w:tc>
          <w:tcPr>
            <w:tcW w:w="157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702A0" w:rsidRPr="004F22DF" w:rsidRDefault="00A702A0" w:rsidP="001E0F80">
            <w:pPr>
              <w:spacing w:after="0" w:line="240" w:lineRule="auto"/>
              <w:rPr>
                <w:rFonts w:eastAsia="Times New Roman"/>
                <w:b/>
                <w:bCs/>
                <w:color w:val="000000"/>
                <w:szCs w:val="24"/>
                <w:lang w:eastAsia="en-GB"/>
              </w:rPr>
            </w:pPr>
            <w:r w:rsidRPr="004F22DF">
              <w:rPr>
                <w:rFonts w:eastAsia="Times New Roman"/>
                <w:b/>
                <w:bCs/>
                <w:color w:val="000000"/>
                <w:szCs w:val="24"/>
                <w:lang w:eastAsia="en-GB"/>
              </w:rPr>
              <w:t>BME</w:t>
            </w:r>
          </w:p>
        </w:tc>
        <w:tc>
          <w:tcPr>
            <w:tcW w:w="311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A702A0" w:rsidRPr="008E5644" w:rsidRDefault="00A702A0" w:rsidP="001E0F80">
            <w:pPr>
              <w:jc w:val="center"/>
              <w:rPr>
                <w:color w:val="000000"/>
                <w:szCs w:val="24"/>
              </w:rPr>
            </w:pPr>
            <w:r>
              <w:rPr>
                <w:color w:val="000000"/>
              </w:rPr>
              <w:t>4</w:t>
            </w:r>
          </w:p>
        </w:tc>
        <w:tc>
          <w:tcPr>
            <w:tcW w:w="16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A702A0" w:rsidRPr="008E5644" w:rsidRDefault="00A702A0" w:rsidP="001E0F80">
            <w:pPr>
              <w:jc w:val="center"/>
              <w:rPr>
                <w:color w:val="000000"/>
                <w:szCs w:val="24"/>
              </w:rPr>
            </w:pPr>
            <w:r w:rsidRPr="008E5644">
              <w:rPr>
                <w:color w:val="000000"/>
              </w:rPr>
              <w:t>1359</w:t>
            </w:r>
          </w:p>
        </w:tc>
        <w:tc>
          <w:tcPr>
            <w:tcW w:w="27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A702A0" w:rsidRPr="008E5644" w:rsidRDefault="00A702A0" w:rsidP="001E0F80">
            <w:pPr>
              <w:jc w:val="center"/>
              <w:rPr>
                <w:color w:val="000000"/>
                <w:szCs w:val="24"/>
              </w:rPr>
            </w:pPr>
            <w:r>
              <w:rPr>
                <w:color w:val="000000"/>
              </w:rPr>
              <w:t>0.0029</w:t>
            </w:r>
          </w:p>
        </w:tc>
      </w:tr>
      <w:tr w:rsidR="00A702A0" w:rsidRPr="00460B6D" w:rsidTr="001E0F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5"/>
          <w:tblHeader/>
        </w:trPr>
        <w:tc>
          <w:tcPr>
            <w:tcW w:w="157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702A0" w:rsidRPr="00460B6D" w:rsidRDefault="00A702A0" w:rsidP="001E0F80">
            <w:pPr>
              <w:spacing w:after="0" w:line="240" w:lineRule="auto"/>
              <w:rPr>
                <w:rFonts w:eastAsia="Times New Roman"/>
                <w:b/>
                <w:bCs/>
                <w:color w:val="000000"/>
                <w:szCs w:val="24"/>
                <w:lang w:eastAsia="en-GB"/>
              </w:rPr>
            </w:pPr>
            <w:r w:rsidRPr="004F22DF">
              <w:rPr>
                <w:rFonts w:eastAsia="Times New Roman"/>
                <w:b/>
                <w:bCs/>
                <w:color w:val="000000"/>
                <w:szCs w:val="24"/>
                <w:lang w:eastAsia="en-GB"/>
              </w:rPr>
              <w:t>Unknown</w:t>
            </w:r>
          </w:p>
        </w:tc>
        <w:tc>
          <w:tcPr>
            <w:tcW w:w="311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A702A0" w:rsidRPr="008E5644" w:rsidRDefault="00A702A0" w:rsidP="001E0F80">
            <w:pPr>
              <w:jc w:val="center"/>
              <w:rPr>
                <w:color w:val="000000"/>
                <w:szCs w:val="24"/>
              </w:rPr>
            </w:pPr>
            <w:r w:rsidRPr="008E5644">
              <w:rPr>
                <w:color w:val="000000"/>
              </w:rPr>
              <w:t>4</w:t>
            </w:r>
          </w:p>
        </w:tc>
        <w:tc>
          <w:tcPr>
            <w:tcW w:w="16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A702A0" w:rsidRPr="008E5644" w:rsidRDefault="00A702A0" w:rsidP="001E0F80">
            <w:pPr>
              <w:jc w:val="center"/>
              <w:rPr>
                <w:color w:val="000000"/>
                <w:szCs w:val="24"/>
              </w:rPr>
            </w:pPr>
            <w:r w:rsidRPr="008E5644">
              <w:rPr>
                <w:color w:val="000000"/>
              </w:rPr>
              <w:t>397</w:t>
            </w:r>
          </w:p>
        </w:tc>
        <w:tc>
          <w:tcPr>
            <w:tcW w:w="274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A702A0" w:rsidRPr="008E5644" w:rsidRDefault="00A702A0" w:rsidP="001E0F80">
            <w:pPr>
              <w:jc w:val="center"/>
              <w:rPr>
                <w:color w:val="000000"/>
                <w:szCs w:val="24"/>
              </w:rPr>
            </w:pPr>
            <w:r w:rsidRPr="008E5644">
              <w:rPr>
                <w:color w:val="000000"/>
              </w:rPr>
              <w:t>0.0101</w:t>
            </w:r>
          </w:p>
        </w:tc>
      </w:tr>
    </w:tbl>
    <w:p w:rsidR="00A702A0" w:rsidRDefault="00A702A0" w:rsidP="00A702A0">
      <w:pPr>
        <w:rPr>
          <w:b/>
          <w:color w:val="0072C6"/>
        </w:rPr>
      </w:pPr>
    </w:p>
    <w:p w:rsidR="00A702A0" w:rsidRPr="004F22DF" w:rsidRDefault="00A702A0" w:rsidP="00A702A0">
      <w:pPr>
        <w:rPr>
          <w:szCs w:val="24"/>
        </w:rPr>
      </w:pPr>
      <w:r w:rsidRPr="00D51143">
        <w:rPr>
          <w:szCs w:val="24"/>
        </w:rPr>
        <w:t xml:space="preserve">The likelihood of white staff entering the formal disciplinary process: </w:t>
      </w:r>
      <w:r w:rsidRPr="00D51143">
        <w:rPr>
          <w:szCs w:val="24"/>
        </w:rPr>
        <w:br/>
      </w:r>
      <w:r>
        <w:rPr>
          <w:szCs w:val="24"/>
        </w:rPr>
        <w:t>9</w:t>
      </w:r>
      <w:r w:rsidRPr="004F22DF">
        <w:rPr>
          <w:szCs w:val="24"/>
        </w:rPr>
        <w:t xml:space="preserve"> / </w:t>
      </w:r>
      <w:r>
        <w:rPr>
          <w:szCs w:val="24"/>
        </w:rPr>
        <w:t>5763</w:t>
      </w:r>
      <w:r w:rsidRPr="004F22DF">
        <w:rPr>
          <w:szCs w:val="24"/>
        </w:rPr>
        <w:t xml:space="preserve"> = </w:t>
      </w:r>
      <w:r>
        <w:rPr>
          <w:szCs w:val="24"/>
        </w:rPr>
        <w:t>0.0016</w:t>
      </w:r>
    </w:p>
    <w:p w:rsidR="00A702A0" w:rsidRPr="004F22DF" w:rsidRDefault="00A702A0" w:rsidP="00A702A0">
      <w:pPr>
        <w:spacing w:line="240" w:lineRule="auto"/>
        <w:rPr>
          <w:szCs w:val="24"/>
        </w:rPr>
      </w:pPr>
      <w:r w:rsidRPr="004F22DF">
        <w:rPr>
          <w:szCs w:val="24"/>
        </w:rPr>
        <w:t xml:space="preserve">The likelihood of BME staff entering the formal disciplinary process: </w:t>
      </w:r>
      <w:r w:rsidRPr="004F22DF">
        <w:rPr>
          <w:szCs w:val="24"/>
        </w:rPr>
        <w:br/>
      </w:r>
      <w:r>
        <w:rPr>
          <w:szCs w:val="24"/>
        </w:rPr>
        <w:t>4</w:t>
      </w:r>
      <w:r w:rsidRPr="004F22DF">
        <w:rPr>
          <w:szCs w:val="24"/>
        </w:rPr>
        <w:t xml:space="preserve"> / </w:t>
      </w:r>
      <w:r>
        <w:rPr>
          <w:szCs w:val="24"/>
        </w:rPr>
        <w:t xml:space="preserve">1359 </w:t>
      </w:r>
      <w:r w:rsidRPr="004F22DF">
        <w:rPr>
          <w:szCs w:val="24"/>
        </w:rPr>
        <w:t xml:space="preserve">= </w:t>
      </w:r>
      <w:r>
        <w:rPr>
          <w:szCs w:val="24"/>
        </w:rPr>
        <w:t>0.0029</w:t>
      </w:r>
      <w:r w:rsidRPr="004F22DF">
        <w:rPr>
          <w:szCs w:val="24"/>
        </w:rPr>
        <w:br/>
      </w:r>
    </w:p>
    <w:p w:rsidR="00A702A0" w:rsidRPr="00FA72EF" w:rsidRDefault="00A702A0" w:rsidP="00A702A0">
      <w:pPr>
        <w:rPr>
          <w:b/>
          <w:color w:val="FF0000"/>
          <w:szCs w:val="24"/>
        </w:rPr>
      </w:pPr>
      <w:r w:rsidRPr="00FA72EF">
        <w:rPr>
          <w:color w:val="FF0000"/>
          <w:szCs w:val="24"/>
        </w:rPr>
        <w:lastRenderedPageBreak/>
        <w:t>The relative likelihood of BME staff entering the formal disciplinary process compared to white staff is 0.00</w:t>
      </w:r>
      <w:r>
        <w:rPr>
          <w:color w:val="FF0000"/>
          <w:szCs w:val="24"/>
        </w:rPr>
        <w:t>29</w:t>
      </w:r>
      <w:r w:rsidRPr="00FA72EF">
        <w:rPr>
          <w:color w:val="FF0000"/>
          <w:szCs w:val="24"/>
        </w:rPr>
        <w:t xml:space="preserve"> (BME Staff) / 0.00</w:t>
      </w:r>
      <w:r>
        <w:rPr>
          <w:color w:val="FF0000"/>
          <w:szCs w:val="24"/>
        </w:rPr>
        <w:t>16</w:t>
      </w:r>
      <w:r w:rsidRPr="00FA72EF">
        <w:rPr>
          <w:color w:val="FF0000"/>
          <w:szCs w:val="24"/>
        </w:rPr>
        <w:t xml:space="preserve"> (White Staff) = </w:t>
      </w:r>
      <w:r w:rsidRPr="00FA72EF">
        <w:rPr>
          <w:b/>
          <w:color w:val="FF0000"/>
          <w:szCs w:val="24"/>
        </w:rPr>
        <w:t>1.</w:t>
      </w:r>
      <w:r>
        <w:rPr>
          <w:b/>
          <w:color w:val="FF0000"/>
          <w:szCs w:val="24"/>
        </w:rPr>
        <w:t>81</w:t>
      </w:r>
      <w:r w:rsidRPr="00FA72EF">
        <w:rPr>
          <w:b/>
          <w:color w:val="FF0000"/>
          <w:szCs w:val="24"/>
        </w:rPr>
        <w:t xml:space="preserve"> times greater. </w:t>
      </w:r>
    </w:p>
    <w:p w:rsidR="00A702A0" w:rsidRPr="00A702A0" w:rsidRDefault="00A702A0" w:rsidP="00A702A0">
      <w:pPr>
        <w:rPr>
          <w:b/>
          <w:szCs w:val="24"/>
        </w:rPr>
      </w:pPr>
      <w:r w:rsidRPr="00A702A0">
        <w:rPr>
          <w:color w:val="FF0000"/>
          <w:szCs w:val="24"/>
        </w:rPr>
        <w:t>In this instance, the data suggests</w:t>
      </w:r>
      <w:r w:rsidRPr="00A702A0">
        <w:rPr>
          <w:b/>
          <w:color w:val="FF0000"/>
          <w:szCs w:val="24"/>
        </w:rPr>
        <w:t xml:space="preserve"> </w:t>
      </w:r>
      <w:r w:rsidRPr="00A702A0">
        <w:rPr>
          <w:color w:val="FF0000"/>
          <w:szCs w:val="24"/>
        </w:rPr>
        <w:t xml:space="preserve">BME </w:t>
      </w:r>
      <w:proofErr w:type="gramStart"/>
      <w:r w:rsidRPr="00A702A0">
        <w:rPr>
          <w:color w:val="FF0000"/>
          <w:szCs w:val="24"/>
        </w:rPr>
        <w:t>staff are</w:t>
      </w:r>
      <w:proofErr w:type="gramEnd"/>
      <w:r w:rsidRPr="00A702A0">
        <w:rPr>
          <w:color w:val="FF0000"/>
          <w:szCs w:val="24"/>
        </w:rPr>
        <w:t xml:space="preserve"> more likely to enter a formal disciplinary process than white staff.</w:t>
      </w:r>
      <w:r w:rsidRPr="00A702A0">
        <w:rPr>
          <w:szCs w:val="24"/>
        </w:rPr>
        <w:br/>
      </w:r>
    </w:p>
    <w:p w:rsidR="00A702A0" w:rsidRDefault="00A702A0" w:rsidP="00A702A0">
      <w:pPr>
        <w:rPr>
          <w:b/>
          <w:szCs w:val="24"/>
        </w:rPr>
      </w:pPr>
      <w:r>
        <w:rPr>
          <w:b/>
          <w:szCs w:val="24"/>
        </w:rPr>
        <w:t>Historical comparison with previous WRES reports</w:t>
      </w:r>
    </w:p>
    <w:p w:rsidR="00A702A0" w:rsidRDefault="00A702A0" w:rsidP="00A702A0">
      <w:pPr>
        <w:jc w:val="center"/>
        <w:rPr>
          <w:b/>
          <w:szCs w:val="24"/>
        </w:rPr>
      </w:pPr>
      <w:r>
        <w:rPr>
          <w:noProof/>
          <w:lang w:eastAsia="en-GB"/>
        </w:rPr>
        <w:drawing>
          <wp:inline distT="0" distB="0" distL="0" distR="0" wp14:anchorId="29B5200E" wp14:editId="249B7601">
            <wp:extent cx="4572000" cy="1790700"/>
            <wp:effectExtent l="0" t="0" r="0" b="0"/>
            <wp:docPr id="35" name="Chart 35" title="Historical comparative data for disciplinary process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702A0" w:rsidRDefault="00A702A0" w:rsidP="00A702A0">
      <w:pPr>
        <w:rPr>
          <w:szCs w:val="23"/>
        </w:rPr>
      </w:pPr>
      <w:r>
        <w:rPr>
          <w:szCs w:val="23"/>
        </w:rPr>
        <w:t xml:space="preserve">In the above chart, white </w:t>
      </w:r>
      <w:proofErr w:type="gramStart"/>
      <w:r>
        <w:rPr>
          <w:szCs w:val="23"/>
        </w:rPr>
        <w:t>staff have</w:t>
      </w:r>
      <w:proofErr w:type="gramEnd"/>
      <w:r>
        <w:rPr>
          <w:szCs w:val="23"/>
        </w:rPr>
        <w:t xml:space="preserve"> a constant measure of 1.0. For BME staff, if the bar is below the white staff line, it would suggest; that BME staff are less likely to enter the formal disciplinary process than white staff. Naturally, if the BME staff bar is above, it would suggest that they have a great chance of entering formal disciplinary procedures.</w:t>
      </w:r>
    </w:p>
    <w:p w:rsidR="00A702A0" w:rsidRDefault="00A702A0" w:rsidP="00A702A0">
      <w:pPr>
        <w:rPr>
          <w:szCs w:val="23"/>
        </w:rPr>
      </w:pPr>
      <w:r>
        <w:rPr>
          <w:szCs w:val="23"/>
        </w:rPr>
        <w:t xml:space="preserve">Using the rule of four-fifths, if the likelihood of BME staff is below 0.8 or above 1.2, it would suggest there is an adverse statistical impact. In 2019 and 2020, BME </w:t>
      </w:r>
      <w:proofErr w:type="gramStart"/>
      <w:r>
        <w:rPr>
          <w:szCs w:val="23"/>
        </w:rPr>
        <w:t>staff were</w:t>
      </w:r>
      <w:proofErr w:type="gramEnd"/>
      <w:r>
        <w:rPr>
          <w:szCs w:val="23"/>
        </w:rPr>
        <w:t xml:space="preserve"> less likely to enter formal disciplinary processes than white staff; in 2021, BME staff were more likely.</w:t>
      </w:r>
    </w:p>
    <w:p w:rsidR="00A702A0" w:rsidRDefault="00A702A0" w:rsidP="00A702A0">
      <w:pPr>
        <w:rPr>
          <w:szCs w:val="24"/>
        </w:rPr>
      </w:pPr>
      <w:r w:rsidRPr="5D672D39">
        <w:rPr>
          <w:szCs w:val="24"/>
        </w:rPr>
        <w:t>There was an error in the calculation in the 2019 report. The report incorrectly stated the likelihood is 0.07; this should be 0.73</w:t>
      </w:r>
      <w:r w:rsidR="002D3ED5">
        <w:rPr>
          <w:szCs w:val="24"/>
        </w:rPr>
        <w:t>,</w:t>
      </w:r>
      <w:r w:rsidRPr="5D672D39">
        <w:rPr>
          <w:szCs w:val="24"/>
        </w:rPr>
        <w:t xml:space="preserve"> as highlighted in the chart above.</w:t>
      </w:r>
    </w:p>
    <w:p w:rsidR="00C21D45" w:rsidRDefault="00C21D45" w:rsidP="00A702A0">
      <w:pPr>
        <w:rPr>
          <w:b/>
          <w:bCs/>
          <w:szCs w:val="24"/>
        </w:rPr>
      </w:pPr>
    </w:p>
    <w:p w:rsidR="00C21D45" w:rsidRDefault="00C21D45" w:rsidP="00C21D45">
      <w:pPr>
        <w:pStyle w:val="Heading2"/>
      </w:pPr>
      <w:bookmarkStart w:id="25" w:name="Indicator_4"/>
      <w:bookmarkStart w:id="26" w:name="_Toc79152362"/>
      <w:r w:rsidRPr="00613CA7">
        <w:t>Indicator 4 - Relative likelihood of staff accessing non-mandatory training and CPD.</w:t>
      </w:r>
      <w:bookmarkEnd w:id="26"/>
    </w:p>
    <w:p w:rsidR="00C21D45" w:rsidRDefault="00C21D45" w:rsidP="00C21D45"/>
    <w:p w:rsidR="00C21D45" w:rsidRPr="004C04C6" w:rsidRDefault="00C21D45" w:rsidP="00C21D45">
      <w:pPr>
        <w:pStyle w:val="Heading3"/>
      </w:pPr>
      <w:bookmarkStart w:id="27" w:name="_Toc79152363"/>
      <w:r w:rsidRPr="004C04C6">
        <w:t>Brighton and Sussex University Hospitals NHS Trust:</w:t>
      </w:r>
      <w:bookmarkEnd w:id="27"/>
    </w:p>
    <w:p w:rsidR="00C21D45" w:rsidRDefault="00C21D45" w:rsidP="00C21D45">
      <w:pPr>
        <w:autoSpaceDE w:val="0"/>
        <w:autoSpaceDN w:val="0"/>
        <w:adjustRightInd w:val="0"/>
        <w:spacing w:after="0" w:line="240" w:lineRule="auto"/>
        <w:rPr>
          <w:b/>
          <w:color w:val="0072C6"/>
          <w:szCs w:val="23"/>
        </w:rPr>
      </w:pPr>
    </w:p>
    <w:tbl>
      <w:tblPr>
        <w:tblW w:w="8854" w:type="dxa"/>
        <w:tblInd w:w="93" w:type="dxa"/>
        <w:tblLook w:val="04A0" w:firstRow="1" w:lastRow="0" w:firstColumn="1" w:lastColumn="0" w:noHBand="0" w:noVBand="1"/>
        <w:tblCaption w:val="Breakdown of access to non-mandatory/CPD by ethnicity"/>
      </w:tblPr>
      <w:tblGrid>
        <w:gridCol w:w="2300"/>
        <w:gridCol w:w="2520"/>
        <w:gridCol w:w="2017"/>
        <w:gridCol w:w="2017"/>
      </w:tblGrid>
      <w:tr w:rsidR="00C21D45" w:rsidRPr="00C21D45" w:rsidTr="00C21D45">
        <w:trPr>
          <w:cantSplit/>
          <w:trHeight w:val="324"/>
          <w:tblHeader/>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1D45" w:rsidRPr="00C21D45" w:rsidRDefault="00C21D45" w:rsidP="008145A4">
            <w:pPr>
              <w:spacing w:after="0" w:line="240" w:lineRule="auto"/>
              <w:rPr>
                <w:rFonts w:eastAsia="Times New Roman"/>
                <w:b/>
                <w:lang w:eastAsia="en-GB"/>
              </w:rPr>
            </w:pPr>
            <w:r w:rsidRPr="00C21D45">
              <w:rPr>
                <w:rFonts w:eastAsia="Times New Roman"/>
                <w:b/>
                <w:lang w:eastAsia="en-GB"/>
              </w:rPr>
              <w:t>Staff Ethnicity</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1D45" w:rsidRPr="00C21D45" w:rsidRDefault="00C21D45" w:rsidP="008145A4">
            <w:pPr>
              <w:spacing w:after="0" w:line="240" w:lineRule="auto"/>
              <w:rPr>
                <w:rFonts w:eastAsia="Times New Roman"/>
                <w:b/>
                <w:bCs/>
                <w:szCs w:val="24"/>
                <w:lang w:eastAsia="en-GB"/>
              </w:rPr>
            </w:pPr>
            <w:r w:rsidRPr="00C21D45">
              <w:rPr>
                <w:rFonts w:eastAsia="Times New Roman"/>
                <w:b/>
                <w:bCs/>
                <w:szCs w:val="24"/>
                <w:lang w:eastAsia="en-GB"/>
              </w:rPr>
              <w:t>Number in workforce</w:t>
            </w: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1D45" w:rsidRPr="00C21D45" w:rsidRDefault="00C21D45" w:rsidP="008145A4">
            <w:pPr>
              <w:spacing w:after="0" w:line="240" w:lineRule="auto"/>
              <w:rPr>
                <w:rFonts w:eastAsia="Times New Roman"/>
                <w:b/>
                <w:bCs/>
                <w:szCs w:val="24"/>
                <w:lang w:eastAsia="en-GB"/>
              </w:rPr>
            </w:pPr>
            <w:r w:rsidRPr="00C21D45">
              <w:rPr>
                <w:rFonts w:eastAsia="Times New Roman"/>
                <w:b/>
                <w:bCs/>
                <w:szCs w:val="24"/>
                <w:lang w:eastAsia="en-GB"/>
              </w:rPr>
              <w:t>No. of staff accessing non-mandatory/CPD training</w:t>
            </w: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1D45" w:rsidRPr="00C21D45" w:rsidRDefault="00C21D45" w:rsidP="008145A4">
            <w:pPr>
              <w:spacing w:after="0" w:line="240" w:lineRule="auto"/>
              <w:rPr>
                <w:rFonts w:eastAsia="Times New Roman"/>
                <w:b/>
                <w:bCs/>
                <w:szCs w:val="24"/>
                <w:lang w:eastAsia="en-GB"/>
              </w:rPr>
            </w:pPr>
            <w:r w:rsidRPr="00C21D45">
              <w:rPr>
                <w:rFonts w:eastAsia="Times New Roman"/>
                <w:b/>
                <w:bCs/>
                <w:szCs w:val="24"/>
                <w:lang w:eastAsia="en-GB"/>
              </w:rPr>
              <w:t>Relative likelihood of accessing non-mandatory/CPD training</w:t>
            </w:r>
          </w:p>
        </w:tc>
      </w:tr>
      <w:tr w:rsidR="00C21D45" w:rsidRPr="004F22DF" w:rsidTr="00C21D45">
        <w:trPr>
          <w:cantSplit/>
          <w:trHeight w:val="343"/>
          <w:tblHeader/>
        </w:trPr>
        <w:tc>
          <w:tcPr>
            <w:tcW w:w="2300"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C21D45" w:rsidRPr="004F22DF" w:rsidRDefault="00C21D45" w:rsidP="001E0F80">
            <w:pPr>
              <w:spacing w:after="0" w:line="240" w:lineRule="auto"/>
              <w:rPr>
                <w:rFonts w:eastAsia="Times New Roman"/>
                <w:b/>
                <w:bCs/>
                <w:color w:val="000000"/>
                <w:szCs w:val="24"/>
                <w:lang w:eastAsia="en-GB"/>
              </w:rPr>
            </w:pPr>
            <w:r w:rsidRPr="004F22DF">
              <w:rPr>
                <w:rFonts w:eastAsia="Times New Roman"/>
                <w:b/>
                <w:bCs/>
                <w:color w:val="000000"/>
                <w:szCs w:val="24"/>
                <w:lang w:eastAsia="en-GB"/>
              </w:rPr>
              <w:lastRenderedPageBreak/>
              <w:t>White</w:t>
            </w:r>
          </w:p>
        </w:tc>
        <w:tc>
          <w:tcPr>
            <w:tcW w:w="2520"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C21D45" w:rsidRPr="00C73B12" w:rsidRDefault="00C21D45" w:rsidP="001E0F80">
            <w:pPr>
              <w:jc w:val="center"/>
              <w:rPr>
                <w:color w:val="000000"/>
                <w:szCs w:val="24"/>
              </w:rPr>
            </w:pPr>
            <w:r>
              <w:rPr>
                <w:color w:val="000000"/>
                <w:szCs w:val="24"/>
              </w:rPr>
              <w:t>6890</w:t>
            </w:r>
          </w:p>
        </w:tc>
        <w:tc>
          <w:tcPr>
            <w:tcW w:w="2017"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C21D45" w:rsidRPr="00C73B12" w:rsidRDefault="00C21D45" w:rsidP="001E0F80">
            <w:pPr>
              <w:jc w:val="center"/>
              <w:rPr>
                <w:color w:val="000000"/>
                <w:szCs w:val="24"/>
              </w:rPr>
            </w:pPr>
            <w:r>
              <w:rPr>
                <w:color w:val="000000"/>
                <w:szCs w:val="24"/>
              </w:rPr>
              <w:t>261</w:t>
            </w:r>
          </w:p>
        </w:tc>
        <w:tc>
          <w:tcPr>
            <w:tcW w:w="2017" w:type="dxa"/>
            <w:tcBorders>
              <w:top w:val="single" w:sz="4" w:space="0" w:color="auto"/>
              <w:left w:val="single" w:sz="12" w:space="0" w:color="auto"/>
              <w:bottom w:val="single" w:sz="12" w:space="0" w:color="auto"/>
              <w:right w:val="single" w:sz="12" w:space="0" w:color="auto"/>
            </w:tcBorders>
            <w:shd w:val="clear" w:color="auto" w:fill="auto"/>
            <w:noWrap/>
          </w:tcPr>
          <w:p w:rsidR="00C21D45" w:rsidRPr="00350419" w:rsidRDefault="00C21D45" w:rsidP="001E0F80">
            <w:pPr>
              <w:jc w:val="center"/>
            </w:pPr>
            <w:r w:rsidRPr="00350419">
              <w:t>0.038</w:t>
            </w:r>
          </w:p>
        </w:tc>
      </w:tr>
      <w:tr w:rsidR="00C21D45" w:rsidRPr="004F22DF" w:rsidTr="001E0F80">
        <w:trPr>
          <w:cantSplit/>
          <w:trHeight w:val="324"/>
          <w:tblHeader/>
        </w:trPr>
        <w:tc>
          <w:tcPr>
            <w:tcW w:w="23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21D45" w:rsidRPr="004F22DF" w:rsidRDefault="00C21D45" w:rsidP="001E0F80">
            <w:pPr>
              <w:spacing w:after="0" w:line="240" w:lineRule="auto"/>
              <w:rPr>
                <w:rFonts w:eastAsia="Times New Roman"/>
                <w:b/>
                <w:bCs/>
                <w:color w:val="000000"/>
                <w:szCs w:val="24"/>
                <w:lang w:eastAsia="en-GB"/>
              </w:rPr>
            </w:pPr>
            <w:r w:rsidRPr="004F22DF">
              <w:rPr>
                <w:rFonts w:eastAsia="Times New Roman"/>
                <w:b/>
                <w:bCs/>
                <w:color w:val="000000"/>
                <w:szCs w:val="24"/>
                <w:lang w:eastAsia="en-GB"/>
              </w:rPr>
              <w:t>BME</w:t>
            </w:r>
          </w:p>
        </w:tc>
        <w:tc>
          <w:tcPr>
            <w:tcW w:w="25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1D45" w:rsidRPr="00C73B12" w:rsidRDefault="00C21D45" w:rsidP="001E0F80">
            <w:pPr>
              <w:jc w:val="center"/>
              <w:rPr>
                <w:color w:val="000000"/>
                <w:szCs w:val="24"/>
              </w:rPr>
            </w:pPr>
            <w:r>
              <w:rPr>
                <w:color w:val="000000"/>
                <w:szCs w:val="24"/>
              </w:rPr>
              <w:t>1725</w:t>
            </w:r>
          </w:p>
        </w:tc>
        <w:tc>
          <w:tcPr>
            <w:tcW w:w="201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1D45" w:rsidRPr="00C73B12" w:rsidRDefault="00C21D45" w:rsidP="001E0F80">
            <w:pPr>
              <w:jc w:val="center"/>
              <w:rPr>
                <w:color w:val="000000"/>
                <w:szCs w:val="24"/>
              </w:rPr>
            </w:pPr>
            <w:r>
              <w:rPr>
                <w:color w:val="000000"/>
                <w:szCs w:val="24"/>
              </w:rPr>
              <w:t>70</w:t>
            </w:r>
          </w:p>
        </w:tc>
        <w:tc>
          <w:tcPr>
            <w:tcW w:w="2017" w:type="dxa"/>
            <w:tcBorders>
              <w:top w:val="single" w:sz="12" w:space="0" w:color="auto"/>
              <w:left w:val="single" w:sz="12" w:space="0" w:color="auto"/>
              <w:bottom w:val="single" w:sz="12" w:space="0" w:color="auto"/>
              <w:right w:val="single" w:sz="12" w:space="0" w:color="auto"/>
            </w:tcBorders>
            <w:shd w:val="clear" w:color="auto" w:fill="auto"/>
            <w:noWrap/>
          </w:tcPr>
          <w:p w:rsidR="00C21D45" w:rsidRPr="00350419" w:rsidRDefault="00C21D45" w:rsidP="001E0F80">
            <w:pPr>
              <w:jc w:val="center"/>
            </w:pPr>
            <w:r w:rsidRPr="00350419">
              <w:t>0.041</w:t>
            </w:r>
          </w:p>
        </w:tc>
      </w:tr>
      <w:tr w:rsidR="00C21D45" w:rsidRPr="004F22DF" w:rsidTr="001E0F80">
        <w:trPr>
          <w:cantSplit/>
          <w:trHeight w:val="324"/>
          <w:tblHeader/>
        </w:trPr>
        <w:tc>
          <w:tcPr>
            <w:tcW w:w="23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21D45" w:rsidRPr="004F22DF" w:rsidRDefault="00C21D45" w:rsidP="001E0F80">
            <w:pPr>
              <w:spacing w:after="0" w:line="240" w:lineRule="auto"/>
              <w:rPr>
                <w:rFonts w:eastAsia="Times New Roman"/>
                <w:b/>
                <w:bCs/>
                <w:color w:val="000000"/>
                <w:szCs w:val="24"/>
                <w:lang w:eastAsia="en-GB"/>
              </w:rPr>
            </w:pPr>
            <w:r w:rsidRPr="004F22DF">
              <w:rPr>
                <w:rFonts w:eastAsia="Times New Roman"/>
                <w:b/>
                <w:bCs/>
                <w:color w:val="000000"/>
                <w:szCs w:val="24"/>
                <w:lang w:eastAsia="en-GB"/>
              </w:rPr>
              <w:t>Unknown</w:t>
            </w:r>
          </w:p>
        </w:tc>
        <w:tc>
          <w:tcPr>
            <w:tcW w:w="25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1D45" w:rsidRPr="00C73B12" w:rsidRDefault="00C21D45" w:rsidP="001E0F80">
            <w:pPr>
              <w:jc w:val="center"/>
              <w:rPr>
                <w:color w:val="000000"/>
                <w:szCs w:val="24"/>
              </w:rPr>
            </w:pPr>
            <w:r>
              <w:rPr>
                <w:color w:val="000000"/>
                <w:szCs w:val="24"/>
              </w:rPr>
              <w:t>258</w:t>
            </w:r>
          </w:p>
        </w:tc>
        <w:tc>
          <w:tcPr>
            <w:tcW w:w="201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1D45" w:rsidRPr="00C73B12" w:rsidRDefault="00C21D45" w:rsidP="001E0F80">
            <w:pPr>
              <w:jc w:val="center"/>
              <w:rPr>
                <w:color w:val="000000"/>
                <w:szCs w:val="24"/>
              </w:rPr>
            </w:pPr>
            <w:r>
              <w:rPr>
                <w:color w:val="000000"/>
                <w:szCs w:val="24"/>
              </w:rPr>
              <w:t>3</w:t>
            </w:r>
          </w:p>
        </w:tc>
        <w:tc>
          <w:tcPr>
            <w:tcW w:w="2017" w:type="dxa"/>
            <w:tcBorders>
              <w:top w:val="single" w:sz="12" w:space="0" w:color="auto"/>
              <w:left w:val="single" w:sz="12" w:space="0" w:color="auto"/>
              <w:bottom w:val="single" w:sz="12" w:space="0" w:color="auto"/>
              <w:right w:val="single" w:sz="12" w:space="0" w:color="auto"/>
            </w:tcBorders>
            <w:shd w:val="clear" w:color="auto" w:fill="auto"/>
            <w:noWrap/>
          </w:tcPr>
          <w:p w:rsidR="00C21D45" w:rsidRPr="00350419" w:rsidRDefault="00C21D45" w:rsidP="001E0F80">
            <w:pPr>
              <w:jc w:val="center"/>
            </w:pPr>
            <w:r w:rsidRPr="00350419">
              <w:t>0.012</w:t>
            </w:r>
          </w:p>
        </w:tc>
      </w:tr>
      <w:tr w:rsidR="00C21D45" w:rsidRPr="00171428" w:rsidTr="001E0F80">
        <w:trPr>
          <w:cantSplit/>
          <w:trHeight w:val="324"/>
          <w:tblHeader/>
        </w:trPr>
        <w:tc>
          <w:tcPr>
            <w:tcW w:w="23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21D45" w:rsidRPr="00171428" w:rsidRDefault="00C21D45" w:rsidP="001E0F80">
            <w:pPr>
              <w:spacing w:after="0" w:line="240" w:lineRule="auto"/>
              <w:rPr>
                <w:rFonts w:eastAsia="Times New Roman"/>
                <w:b/>
                <w:bCs/>
                <w:color w:val="000000"/>
                <w:szCs w:val="24"/>
                <w:lang w:eastAsia="en-GB"/>
              </w:rPr>
            </w:pPr>
            <w:r w:rsidRPr="004F22DF">
              <w:rPr>
                <w:rFonts w:eastAsia="Times New Roman"/>
                <w:b/>
                <w:bCs/>
                <w:color w:val="000000"/>
                <w:szCs w:val="24"/>
                <w:lang w:eastAsia="en-GB"/>
              </w:rPr>
              <w:t>Total</w:t>
            </w:r>
          </w:p>
        </w:tc>
        <w:tc>
          <w:tcPr>
            <w:tcW w:w="25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1D45" w:rsidRPr="00C73B12" w:rsidRDefault="00C21D45" w:rsidP="001E0F80">
            <w:pPr>
              <w:jc w:val="center"/>
              <w:rPr>
                <w:color w:val="000000"/>
                <w:szCs w:val="24"/>
              </w:rPr>
            </w:pPr>
            <w:r>
              <w:rPr>
                <w:color w:val="000000"/>
                <w:szCs w:val="24"/>
              </w:rPr>
              <w:t>8873</w:t>
            </w:r>
          </w:p>
        </w:tc>
        <w:tc>
          <w:tcPr>
            <w:tcW w:w="201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1D45" w:rsidRPr="00C73B12" w:rsidRDefault="00C21D45" w:rsidP="001E0F80">
            <w:pPr>
              <w:jc w:val="center"/>
              <w:rPr>
                <w:color w:val="000000"/>
                <w:szCs w:val="24"/>
              </w:rPr>
            </w:pPr>
            <w:r>
              <w:rPr>
                <w:color w:val="000000"/>
                <w:szCs w:val="24"/>
              </w:rPr>
              <w:t>334</w:t>
            </w:r>
          </w:p>
        </w:tc>
        <w:tc>
          <w:tcPr>
            <w:tcW w:w="2017" w:type="dxa"/>
            <w:tcBorders>
              <w:top w:val="single" w:sz="12" w:space="0" w:color="auto"/>
              <w:left w:val="single" w:sz="12" w:space="0" w:color="auto"/>
              <w:bottom w:val="single" w:sz="12" w:space="0" w:color="auto"/>
              <w:right w:val="single" w:sz="12" w:space="0" w:color="auto"/>
            </w:tcBorders>
            <w:shd w:val="clear" w:color="000000" w:fill="DCE6F1"/>
            <w:noWrap/>
            <w:vAlign w:val="center"/>
          </w:tcPr>
          <w:p w:rsidR="00C21D45" w:rsidRPr="00C73B12" w:rsidRDefault="00C21D45" w:rsidP="001E0F80">
            <w:pPr>
              <w:jc w:val="center"/>
              <w:rPr>
                <w:rFonts w:ascii="Calibri" w:hAnsi="Calibri"/>
                <w:color w:val="000000"/>
              </w:rPr>
            </w:pPr>
          </w:p>
        </w:tc>
      </w:tr>
    </w:tbl>
    <w:p w:rsidR="00C21D45" w:rsidRDefault="00C21D45" w:rsidP="00C21D45">
      <w:pPr>
        <w:autoSpaceDE w:val="0"/>
        <w:autoSpaceDN w:val="0"/>
        <w:adjustRightInd w:val="0"/>
        <w:spacing w:after="0" w:line="240" w:lineRule="auto"/>
        <w:rPr>
          <w:b/>
          <w:color w:val="0072C6"/>
          <w:szCs w:val="23"/>
        </w:rPr>
      </w:pPr>
    </w:p>
    <w:p w:rsidR="00C21D45" w:rsidRPr="004F22DF" w:rsidRDefault="00C21D45" w:rsidP="00C21D45">
      <w:pPr>
        <w:spacing w:line="240" w:lineRule="auto"/>
        <w:rPr>
          <w:szCs w:val="24"/>
        </w:rPr>
      </w:pPr>
      <w:r w:rsidRPr="004F22DF">
        <w:rPr>
          <w:szCs w:val="24"/>
        </w:rPr>
        <w:t>Likelihood of white staff accessing non-mandatory/CPD training</w:t>
      </w:r>
      <w:proofErr w:type="gramStart"/>
      <w:r w:rsidRPr="004F22DF">
        <w:rPr>
          <w:szCs w:val="24"/>
        </w:rPr>
        <w:t>:</w:t>
      </w:r>
      <w:proofErr w:type="gramEnd"/>
      <w:r w:rsidRPr="004F22DF">
        <w:rPr>
          <w:szCs w:val="24"/>
        </w:rPr>
        <w:br/>
      </w:r>
      <w:r>
        <w:rPr>
          <w:szCs w:val="24"/>
        </w:rPr>
        <w:t>261</w:t>
      </w:r>
      <w:r w:rsidRPr="004F22DF">
        <w:rPr>
          <w:szCs w:val="24"/>
        </w:rPr>
        <w:t xml:space="preserve"> / </w:t>
      </w:r>
      <w:r>
        <w:rPr>
          <w:szCs w:val="24"/>
        </w:rPr>
        <w:t>6890</w:t>
      </w:r>
      <w:r w:rsidRPr="004F22DF">
        <w:rPr>
          <w:szCs w:val="24"/>
        </w:rPr>
        <w:t xml:space="preserve"> = </w:t>
      </w:r>
      <w:r w:rsidRPr="006E195B">
        <w:rPr>
          <w:szCs w:val="24"/>
        </w:rPr>
        <w:t>0.0</w:t>
      </w:r>
      <w:r>
        <w:rPr>
          <w:szCs w:val="24"/>
        </w:rPr>
        <w:t>38</w:t>
      </w:r>
    </w:p>
    <w:p w:rsidR="00C21D45" w:rsidRPr="004F22DF" w:rsidRDefault="00C21D45" w:rsidP="00C21D45">
      <w:pPr>
        <w:spacing w:line="240" w:lineRule="auto"/>
        <w:rPr>
          <w:szCs w:val="24"/>
        </w:rPr>
      </w:pPr>
      <w:r w:rsidRPr="004F22DF">
        <w:rPr>
          <w:szCs w:val="24"/>
        </w:rPr>
        <w:t>Likelihood of BME staff accessing non-mandatory/CPD training</w:t>
      </w:r>
      <w:proofErr w:type="gramStart"/>
      <w:r w:rsidRPr="004F22DF">
        <w:rPr>
          <w:szCs w:val="24"/>
        </w:rPr>
        <w:t>:</w:t>
      </w:r>
      <w:proofErr w:type="gramEnd"/>
      <w:r w:rsidRPr="004F22DF">
        <w:rPr>
          <w:szCs w:val="24"/>
        </w:rPr>
        <w:br/>
      </w:r>
      <w:r>
        <w:rPr>
          <w:szCs w:val="24"/>
        </w:rPr>
        <w:t>70</w:t>
      </w:r>
      <w:r w:rsidRPr="004F22DF">
        <w:rPr>
          <w:szCs w:val="24"/>
        </w:rPr>
        <w:t xml:space="preserve"> / </w:t>
      </w:r>
      <w:r>
        <w:rPr>
          <w:szCs w:val="24"/>
        </w:rPr>
        <w:t>1725</w:t>
      </w:r>
      <w:r w:rsidRPr="004F22DF">
        <w:rPr>
          <w:szCs w:val="24"/>
        </w:rPr>
        <w:t xml:space="preserve"> = </w:t>
      </w:r>
      <w:r w:rsidRPr="006E195B">
        <w:rPr>
          <w:szCs w:val="24"/>
        </w:rPr>
        <w:t>0.04</w:t>
      </w:r>
      <w:r>
        <w:rPr>
          <w:szCs w:val="24"/>
        </w:rPr>
        <w:t>1</w:t>
      </w:r>
      <w:r w:rsidRPr="004F22DF">
        <w:rPr>
          <w:szCs w:val="24"/>
        </w:rPr>
        <w:br/>
      </w:r>
    </w:p>
    <w:p w:rsidR="00C21D45" w:rsidRPr="004F22DF" w:rsidRDefault="00C21D45" w:rsidP="00C21D45">
      <w:pPr>
        <w:rPr>
          <w:b/>
          <w:color w:val="009E49"/>
          <w:szCs w:val="24"/>
        </w:rPr>
      </w:pPr>
      <w:r w:rsidRPr="004F22DF">
        <w:rPr>
          <w:color w:val="009E49"/>
          <w:szCs w:val="24"/>
        </w:rPr>
        <w:t xml:space="preserve">Relative likelihood of white staff accessing non-mandatory/CPD training compared to BME staff: </w:t>
      </w:r>
      <w:r>
        <w:rPr>
          <w:color w:val="009E49"/>
          <w:szCs w:val="24"/>
        </w:rPr>
        <w:t>0.038</w:t>
      </w:r>
      <w:r w:rsidRPr="004F22DF">
        <w:rPr>
          <w:color w:val="009E49"/>
          <w:szCs w:val="24"/>
        </w:rPr>
        <w:t xml:space="preserve"> (White Staff) / 0.0</w:t>
      </w:r>
      <w:r>
        <w:rPr>
          <w:color w:val="009E49"/>
          <w:szCs w:val="24"/>
        </w:rPr>
        <w:t>41</w:t>
      </w:r>
      <w:r w:rsidRPr="004F22DF">
        <w:rPr>
          <w:color w:val="009E49"/>
          <w:szCs w:val="24"/>
        </w:rPr>
        <w:t xml:space="preserve"> (BME Staff) = </w:t>
      </w:r>
      <w:r>
        <w:rPr>
          <w:b/>
          <w:color w:val="009E49"/>
          <w:szCs w:val="24"/>
        </w:rPr>
        <w:t>0.93</w:t>
      </w:r>
      <w:r w:rsidRPr="004F22DF">
        <w:rPr>
          <w:b/>
          <w:color w:val="009E49"/>
          <w:szCs w:val="24"/>
        </w:rPr>
        <w:t xml:space="preserve"> times</w:t>
      </w:r>
      <w:r>
        <w:rPr>
          <w:b/>
          <w:color w:val="009E49"/>
          <w:szCs w:val="24"/>
        </w:rPr>
        <w:t>.</w:t>
      </w:r>
    </w:p>
    <w:p w:rsidR="00C21D45" w:rsidRPr="00C21D45" w:rsidRDefault="00C21D45" w:rsidP="00C21D45">
      <w:pPr>
        <w:rPr>
          <w:b/>
          <w:szCs w:val="24"/>
        </w:rPr>
      </w:pPr>
      <w:r w:rsidRPr="00C21D45">
        <w:rPr>
          <w:rFonts w:eastAsia="Times New Roman"/>
          <w:color w:val="009E49"/>
          <w:szCs w:val="28"/>
          <w:lang w:eastAsia="en-GB"/>
        </w:rPr>
        <w:t xml:space="preserve">In this instance, the data suggests white </w:t>
      </w:r>
      <w:proofErr w:type="gramStart"/>
      <w:r w:rsidRPr="00C21D45">
        <w:rPr>
          <w:rFonts w:eastAsia="Times New Roman"/>
          <w:color w:val="009E49"/>
          <w:szCs w:val="28"/>
          <w:lang w:eastAsia="en-GB"/>
        </w:rPr>
        <w:t>staff are</w:t>
      </w:r>
      <w:proofErr w:type="gramEnd"/>
      <w:r w:rsidRPr="00C21D45">
        <w:rPr>
          <w:rFonts w:eastAsia="Times New Roman"/>
          <w:color w:val="009E49"/>
          <w:szCs w:val="28"/>
          <w:lang w:eastAsia="en-GB"/>
        </w:rPr>
        <w:t xml:space="preserve"> less likely to access non-mandatory/CPD training than BME staff.</w:t>
      </w:r>
      <w:r w:rsidRPr="00C21D45">
        <w:rPr>
          <w:szCs w:val="24"/>
        </w:rPr>
        <w:br/>
      </w:r>
    </w:p>
    <w:p w:rsidR="00C21D45" w:rsidRDefault="00C21D45" w:rsidP="00C21D45">
      <w:pPr>
        <w:rPr>
          <w:b/>
          <w:szCs w:val="24"/>
        </w:rPr>
      </w:pPr>
      <w:r>
        <w:rPr>
          <w:b/>
          <w:szCs w:val="24"/>
        </w:rPr>
        <w:t>Historical comparison with previous WRES reports</w:t>
      </w:r>
    </w:p>
    <w:p w:rsidR="00C21D45" w:rsidRDefault="00C21D45" w:rsidP="00C21D45">
      <w:pPr>
        <w:jc w:val="center"/>
        <w:rPr>
          <w:szCs w:val="23"/>
        </w:rPr>
      </w:pPr>
      <w:r>
        <w:rPr>
          <w:noProof/>
          <w:lang w:eastAsia="en-GB"/>
        </w:rPr>
        <w:drawing>
          <wp:inline distT="0" distB="0" distL="0" distR="0" wp14:anchorId="24BC2001" wp14:editId="60249410">
            <wp:extent cx="5019675" cy="2181225"/>
            <wp:effectExtent l="0" t="0" r="0" b="0"/>
            <wp:docPr id="12" name="Chart 12" title="Chart showing historical comparative data for non-mandatory/CPD train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21D45" w:rsidRDefault="00C21D45" w:rsidP="00C21D45">
      <w:pPr>
        <w:rPr>
          <w:szCs w:val="23"/>
        </w:rPr>
      </w:pPr>
      <w:r>
        <w:rPr>
          <w:szCs w:val="23"/>
        </w:rPr>
        <w:t xml:space="preserve">In the above chart, BME </w:t>
      </w:r>
      <w:proofErr w:type="gramStart"/>
      <w:r>
        <w:rPr>
          <w:szCs w:val="23"/>
        </w:rPr>
        <w:t>staff have</w:t>
      </w:r>
      <w:proofErr w:type="gramEnd"/>
      <w:r>
        <w:rPr>
          <w:szCs w:val="23"/>
        </w:rPr>
        <w:t xml:space="preserve"> a constant measure of 1.0. If the bar for white staff is below the BME line, it would suggest; that white staff are less likely to access non-mandatory/CPD than BME staff. Naturally, if the white applicant bar is above, it would indicate that they have a greater chance of accessing non-mandatory/CPD.</w:t>
      </w:r>
    </w:p>
    <w:p w:rsidR="00C21D45" w:rsidRDefault="00C21D45" w:rsidP="00C21D45">
      <w:pPr>
        <w:rPr>
          <w:szCs w:val="23"/>
        </w:rPr>
      </w:pPr>
      <w:r>
        <w:rPr>
          <w:szCs w:val="23"/>
        </w:rPr>
        <w:t xml:space="preserve">Using the rule of four-fifths, if the likelihood of white staff is below 0.8 or above 1.2, it would suggest there is an adverse statistical impact. In 2019 and 2021, BME </w:t>
      </w:r>
      <w:proofErr w:type="gramStart"/>
      <w:r>
        <w:rPr>
          <w:szCs w:val="23"/>
        </w:rPr>
        <w:t>staff were</w:t>
      </w:r>
      <w:proofErr w:type="gramEnd"/>
      <w:r>
        <w:rPr>
          <w:szCs w:val="23"/>
        </w:rPr>
        <w:t xml:space="preserve"> more likely to access training; in 2020, BME staff were less likely.</w:t>
      </w:r>
    </w:p>
    <w:p w:rsidR="00C21D45" w:rsidRDefault="00C21D45" w:rsidP="00C21D45">
      <w:pPr>
        <w:rPr>
          <w:szCs w:val="23"/>
        </w:rPr>
      </w:pPr>
      <w:r>
        <w:rPr>
          <w:szCs w:val="23"/>
        </w:rPr>
        <w:t>This analysis is limited by the numbers of staff declaring ethnicity and whether all training opportunities have been captured.</w:t>
      </w:r>
    </w:p>
    <w:p w:rsidR="00C21D45" w:rsidRPr="00BF3AE8" w:rsidRDefault="00C21D45" w:rsidP="00C21D45">
      <w:pPr>
        <w:rPr>
          <w:b/>
          <w:szCs w:val="23"/>
        </w:rPr>
      </w:pPr>
      <w:r w:rsidRPr="00BF3AE8">
        <w:rPr>
          <w:b/>
          <w:szCs w:val="23"/>
        </w:rPr>
        <w:lastRenderedPageBreak/>
        <w:t>BSUH Data including Apprenticeships:</w:t>
      </w:r>
    </w:p>
    <w:tbl>
      <w:tblPr>
        <w:tblW w:w="8854" w:type="dxa"/>
        <w:tblInd w:w="93" w:type="dxa"/>
        <w:tblLook w:val="04A0" w:firstRow="1" w:lastRow="0" w:firstColumn="1" w:lastColumn="0" w:noHBand="0" w:noVBand="1"/>
        <w:tblCaption w:val="Breakdown of access to non-mandatory/CPD by ethnicity"/>
      </w:tblPr>
      <w:tblGrid>
        <w:gridCol w:w="2300"/>
        <w:gridCol w:w="2520"/>
        <w:gridCol w:w="2017"/>
        <w:gridCol w:w="2017"/>
      </w:tblGrid>
      <w:tr w:rsidR="00C21D45" w:rsidRPr="00C21D45" w:rsidTr="001E0F80">
        <w:trPr>
          <w:cantSplit/>
          <w:trHeight w:val="324"/>
          <w:tblHeader/>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1D45" w:rsidRPr="00C21D45" w:rsidRDefault="00C21D45" w:rsidP="008145A4">
            <w:pPr>
              <w:spacing w:after="0" w:line="240" w:lineRule="auto"/>
              <w:rPr>
                <w:rFonts w:eastAsia="Times New Roman"/>
                <w:b/>
                <w:lang w:eastAsia="en-GB"/>
              </w:rPr>
            </w:pPr>
            <w:r w:rsidRPr="00C21D45">
              <w:rPr>
                <w:rFonts w:eastAsia="Times New Roman"/>
                <w:b/>
                <w:lang w:eastAsia="en-GB"/>
              </w:rPr>
              <w:t>Staff Ethnicity</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1D45" w:rsidRPr="00C21D45" w:rsidRDefault="00C21D45" w:rsidP="008145A4">
            <w:pPr>
              <w:spacing w:after="0" w:line="240" w:lineRule="auto"/>
              <w:rPr>
                <w:rFonts w:eastAsia="Times New Roman"/>
                <w:b/>
                <w:bCs/>
                <w:szCs w:val="24"/>
                <w:lang w:eastAsia="en-GB"/>
              </w:rPr>
            </w:pPr>
            <w:r w:rsidRPr="00C21D45">
              <w:rPr>
                <w:rFonts w:eastAsia="Times New Roman"/>
                <w:b/>
                <w:bCs/>
                <w:szCs w:val="24"/>
                <w:lang w:eastAsia="en-GB"/>
              </w:rPr>
              <w:t>Number in workforce</w:t>
            </w: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1D45" w:rsidRPr="00C21D45" w:rsidRDefault="00C21D45" w:rsidP="008145A4">
            <w:pPr>
              <w:spacing w:after="0" w:line="240" w:lineRule="auto"/>
              <w:rPr>
                <w:rFonts w:eastAsia="Times New Roman"/>
                <w:b/>
                <w:bCs/>
                <w:szCs w:val="24"/>
                <w:lang w:eastAsia="en-GB"/>
              </w:rPr>
            </w:pPr>
            <w:r w:rsidRPr="00C21D45">
              <w:rPr>
                <w:rFonts w:eastAsia="Times New Roman"/>
                <w:b/>
                <w:bCs/>
                <w:szCs w:val="24"/>
                <w:lang w:eastAsia="en-GB"/>
              </w:rPr>
              <w:t>No. of staff accessing non-mandatory/CPD training</w:t>
            </w: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1D45" w:rsidRPr="00C21D45" w:rsidRDefault="00C21D45" w:rsidP="008145A4">
            <w:pPr>
              <w:spacing w:after="0" w:line="240" w:lineRule="auto"/>
              <w:rPr>
                <w:rFonts w:eastAsia="Times New Roman"/>
                <w:b/>
                <w:bCs/>
                <w:szCs w:val="24"/>
                <w:lang w:eastAsia="en-GB"/>
              </w:rPr>
            </w:pPr>
            <w:r w:rsidRPr="00C21D45">
              <w:rPr>
                <w:rFonts w:eastAsia="Times New Roman"/>
                <w:b/>
                <w:bCs/>
                <w:szCs w:val="24"/>
                <w:lang w:eastAsia="en-GB"/>
              </w:rPr>
              <w:t>Relative likelihood of accessing non-mandatory/CPD training</w:t>
            </w:r>
          </w:p>
        </w:tc>
      </w:tr>
      <w:tr w:rsidR="00C21D45" w:rsidRPr="004F22DF" w:rsidTr="001E0F80">
        <w:trPr>
          <w:cantSplit/>
          <w:trHeight w:val="343"/>
          <w:tblHeader/>
        </w:trPr>
        <w:tc>
          <w:tcPr>
            <w:tcW w:w="23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21D45" w:rsidRPr="004F22DF" w:rsidRDefault="00C21D45" w:rsidP="001E0F80">
            <w:pPr>
              <w:spacing w:after="0" w:line="240" w:lineRule="auto"/>
              <w:rPr>
                <w:rFonts w:eastAsia="Times New Roman"/>
                <w:b/>
                <w:bCs/>
                <w:color w:val="000000"/>
                <w:szCs w:val="24"/>
                <w:lang w:eastAsia="en-GB"/>
              </w:rPr>
            </w:pPr>
            <w:r w:rsidRPr="004F22DF">
              <w:rPr>
                <w:rFonts w:eastAsia="Times New Roman"/>
                <w:b/>
                <w:bCs/>
                <w:color w:val="000000"/>
                <w:szCs w:val="24"/>
                <w:lang w:eastAsia="en-GB"/>
              </w:rPr>
              <w:t>White</w:t>
            </w:r>
          </w:p>
        </w:tc>
        <w:tc>
          <w:tcPr>
            <w:tcW w:w="2520" w:type="dxa"/>
            <w:tcBorders>
              <w:top w:val="single" w:sz="12" w:space="0" w:color="auto"/>
              <w:left w:val="single" w:sz="12" w:space="0" w:color="auto"/>
              <w:bottom w:val="single" w:sz="12" w:space="0" w:color="auto"/>
              <w:right w:val="single" w:sz="12" w:space="0" w:color="auto"/>
            </w:tcBorders>
            <w:shd w:val="clear" w:color="auto" w:fill="auto"/>
            <w:noWrap/>
          </w:tcPr>
          <w:p w:rsidR="00C21D45" w:rsidRPr="00521730" w:rsidRDefault="00C21D45" w:rsidP="001E0F80">
            <w:pPr>
              <w:jc w:val="center"/>
            </w:pPr>
            <w:r w:rsidRPr="00521730">
              <w:t>6890</w:t>
            </w:r>
          </w:p>
        </w:tc>
        <w:tc>
          <w:tcPr>
            <w:tcW w:w="2017" w:type="dxa"/>
            <w:tcBorders>
              <w:top w:val="single" w:sz="12" w:space="0" w:color="auto"/>
              <w:left w:val="single" w:sz="12" w:space="0" w:color="auto"/>
              <w:bottom w:val="single" w:sz="12" w:space="0" w:color="auto"/>
              <w:right w:val="single" w:sz="12" w:space="0" w:color="auto"/>
            </w:tcBorders>
            <w:shd w:val="clear" w:color="auto" w:fill="auto"/>
            <w:noWrap/>
          </w:tcPr>
          <w:p w:rsidR="00C21D45" w:rsidRPr="00521730" w:rsidRDefault="00C21D45" w:rsidP="001E0F80">
            <w:pPr>
              <w:jc w:val="center"/>
            </w:pPr>
            <w:r w:rsidRPr="00521730">
              <w:t>401</w:t>
            </w:r>
          </w:p>
        </w:tc>
        <w:tc>
          <w:tcPr>
            <w:tcW w:w="2017" w:type="dxa"/>
            <w:tcBorders>
              <w:top w:val="single" w:sz="12" w:space="0" w:color="auto"/>
              <w:left w:val="single" w:sz="12" w:space="0" w:color="auto"/>
              <w:bottom w:val="single" w:sz="12" w:space="0" w:color="auto"/>
              <w:right w:val="single" w:sz="12" w:space="0" w:color="auto"/>
            </w:tcBorders>
            <w:shd w:val="clear" w:color="auto" w:fill="auto"/>
            <w:noWrap/>
          </w:tcPr>
          <w:p w:rsidR="00C21D45" w:rsidRPr="00521730" w:rsidRDefault="00C21D45" w:rsidP="001E0F80">
            <w:pPr>
              <w:jc w:val="center"/>
            </w:pPr>
            <w:r w:rsidRPr="00521730">
              <w:t>0.058</w:t>
            </w:r>
          </w:p>
        </w:tc>
      </w:tr>
      <w:tr w:rsidR="00C21D45" w:rsidRPr="004F22DF" w:rsidTr="001E0F80">
        <w:trPr>
          <w:cantSplit/>
          <w:trHeight w:val="324"/>
          <w:tblHeader/>
        </w:trPr>
        <w:tc>
          <w:tcPr>
            <w:tcW w:w="23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21D45" w:rsidRPr="004F22DF" w:rsidRDefault="00C21D45" w:rsidP="001E0F80">
            <w:pPr>
              <w:spacing w:after="0" w:line="240" w:lineRule="auto"/>
              <w:rPr>
                <w:rFonts w:eastAsia="Times New Roman"/>
                <w:b/>
                <w:bCs/>
                <w:color w:val="000000"/>
                <w:szCs w:val="24"/>
                <w:lang w:eastAsia="en-GB"/>
              </w:rPr>
            </w:pPr>
            <w:r w:rsidRPr="004F22DF">
              <w:rPr>
                <w:rFonts w:eastAsia="Times New Roman"/>
                <w:b/>
                <w:bCs/>
                <w:color w:val="000000"/>
                <w:szCs w:val="24"/>
                <w:lang w:eastAsia="en-GB"/>
              </w:rPr>
              <w:t>BME</w:t>
            </w:r>
          </w:p>
        </w:tc>
        <w:tc>
          <w:tcPr>
            <w:tcW w:w="2520" w:type="dxa"/>
            <w:tcBorders>
              <w:top w:val="single" w:sz="12" w:space="0" w:color="auto"/>
              <w:left w:val="single" w:sz="12" w:space="0" w:color="auto"/>
              <w:bottom w:val="single" w:sz="12" w:space="0" w:color="auto"/>
              <w:right w:val="single" w:sz="12" w:space="0" w:color="auto"/>
            </w:tcBorders>
            <w:shd w:val="clear" w:color="auto" w:fill="auto"/>
            <w:noWrap/>
          </w:tcPr>
          <w:p w:rsidR="00C21D45" w:rsidRPr="00521730" w:rsidRDefault="00C21D45" w:rsidP="001E0F80">
            <w:pPr>
              <w:jc w:val="center"/>
            </w:pPr>
            <w:r w:rsidRPr="00521730">
              <w:t>1725</w:t>
            </w:r>
          </w:p>
        </w:tc>
        <w:tc>
          <w:tcPr>
            <w:tcW w:w="2017" w:type="dxa"/>
            <w:tcBorders>
              <w:top w:val="single" w:sz="12" w:space="0" w:color="auto"/>
              <w:left w:val="single" w:sz="12" w:space="0" w:color="auto"/>
              <w:bottom w:val="single" w:sz="12" w:space="0" w:color="auto"/>
              <w:right w:val="single" w:sz="12" w:space="0" w:color="auto"/>
            </w:tcBorders>
            <w:shd w:val="clear" w:color="auto" w:fill="auto"/>
            <w:noWrap/>
          </w:tcPr>
          <w:p w:rsidR="00C21D45" w:rsidRPr="00521730" w:rsidRDefault="00C21D45" w:rsidP="001E0F80">
            <w:pPr>
              <w:jc w:val="center"/>
            </w:pPr>
            <w:r w:rsidRPr="00521730">
              <w:t>94</w:t>
            </w:r>
          </w:p>
        </w:tc>
        <w:tc>
          <w:tcPr>
            <w:tcW w:w="2017" w:type="dxa"/>
            <w:tcBorders>
              <w:top w:val="single" w:sz="12" w:space="0" w:color="auto"/>
              <w:left w:val="single" w:sz="12" w:space="0" w:color="auto"/>
              <w:bottom w:val="single" w:sz="12" w:space="0" w:color="auto"/>
              <w:right w:val="single" w:sz="12" w:space="0" w:color="auto"/>
            </w:tcBorders>
            <w:shd w:val="clear" w:color="auto" w:fill="auto"/>
            <w:noWrap/>
          </w:tcPr>
          <w:p w:rsidR="00C21D45" w:rsidRPr="00521730" w:rsidRDefault="00C21D45" w:rsidP="001E0F80">
            <w:pPr>
              <w:jc w:val="center"/>
            </w:pPr>
            <w:r w:rsidRPr="00521730">
              <w:t>0.054</w:t>
            </w:r>
          </w:p>
        </w:tc>
      </w:tr>
      <w:tr w:rsidR="00C21D45" w:rsidRPr="004F22DF" w:rsidTr="001E0F80">
        <w:trPr>
          <w:cantSplit/>
          <w:trHeight w:val="324"/>
          <w:tblHeader/>
        </w:trPr>
        <w:tc>
          <w:tcPr>
            <w:tcW w:w="23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21D45" w:rsidRPr="004F22DF" w:rsidRDefault="00C21D45" w:rsidP="001E0F80">
            <w:pPr>
              <w:spacing w:after="0" w:line="240" w:lineRule="auto"/>
              <w:rPr>
                <w:rFonts w:eastAsia="Times New Roman"/>
                <w:b/>
                <w:bCs/>
                <w:color w:val="000000"/>
                <w:szCs w:val="24"/>
                <w:lang w:eastAsia="en-GB"/>
              </w:rPr>
            </w:pPr>
            <w:r w:rsidRPr="004F22DF">
              <w:rPr>
                <w:rFonts w:eastAsia="Times New Roman"/>
                <w:b/>
                <w:bCs/>
                <w:color w:val="000000"/>
                <w:szCs w:val="24"/>
                <w:lang w:eastAsia="en-GB"/>
              </w:rPr>
              <w:t>Unknown</w:t>
            </w:r>
          </w:p>
        </w:tc>
        <w:tc>
          <w:tcPr>
            <w:tcW w:w="2520" w:type="dxa"/>
            <w:tcBorders>
              <w:top w:val="single" w:sz="12" w:space="0" w:color="auto"/>
              <w:left w:val="single" w:sz="12" w:space="0" w:color="auto"/>
              <w:bottom w:val="single" w:sz="12" w:space="0" w:color="auto"/>
              <w:right w:val="single" w:sz="12" w:space="0" w:color="auto"/>
            </w:tcBorders>
            <w:shd w:val="clear" w:color="auto" w:fill="auto"/>
            <w:noWrap/>
          </w:tcPr>
          <w:p w:rsidR="00C21D45" w:rsidRPr="00521730" w:rsidRDefault="00C21D45" w:rsidP="001E0F80">
            <w:pPr>
              <w:jc w:val="center"/>
            </w:pPr>
            <w:r w:rsidRPr="00521730">
              <w:t>258</w:t>
            </w:r>
          </w:p>
        </w:tc>
        <w:tc>
          <w:tcPr>
            <w:tcW w:w="2017" w:type="dxa"/>
            <w:tcBorders>
              <w:top w:val="single" w:sz="12" w:space="0" w:color="auto"/>
              <w:left w:val="single" w:sz="12" w:space="0" w:color="auto"/>
              <w:bottom w:val="single" w:sz="12" w:space="0" w:color="auto"/>
              <w:right w:val="single" w:sz="12" w:space="0" w:color="auto"/>
            </w:tcBorders>
            <w:shd w:val="clear" w:color="auto" w:fill="auto"/>
            <w:noWrap/>
          </w:tcPr>
          <w:p w:rsidR="00C21D45" w:rsidRPr="00521730" w:rsidRDefault="00C21D45" w:rsidP="001E0F80">
            <w:pPr>
              <w:jc w:val="center"/>
            </w:pPr>
            <w:r w:rsidRPr="00521730">
              <w:t>3</w:t>
            </w:r>
          </w:p>
        </w:tc>
        <w:tc>
          <w:tcPr>
            <w:tcW w:w="2017" w:type="dxa"/>
            <w:tcBorders>
              <w:top w:val="single" w:sz="12" w:space="0" w:color="auto"/>
              <w:left w:val="single" w:sz="12" w:space="0" w:color="auto"/>
              <w:bottom w:val="single" w:sz="12" w:space="0" w:color="auto"/>
              <w:right w:val="single" w:sz="12" w:space="0" w:color="auto"/>
            </w:tcBorders>
            <w:shd w:val="clear" w:color="auto" w:fill="auto"/>
            <w:noWrap/>
          </w:tcPr>
          <w:p w:rsidR="00C21D45" w:rsidRPr="00521730" w:rsidRDefault="00C21D45" w:rsidP="001E0F80">
            <w:pPr>
              <w:jc w:val="center"/>
            </w:pPr>
            <w:r w:rsidRPr="00521730">
              <w:t>0.012</w:t>
            </w:r>
          </w:p>
        </w:tc>
      </w:tr>
      <w:tr w:rsidR="00C21D45" w:rsidRPr="00171428" w:rsidTr="001E0F80">
        <w:trPr>
          <w:cantSplit/>
          <w:trHeight w:val="324"/>
          <w:tblHeader/>
        </w:trPr>
        <w:tc>
          <w:tcPr>
            <w:tcW w:w="23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21D45" w:rsidRPr="00171428" w:rsidRDefault="00C21D45" w:rsidP="001E0F80">
            <w:pPr>
              <w:spacing w:after="0" w:line="240" w:lineRule="auto"/>
              <w:rPr>
                <w:rFonts w:eastAsia="Times New Roman"/>
                <w:b/>
                <w:bCs/>
                <w:color w:val="000000"/>
                <w:szCs w:val="24"/>
                <w:lang w:eastAsia="en-GB"/>
              </w:rPr>
            </w:pPr>
            <w:r w:rsidRPr="004F22DF">
              <w:rPr>
                <w:rFonts w:eastAsia="Times New Roman"/>
                <w:b/>
                <w:bCs/>
                <w:color w:val="000000"/>
                <w:szCs w:val="24"/>
                <w:lang w:eastAsia="en-GB"/>
              </w:rPr>
              <w:t>Total</w:t>
            </w:r>
          </w:p>
        </w:tc>
        <w:tc>
          <w:tcPr>
            <w:tcW w:w="2520" w:type="dxa"/>
            <w:tcBorders>
              <w:top w:val="single" w:sz="12" w:space="0" w:color="auto"/>
              <w:left w:val="single" w:sz="12" w:space="0" w:color="auto"/>
              <w:bottom w:val="single" w:sz="12" w:space="0" w:color="auto"/>
              <w:right w:val="single" w:sz="12" w:space="0" w:color="auto"/>
            </w:tcBorders>
            <w:shd w:val="clear" w:color="auto" w:fill="auto"/>
            <w:noWrap/>
          </w:tcPr>
          <w:p w:rsidR="00C21D45" w:rsidRPr="00521730" w:rsidRDefault="00C21D45" w:rsidP="001E0F80">
            <w:pPr>
              <w:jc w:val="center"/>
            </w:pPr>
            <w:r w:rsidRPr="00521730">
              <w:t>8873</w:t>
            </w:r>
          </w:p>
        </w:tc>
        <w:tc>
          <w:tcPr>
            <w:tcW w:w="2017" w:type="dxa"/>
            <w:tcBorders>
              <w:top w:val="single" w:sz="12" w:space="0" w:color="auto"/>
              <w:left w:val="single" w:sz="12" w:space="0" w:color="auto"/>
              <w:bottom w:val="single" w:sz="12" w:space="0" w:color="auto"/>
              <w:right w:val="single" w:sz="12" w:space="0" w:color="auto"/>
            </w:tcBorders>
            <w:shd w:val="clear" w:color="auto" w:fill="auto"/>
            <w:noWrap/>
          </w:tcPr>
          <w:p w:rsidR="00C21D45" w:rsidRPr="00521730" w:rsidRDefault="00C21D45" w:rsidP="001E0F80">
            <w:pPr>
              <w:jc w:val="center"/>
            </w:pPr>
            <w:r w:rsidRPr="00521730">
              <w:t>498</w:t>
            </w:r>
          </w:p>
        </w:tc>
        <w:tc>
          <w:tcPr>
            <w:tcW w:w="2017" w:type="dxa"/>
            <w:tcBorders>
              <w:top w:val="single" w:sz="12" w:space="0" w:color="auto"/>
              <w:left w:val="single" w:sz="12" w:space="0" w:color="auto"/>
              <w:bottom w:val="single" w:sz="12" w:space="0" w:color="auto"/>
              <w:right w:val="single" w:sz="12" w:space="0" w:color="auto"/>
            </w:tcBorders>
            <w:shd w:val="clear" w:color="000000" w:fill="DCE6F1"/>
            <w:noWrap/>
          </w:tcPr>
          <w:p w:rsidR="00C21D45" w:rsidRPr="00521730" w:rsidRDefault="00C21D45" w:rsidP="001E0F80">
            <w:pPr>
              <w:jc w:val="center"/>
            </w:pPr>
          </w:p>
        </w:tc>
      </w:tr>
    </w:tbl>
    <w:p w:rsidR="00C21D45" w:rsidRPr="004F22DF" w:rsidRDefault="008145A4" w:rsidP="00C21D45">
      <w:pPr>
        <w:spacing w:line="240" w:lineRule="auto"/>
        <w:rPr>
          <w:szCs w:val="24"/>
        </w:rPr>
      </w:pPr>
      <w:r>
        <w:rPr>
          <w:szCs w:val="24"/>
        </w:rPr>
        <w:br/>
      </w:r>
      <w:r w:rsidR="00C21D45" w:rsidRPr="004F22DF">
        <w:rPr>
          <w:szCs w:val="24"/>
        </w:rPr>
        <w:t>Likelihood of white staff accessing non-mandatory/CPD training</w:t>
      </w:r>
      <w:proofErr w:type="gramStart"/>
      <w:r w:rsidR="00C21D45" w:rsidRPr="004F22DF">
        <w:rPr>
          <w:szCs w:val="24"/>
        </w:rPr>
        <w:t>:</w:t>
      </w:r>
      <w:proofErr w:type="gramEnd"/>
      <w:r w:rsidR="00C21D45" w:rsidRPr="004F22DF">
        <w:rPr>
          <w:szCs w:val="24"/>
        </w:rPr>
        <w:br/>
      </w:r>
      <w:r w:rsidR="00C21D45">
        <w:rPr>
          <w:szCs w:val="24"/>
        </w:rPr>
        <w:t>401</w:t>
      </w:r>
      <w:r w:rsidR="00C21D45" w:rsidRPr="004F22DF">
        <w:rPr>
          <w:szCs w:val="24"/>
        </w:rPr>
        <w:t xml:space="preserve"> / </w:t>
      </w:r>
      <w:r w:rsidR="00C21D45">
        <w:rPr>
          <w:szCs w:val="24"/>
        </w:rPr>
        <w:t>6890</w:t>
      </w:r>
      <w:r w:rsidR="00C21D45" w:rsidRPr="004F22DF">
        <w:rPr>
          <w:szCs w:val="24"/>
        </w:rPr>
        <w:t xml:space="preserve"> = </w:t>
      </w:r>
      <w:r w:rsidR="00C21D45" w:rsidRPr="006E195B">
        <w:rPr>
          <w:szCs w:val="24"/>
        </w:rPr>
        <w:t>0.0</w:t>
      </w:r>
      <w:r w:rsidR="00C21D45">
        <w:rPr>
          <w:szCs w:val="24"/>
        </w:rPr>
        <w:t>58</w:t>
      </w:r>
    </w:p>
    <w:p w:rsidR="008145A4" w:rsidRPr="00346C5F" w:rsidRDefault="00C21D45" w:rsidP="008145A4">
      <w:pPr>
        <w:rPr>
          <w:b/>
          <w:color w:val="FF0000"/>
          <w:szCs w:val="24"/>
        </w:rPr>
      </w:pPr>
      <w:r w:rsidRPr="004F22DF">
        <w:rPr>
          <w:szCs w:val="24"/>
        </w:rPr>
        <w:t>Likelihood of BME staff accessing non-mandatory/CPD training</w:t>
      </w:r>
      <w:proofErr w:type="gramStart"/>
      <w:r w:rsidRPr="004F22DF">
        <w:rPr>
          <w:szCs w:val="24"/>
        </w:rPr>
        <w:t>:</w:t>
      </w:r>
      <w:proofErr w:type="gramEnd"/>
      <w:r w:rsidRPr="004F22DF">
        <w:rPr>
          <w:szCs w:val="24"/>
        </w:rPr>
        <w:br/>
      </w:r>
      <w:r>
        <w:rPr>
          <w:szCs w:val="24"/>
        </w:rPr>
        <w:t>94</w:t>
      </w:r>
      <w:r w:rsidRPr="004F22DF">
        <w:rPr>
          <w:szCs w:val="24"/>
        </w:rPr>
        <w:t xml:space="preserve"> / </w:t>
      </w:r>
      <w:r>
        <w:rPr>
          <w:szCs w:val="24"/>
        </w:rPr>
        <w:t>1725</w:t>
      </w:r>
      <w:r w:rsidRPr="004F22DF">
        <w:rPr>
          <w:szCs w:val="24"/>
        </w:rPr>
        <w:t xml:space="preserve"> = </w:t>
      </w:r>
      <w:r w:rsidRPr="006E195B">
        <w:rPr>
          <w:szCs w:val="24"/>
        </w:rPr>
        <w:t>0.0</w:t>
      </w:r>
      <w:r>
        <w:rPr>
          <w:szCs w:val="24"/>
        </w:rPr>
        <w:t>54</w:t>
      </w:r>
      <w:r w:rsidRPr="004F22DF">
        <w:rPr>
          <w:szCs w:val="24"/>
        </w:rPr>
        <w:br/>
      </w:r>
      <w:r w:rsidR="008145A4">
        <w:rPr>
          <w:szCs w:val="24"/>
        </w:rPr>
        <w:br/>
      </w:r>
      <w:r w:rsidR="008145A4" w:rsidRPr="00346C5F">
        <w:rPr>
          <w:color w:val="FF0000"/>
          <w:szCs w:val="24"/>
        </w:rPr>
        <w:t xml:space="preserve">Relative likelihood of white staff accessing non-mandatory/CPD training compared to BME staff: 0.058 (White Staff) / 0.054 (BME Staff) = </w:t>
      </w:r>
      <w:r w:rsidR="008145A4" w:rsidRPr="00346C5F">
        <w:rPr>
          <w:b/>
          <w:color w:val="FF0000"/>
          <w:szCs w:val="24"/>
        </w:rPr>
        <w:t>1.07 times.</w:t>
      </w:r>
    </w:p>
    <w:p w:rsidR="00C21D45" w:rsidRPr="008145A4" w:rsidRDefault="008145A4" w:rsidP="008145A4">
      <w:pPr>
        <w:spacing w:line="240" w:lineRule="auto"/>
        <w:rPr>
          <w:szCs w:val="24"/>
        </w:rPr>
      </w:pPr>
      <w:r w:rsidRPr="008145A4">
        <w:rPr>
          <w:rFonts w:eastAsia="Times New Roman"/>
          <w:color w:val="FF0000"/>
          <w:szCs w:val="28"/>
          <w:lang w:eastAsia="en-GB"/>
        </w:rPr>
        <w:t xml:space="preserve">In this instance, the data suggests white </w:t>
      </w:r>
      <w:proofErr w:type="gramStart"/>
      <w:r w:rsidRPr="008145A4">
        <w:rPr>
          <w:rFonts w:eastAsia="Times New Roman"/>
          <w:color w:val="FF0000"/>
          <w:szCs w:val="28"/>
          <w:lang w:eastAsia="en-GB"/>
        </w:rPr>
        <w:t>staff are</w:t>
      </w:r>
      <w:proofErr w:type="gramEnd"/>
      <w:r w:rsidRPr="008145A4">
        <w:rPr>
          <w:rFonts w:eastAsia="Times New Roman"/>
          <w:color w:val="FF0000"/>
          <w:szCs w:val="28"/>
          <w:lang w:eastAsia="en-GB"/>
        </w:rPr>
        <w:t xml:space="preserve"> slightly more likely to access non-mandatory/CPD training than BME staff.</w:t>
      </w:r>
    </w:p>
    <w:p w:rsidR="00C21D45" w:rsidRDefault="00C21D45" w:rsidP="00C21D45">
      <w:pPr>
        <w:rPr>
          <w:b/>
        </w:rPr>
      </w:pPr>
      <w:r>
        <w:rPr>
          <w:b/>
        </w:rPr>
        <w:br/>
      </w:r>
      <w:r>
        <w:rPr>
          <w:noProof/>
          <w:lang w:eastAsia="en-GB"/>
        </w:rPr>
        <w:drawing>
          <wp:inline distT="0" distB="0" distL="0" distR="0" wp14:anchorId="76511183" wp14:editId="1F19B76B">
            <wp:extent cx="5731510" cy="3013379"/>
            <wp:effectExtent l="0" t="0" r="2540" b="0"/>
            <wp:docPr id="1" name="Chart 1" title="Historical comparative data for non-mandatory/CPD train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21D45" w:rsidRDefault="00C21D45" w:rsidP="00C21D45">
      <w:pPr>
        <w:rPr>
          <w:szCs w:val="23"/>
        </w:rPr>
      </w:pPr>
      <w:r>
        <w:rPr>
          <w:szCs w:val="23"/>
        </w:rPr>
        <w:t xml:space="preserve">In the above chart, BME </w:t>
      </w:r>
      <w:proofErr w:type="gramStart"/>
      <w:r>
        <w:rPr>
          <w:szCs w:val="23"/>
        </w:rPr>
        <w:t>staff have</w:t>
      </w:r>
      <w:proofErr w:type="gramEnd"/>
      <w:r>
        <w:rPr>
          <w:szCs w:val="23"/>
        </w:rPr>
        <w:t xml:space="preserve"> a constant measure of 1.0. If the bar for white staff is below the BME line, it would suggest that white </w:t>
      </w:r>
      <w:proofErr w:type="gramStart"/>
      <w:r>
        <w:rPr>
          <w:szCs w:val="23"/>
        </w:rPr>
        <w:t>staff are</w:t>
      </w:r>
      <w:proofErr w:type="gramEnd"/>
      <w:r>
        <w:rPr>
          <w:szCs w:val="23"/>
        </w:rPr>
        <w:t xml:space="preserve"> less likely to access </w:t>
      </w:r>
      <w:r>
        <w:rPr>
          <w:szCs w:val="23"/>
        </w:rPr>
        <w:lastRenderedPageBreak/>
        <w:t>non-mandatory/CPD than BME staff. Naturally, if the white applicant bar is above, it would indicate that they have a greater chance of accessing non-mandatory/CPD.</w:t>
      </w:r>
    </w:p>
    <w:p w:rsidR="00C21D45" w:rsidRDefault="00C21D45" w:rsidP="00C21D45">
      <w:pPr>
        <w:rPr>
          <w:szCs w:val="23"/>
        </w:rPr>
      </w:pPr>
      <w:r>
        <w:rPr>
          <w:szCs w:val="23"/>
        </w:rPr>
        <w:t>Using the rule of four-fifths, if the likelihood of white staff is below 0.8 or above 1.2, it would suggest there is an adverse statistical impact.</w:t>
      </w:r>
      <w:r w:rsidR="004C63D6">
        <w:rPr>
          <w:szCs w:val="23"/>
        </w:rPr>
        <w:t xml:space="preserve"> In 2019 BME </w:t>
      </w:r>
      <w:proofErr w:type="gramStart"/>
      <w:r w:rsidR="004C63D6">
        <w:rPr>
          <w:szCs w:val="23"/>
        </w:rPr>
        <w:t>staff were</w:t>
      </w:r>
      <w:proofErr w:type="gramEnd"/>
      <w:r w:rsidR="004C63D6">
        <w:rPr>
          <w:szCs w:val="23"/>
        </w:rPr>
        <w:t xml:space="preserve"> more likely to attend training than white staff; however, in 2020 and 2021, BME staff were less likely.</w:t>
      </w:r>
    </w:p>
    <w:p w:rsidR="00C21D45" w:rsidRPr="00521730" w:rsidRDefault="00C21D45" w:rsidP="00C21D45">
      <w:r>
        <w:t>The 2021 data includes information about the staff that entered into apprenticeships, which the previous years do not consider.</w:t>
      </w:r>
    </w:p>
    <w:p w:rsidR="00C21D45" w:rsidRPr="00E93506" w:rsidRDefault="00C21D45" w:rsidP="00C21D45">
      <w:r w:rsidRPr="00E93506">
        <w:t>This analysis is limited by the numbers of staff declaring ethnicity and whether all training oppo</w:t>
      </w:r>
      <w:r w:rsidR="008145A4">
        <w:t>rtunit</w:t>
      </w:r>
      <w:r w:rsidRPr="00E93506">
        <w:t>ies have been captured.</w:t>
      </w:r>
    </w:p>
    <w:p w:rsidR="00C21D45" w:rsidRDefault="00C21D45" w:rsidP="00C21D45">
      <w:pPr>
        <w:rPr>
          <w:b/>
        </w:rPr>
      </w:pPr>
    </w:p>
    <w:p w:rsidR="00C21D45" w:rsidRPr="004C04C6" w:rsidRDefault="00C21D45" w:rsidP="004C63D6">
      <w:pPr>
        <w:pStyle w:val="Heading3"/>
      </w:pPr>
      <w:bookmarkStart w:id="28" w:name="_Toc79152364"/>
      <w:r w:rsidRPr="009C165D">
        <w:t>Western Sussex Hospitals NHS Foundation Trust:</w:t>
      </w:r>
      <w:bookmarkEnd w:id="28"/>
    </w:p>
    <w:p w:rsidR="00C21D45" w:rsidRDefault="00C21D45" w:rsidP="00C21D45">
      <w:pPr>
        <w:autoSpaceDE w:val="0"/>
        <w:autoSpaceDN w:val="0"/>
        <w:adjustRightInd w:val="0"/>
        <w:spacing w:after="0" w:line="240" w:lineRule="auto"/>
        <w:rPr>
          <w:b/>
          <w:color w:val="0072C6"/>
          <w:szCs w:val="23"/>
        </w:rPr>
      </w:pPr>
    </w:p>
    <w:tbl>
      <w:tblPr>
        <w:tblW w:w="8854" w:type="dxa"/>
        <w:tblInd w:w="93" w:type="dxa"/>
        <w:tblLook w:val="04A0" w:firstRow="1" w:lastRow="0" w:firstColumn="1" w:lastColumn="0" w:noHBand="0" w:noVBand="1"/>
        <w:tblCaption w:val="Breakdown of access to non-mandatory/CPD by ethnicity"/>
      </w:tblPr>
      <w:tblGrid>
        <w:gridCol w:w="2300"/>
        <w:gridCol w:w="2520"/>
        <w:gridCol w:w="2017"/>
        <w:gridCol w:w="2017"/>
      </w:tblGrid>
      <w:tr w:rsidR="004C63D6" w:rsidRPr="00C21D45" w:rsidTr="001E0F80">
        <w:trPr>
          <w:cantSplit/>
          <w:trHeight w:val="324"/>
          <w:tblHeader/>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3D6" w:rsidRPr="00C21D45" w:rsidRDefault="004C63D6" w:rsidP="001E0F80">
            <w:pPr>
              <w:spacing w:after="0" w:line="240" w:lineRule="auto"/>
              <w:rPr>
                <w:rFonts w:eastAsia="Times New Roman"/>
                <w:b/>
                <w:lang w:eastAsia="en-GB"/>
              </w:rPr>
            </w:pPr>
            <w:r w:rsidRPr="00C21D45">
              <w:rPr>
                <w:rFonts w:eastAsia="Times New Roman"/>
                <w:b/>
                <w:lang w:eastAsia="en-GB"/>
              </w:rPr>
              <w:t>Staff Ethnicity</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3D6" w:rsidRPr="00C21D45" w:rsidRDefault="004C63D6" w:rsidP="001E0F80">
            <w:pPr>
              <w:spacing w:after="0" w:line="240" w:lineRule="auto"/>
              <w:rPr>
                <w:rFonts w:eastAsia="Times New Roman"/>
                <w:b/>
                <w:bCs/>
                <w:szCs w:val="24"/>
                <w:lang w:eastAsia="en-GB"/>
              </w:rPr>
            </w:pPr>
            <w:r w:rsidRPr="00C21D45">
              <w:rPr>
                <w:rFonts w:eastAsia="Times New Roman"/>
                <w:b/>
                <w:bCs/>
                <w:szCs w:val="24"/>
                <w:lang w:eastAsia="en-GB"/>
              </w:rPr>
              <w:t>Number in workforce</w:t>
            </w: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3D6" w:rsidRPr="00C21D45" w:rsidRDefault="004C63D6" w:rsidP="001E0F80">
            <w:pPr>
              <w:spacing w:after="0" w:line="240" w:lineRule="auto"/>
              <w:rPr>
                <w:rFonts w:eastAsia="Times New Roman"/>
                <w:b/>
                <w:bCs/>
                <w:szCs w:val="24"/>
                <w:lang w:eastAsia="en-GB"/>
              </w:rPr>
            </w:pPr>
            <w:r w:rsidRPr="00C21D45">
              <w:rPr>
                <w:rFonts w:eastAsia="Times New Roman"/>
                <w:b/>
                <w:bCs/>
                <w:szCs w:val="24"/>
                <w:lang w:eastAsia="en-GB"/>
              </w:rPr>
              <w:t>No. of staff accessing non-mandatory/CPD training</w:t>
            </w:r>
          </w:p>
        </w:tc>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3D6" w:rsidRPr="00C21D45" w:rsidRDefault="004C63D6" w:rsidP="001E0F80">
            <w:pPr>
              <w:spacing w:after="0" w:line="240" w:lineRule="auto"/>
              <w:rPr>
                <w:rFonts w:eastAsia="Times New Roman"/>
                <w:b/>
                <w:bCs/>
                <w:szCs w:val="24"/>
                <w:lang w:eastAsia="en-GB"/>
              </w:rPr>
            </w:pPr>
            <w:r w:rsidRPr="00C21D45">
              <w:rPr>
                <w:rFonts w:eastAsia="Times New Roman"/>
                <w:b/>
                <w:bCs/>
                <w:szCs w:val="24"/>
                <w:lang w:eastAsia="en-GB"/>
              </w:rPr>
              <w:t>Relative likelihood of accessing non-mandatory/CPD training</w:t>
            </w:r>
          </w:p>
        </w:tc>
      </w:tr>
      <w:tr w:rsidR="00C21D45" w:rsidRPr="00BF3AE8" w:rsidTr="001E0F80">
        <w:trPr>
          <w:cantSplit/>
          <w:trHeight w:val="490"/>
          <w:tblHeader/>
        </w:trPr>
        <w:tc>
          <w:tcPr>
            <w:tcW w:w="23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21D45" w:rsidRPr="00BF3AE8" w:rsidRDefault="00C21D45" w:rsidP="001E0F80">
            <w:pPr>
              <w:spacing w:after="0" w:line="240" w:lineRule="auto"/>
              <w:rPr>
                <w:rFonts w:eastAsia="Times New Roman"/>
                <w:b/>
                <w:bCs/>
                <w:color w:val="000000"/>
                <w:lang w:eastAsia="en-GB"/>
              </w:rPr>
            </w:pPr>
            <w:r w:rsidRPr="00BF3AE8">
              <w:rPr>
                <w:rFonts w:eastAsia="Times New Roman"/>
                <w:b/>
                <w:bCs/>
                <w:color w:val="000000"/>
                <w:lang w:eastAsia="en-GB"/>
              </w:rPr>
              <w:t>White</w:t>
            </w:r>
          </w:p>
        </w:tc>
        <w:tc>
          <w:tcPr>
            <w:tcW w:w="25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1D45" w:rsidRPr="00BF3AE8" w:rsidRDefault="00C21D45" w:rsidP="001E0F80">
            <w:pPr>
              <w:jc w:val="center"/>
              <w:rPr>
                <w:color w:val="000000"/>
              </w:rPr>
            </w:pPr>
            <w:r w:rsidRPr="00BF3AE8">
              <w:rPr>
                <w:color w:val="000000"/>
              </w:rPr>
              <w:t>5763</w:t>
            </w:r>
          </w:p>
        </w:tc>
        <w:tc>
          <w:tcPr>
            <w:tcW w:w="201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1D45" w:rsidRPr="00BF3AE8" w:rsidRDefault="00C21D45" w:rsidP="001E0F80">
            <w:pPr>
              <w:jc w:val="center"/>
              <w:rPr>
                <w:color w:val="000000"/>
              </w:rPr>
            </w:pPr>
            <w:r>
              <w:rPr>
                <w:color w:val="000000"/>
              </w:rPr>
              <w:t>468</w:t>
            </w:r>
          </w:p>
        </w:tc>
        <w:tc>
          <w:tcPr>
            <w:tcW w:w="2017" w:type="dxa"/>
            <w:tcBorders>
              <w:top w:val="single" w:sz="12" w:space="0" w:color="auto"/>
              <w:left w:val="single" w:sz="12" w:space="0" w:color="auto"/>
              <w:bottom w:val="single" w:sz="12" w:space="0" w:color="auto"/>
              <w:right w:val="single" w:sz="12" w:space="0" w:color="auto"/>
            </w:tcBorders>
            <w:shd w:val="clear" w:color="auto" w:fill="auto"/>
            <w:noWrap/>
          </w:tcPr>
          <w:p w:rsidR="00C21D45" w:rsidRPr="00BF3AE8" w:rsidRDefault="00C21D45" w:rsidP="001E0F80">
            <w:pPr>
              <w:jc w:val="center"/>
            </w:pPr>
            <w:r>
              <w:t>0.081</w:t>
            </w:r>
          </w:p>
        </w:tc>
      </w:tr>
      <w:tr w:rsidR="00C21D45" w:rsidRPr="00BF3AE8" w:rsidTr="001E0F80">
        <w:trPr>
          <w:cantSplit/>
          <w:trHeight w:val="324"/>
          <w:tblHeader/>
        </w:trPr>
        <w:tc>
          <w:tcPr>
            <w:tcW w:w="23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21D45" w:rsidRPr="00BF3AE8" w:rsidRDefault="00C21D45" w:rsidP="001E0F80">
            <w:pPr>
              <w:spacing w:after="0" w:line="240" w:lineRule="auto"/>
              <w:rPr>
                <w:rFonts w:eastAsia="Times New Roman"/>
                <w:b/>
                <w:bCs/>
                <w:color w:val="000000"/>
                <w:lang w:eastAsia="en-GB"/>
              </w:rPr>
            </w:pPr>
            <w:r w:rsidRPr="00BF3AE8">
              <w:rPr>
                <w:rFonts w:eastAsia="Times New Roman"/>
                <w:b/>
                <w:bCs/>
                <w:color w:val="000000"/>
                <w:lang w:eastAsia="en-GB"/>
              </w:rPr>
              <w:t>BME</w:t>
            </w:r>
          </w:p>
        </w:tc>
        <w:tc>
          <w:tcPr>
            <w:tcW w:w="25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1D45" w:rsidRPr="00BF3AE8" w:rsidRDefault="00C21D45" w:rsidP="001E0F80">
            <w:pPr>
              <w:jc w:val="center"/>
              <w:rPr>
                <w:color w:val="000000"/>
              </w:rPr>
            </w:pPr>
            <w:r w:rsidRPr="00BF3AE8">
              <w:rPr>
                <w:color w:val="000000"/>
              </w:rPr>
              <w:t>1359</w:t>
            </w:r>
          </w:p>
        </w:tc>
        <w:tc>
          <w:tcPr>
            <w:tcW w:w="201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1D45" w:rsidRPr="00BF3AE8" w:rsidRDefault="00C21D45" w:rsidP="001E0F80">
            <w:pPr>
              <w:jc w:val="center"/>
              <w:rPr>
                <w:color w:val="000000"/>
              </w:rPr>
            </w:pPr>
            <w:r>
              <w:rPr>
                <w:color w:val="000000"/>
              </w:rPr>
              <w:t>103</w:t>
            </w:r>
          </w:p>
        </w:tc>
        <w:tc>
          <w:tcPr>
            <w:tcW w:w="2017" w:type="dxa"/>
            <w:tcBorders>
              <w:top w:val="single" w:sz="12" w:space="0" w:color="auto"/>
              <w:left w:val="single" w:sz="12" w:space="0" w:color="auto"/>
              <w:bottom w:val="single" w:sz="12" w:space="0" w:color="auto"/>
              <w:right w:val="single" w:sz="12" w:space="0" w:color="auto"/>
            </w:tcBorders>
            <w:shd w:val="clear" w:color="auto" w:fill="auto"/>
            <w:noWrap/>
          </w:tcPr>
          <w:p w:rsidR="00C21D45" w:rsidRPr="00BF3AE8" w:rsidRDefault="00C21D45" w:rsidP="001E0F80">
            <w:pPr>
              <w:jc w:val="center"/>
            </w:pPr>
            <w:r>
              <w:t>0.076</w:t>
            </w:r>
          </w:p>
        </w:tc>
      </w:tr>
      <w:tr w:rsidR="00C21D45" w:rsidRPr="00BF3AE8" w:rsidTr="001E0F80">
        <w:trPr>
          <w:cantSplit/>
          <w:trHeight w:val="324"/>
          <w:tblHeader/>
        </w:trPr>
        <w:tc>
          <w:tcPr>
            <w:tcW w:w="23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21D45" w:rsidRPr="00BF3AE8" w:rsidRDefault="00C21D45" w:rsidP="001E0F80">
            <w:pPr>
              <w:spacing w:after="0" w:line="240" w:lineRule="auto"/>
              <w:rPr>
                <w:rFonts w:eastAsia="Times New Roman"/>
                <w:b/>
                <w:bCs/>
                <w:color w:val="000000"/>
                <w:lang w:eastAsia="en-GB"/>
              </w:rPr>
            </w:pPr>
            <w:r w:rsidRPr="00BF3AE8">
              <w:rPr>
                <w:rFonts w:eastAsia="Times New Roman"/>
                <w:b/>
                <w:bCs/>
                <w:color w:val="000000"/>
                <w:lang w:eastAsia="en-GB"/>
              </w:rPr>
              <w:t>Unknown</w:t>
            </w:r>
          </w:p>
        </w:tc>
        <w:tc>
          <w:tcPr>
            <w:tcW w:w="25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1D45" w:rsidRPr="00BF3AE8" w:rsidRDefault="00C21D45" w:rsidP="001E0F80">
            <w:pPr>
              <w:jc w:val="center"/>
              <w:rPr>
                <w:color w:val="000000"/>
              </w:rPr>
            </w:pPr>
            <w:r w:rsidRPr="00BF3AE8">
              <w:rPr>
                <w:color w:val="000000"/>
              </w:rPr>
              <w:t>397</w:t>
            </w:r>
          </w:p>
        </w:tc>
        <w:tc>
          <w:tcPr>
            <w:tcW w:w="201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1D45" w:rsidRPr="00BF3AE8" w:rsidRDefault="00C21D45" w:rsidP="001E0F80">
            <w:pPr>
              <w:jc w:val="center"/>
              <w:rPr>
                <w:color w:val="000000"/>
              </w:rPr>
            </w:pPr>
            <w:r>
              <w:rPr>
                <w:color w:val="000000"/>
              </w:rPr>
              <w:t>24</w:t>
            </w:r>
          </w:p>
        </w:tc>
        <w:tc>
          <w:tcPr>
            <w:tcW w:w="2017" w:type="dxa"/>
            <w:tcBorders>
              <w:top w:val="single" w:sz="12" w:space="0" w:color="auto"/>
              <w:left w:val="single" w:sz="12" w:space="0" w:color="auto"/>
              <w:bottom w:val="single" w:sz="12" w:space="0" w:color="auto"/>
              <w:right w:val="single" w:sz="12" w:space="0" w:color="auto"/>
            </w:tcBorders>
            <w:shd w:val="clear" w:color="auto" w:fill="auto"/>
            <w:noWrap/>
          </w:tcPr>
          <w:p w:rsidR="00C21D45" w:rsidRPr="00BF3AE8" w:rsidRDefault="00C21D45" w:rsidP="001E0F80">
            <w:pPr>
              <w:jc w:val="center"/>
            </w:pPr>
            <w:r>
              <w:t>0.060</w:t>
            </w:r>
          </w:p>
        </w:tc>
      </w:tr>
      <w:tr w:rsidR="00C21D45" w:rsidRPr="00BF3AE8" w:rsidTr="001E0F80">
        <w:trPr>
          <w:cantSplit/>
          <w:trHeight w:val="324"/>
          <w:tblHeader/>
        </w:trPr>
        <w:tc>
          <w:tcPr>
            <w:tcW w:w="23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21D45" w:rsidRPr="00BF3AE8" w:rsidRDefault="00C21D45" w:rsidP="001E0F80">
            <w:pPr>
              <w:spacing w:after="0" w:line="240" w:lineRule="auto"/>
              <w:rPr>
                <w:rFonts w:eastAsia="Times New Roman"/>
                <w:b/>
                <w:bCs/>
                <w:color w:val="000000"/>
                <w:lang w:eastAsia="en-GB"/>
              </w:rPr>
            </w:pPr>
            <w:r w:rsidRPr="00BF3AE8">
              <w:rPr>
                <w:rFonts w:eastAsia="Times New Roman"/>
                <w:b/>
                <w:bCs/>
                <w:color w:val="000000"/>
                <w:lang w:eastAsia="en-GB"/>
              </w:rPr>
              <w:t>Total</w:t>
            </w:r>
          </w:p>
        </w:tc>
        <w:tc>
          <w:tcPr>
            <w:tcW w:w="252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1D45" w:rsidRPr="00BF3AE8" w:rsidRDefault="00C21D45" w:rsidP="001E0F80">
            <w:pPr>
              <w:jc w:val="center"/>
              <w:rPr>
                <w:color w:val="000000"/>
              </w:rPr>
            </w:pPr>
            <w:r w:rsidRPr="00BF3AE8">
              <w:rPr>
                <w:color w:val="000000"/>
              </w:rPr>
              <w:t>7519</w:t>
            </w:r>
          </w:p>
        </w:tc>
        <w:tc>
          <w:tcPr>
            <w:tcW w:w="201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21D45" w:rsidRPr="00BF3AE8" w:rsidRDefault="00C21D45" w:rsidP="001E0F80">
            <w:pPr>
              <w:jc w:val="center"/>
              <w:rPr>
                <w:color w:val="000000"/>
              </w:rPr>
            </w:pPr>
            <w:r>
              <w:rPr>
                <w:color w:val="000000"/>
              </w:rPr>
              <w:t>595</w:t>
            </w:r>
          </w:p>
        </w:tc>
        <w:tc>
          <w:tcPr>
            <w:tcW w:w="2017" w:type="dxa"/>
            <w:tcBorders>
              <w:top w:val="single" w:sz="12" w:space="0" w:color="auto"/>
              <w:left w:val="single" w:sz="12" w:space="0" w:color="auto"/>
              <w:bottom w:val="single" w:sz="12" w:space="0" w:color="auto"/>
              <w:right w:val="single" w:sz="12" w:space="0" w:color="auto"/>
            </w:tcBorders>
            <w:shd w:val="clear" w:color="000000" w:fill="DCE6F1"/>
            <w:noWrap/>
            <w:vAlign w:val="center"/>
          </w:tcPr>
          <w:p w:rsidR="00C21D45" w:rsidRPr="00BF3AE8" w:rsidRDefault="00C21D45" w:rsidP="001E0F80">
            <w:pPr>
              <w:jc w:val="center"/>
              <w:rPr>
                <w:color w:val="000000"/>
              </w:rPr>
            </w:pPr>
          </w:p>
        </w:tc>
      </w:tr>
    </w:tbl>
    <w:p w:rsidR="00C21D45" w:rsidRDefault="00C21D45" w:rsidP="00C21D45">
      <w:pPr>
        <w:autoSpaceDE w:val="0"/>
        <w:autoSpaceDN w:val="0"/>
        <w:adjustRightInd w:val="0"/>
        <w:spacing w:after="0" w:line="240" w:lineRule="auto"/>
        <w:rPr>
          <w:b/>
          <w:color w:val="0072C6"/>
          <w:szCs w:val="23"/>
        </w:rPr>
      </w:pPr>
    </w:p>
    <w:p w:rsidR="00C21D45" w:rsidRPr="004F22DF" w:rsidRDefault="00C21D45" w:rsidP="00C21D45">
      <w:pPr>
        <w:spacing w:line="240" w:lineRule="auto"/>
        <w:rPr>
          <w:szCs w:val="24"/>
        </w:rPr>
      </w:pPr>
      <w:r w:rsidRPr="004F22DF">
        <w:rPr>
          <w:szCs w:val="24"/>
        </w:rPr>
        <w:t>Likelihood of white staff accessing non-mandatory/CPD training</w:t>
      </w:r>
      <w:proofErr w:type="gramStart"/>
      <w:r w:rsidRPr="004F22DF">
        <w:rPr>
          <w:szCs w:val="24"/>
        </w:rPr>
        <w:t>:</w:t>
      </w:r>
      <w:proofErr w:type="gramEnd"/>
      <w:r w:rsidRPr="004F22DF">
        <w:rPr>
          <w:szCs w:val="24"/>
        </w:rPr>
        <w:br/>
      </w:r>
      <w:r>
        <w:rPr>
          <w:szCs w:val="24"/>
        </w:rPr>
        <w:t>468</w:t>
      </w:r>
      <w:r w:rsidRPr="004F22DF">
        <w:rPr>
          <w:szCs w:val="24"/>
        </w:rPr>
        <w:t xml:space="preserve"> / </w:t>
      </w:r>
      <w:r>
        <w:rPr>
          <w:szCs w:val="24"/>
        </w:rPr>
        <w:t>5763</w:t>
      </w:r>
      <w:r w:rsidRPr="004F22DF">
        <w:rPr>
          <w:szCs w:val="24"/>
        </w:rPr>
        <w:t xml:space="preserve"> = </w:t>
      </w:r>
      <w:r>
        <w:rPr>
          <w:szCs w:val="24"/>
        </w:rPr>
        <w:t>0.081</w:t>
      </w:r>
    </w:p>
    <w:p w:rsidR="00C21D45" w:rsidRPr="004F22DF" w:rsidRDefault="00C21D45" w:rsidP="00C21D45">
      <w:pPr>
        <w:spacing w:line="240" w:lineRule="auto"/>
        <w:rPr>
          <w:szCs w:val="24"/>
        </w:rPr>
      </w:pPr>
      <w:r w:rsidRPr="004F22DF">
        <w:rPr>
          <w:szCs w:val="24"/>
        </w:rPr>
        <w:t>Likelihood of BME staff accessing non-mandatory/CPD training</w:t>
      </w:r>
      <w:proofErr w:type="gramStart"/>
      <w:r w:rsidRPr="004F22DF">
        <w:rPr>
          <w:szCs w:val="24"/>
        </w:rPr>
        <w:t>:</w:t>
      </w:r>
      <w:proofErr w:type="gramEnd"/>
      <w:r w:rsidRPr="004F22DF">
        <w:rPr>
          <w:szCs w:val="24"/>
        </w:rPr>
        <w:br/>
      </w:r>
      <w:r>
        <w:rPr>
          <w:szCs w:val="24"/>
        </w:rPr>
        <w:t>103</w:t>
      </w:r>
      <w:r w:rsidRPr="004F22DF">
        <w:rPr>
          <w:szCs w:val="24"/>
        </w:rPr>
        <w:t xml:space="preserve"> / </w:t>
      </w:r>
      <w:r>
        <w:rPr>
          <w:szCs w:val="24"/>
        </w:rPr>
        <w:t>1359</w:t>
      </w:r>
      <w:r w:rsidRPr="004F22DF">
        <w:rPr>
          <w:szCs w:val="24"/>
        </w:rPr>
        <w:t xml:space="preserve"> = </w:t>
      </w:r>
      <w:r>
        <w:rPr>
          <w:szCs w:val="24"/>
        </w:rPr>
        <w:t>0.076</w:t>
      </w:r>
    </w:p>
    <w:p w:rsidR="004C63D6" w:rsidRPr="00D56D84" w:rsidRDefault="004C63D6" w:rsidP="004C63D6">
      <w:pPr>
        <w:rPr>
          <w:b/>
          <w:color w:val="FF0000"/>
          <w:szCs w:val="24"/>
        </w:rPr>
      </w:pPr>
      <w:r w:rsidRPr="00D56D84">
        <w:rPr>
          <w:color w:val="FF0000"/>
          <w:szCs w:val="24"/>
        </w:rPr>
        <w:t xml:space="preserve">Relative likelihood of white staff accessing non-mandatory/CPD training compared to BME staff: 0.081 (White Staff) / 0.076 (BME Staff) = </w:t>
      </w:r>
      <w:r w:rsidRPr="00D56D84">
        <w:rPr>
          <w:b/>
          <w:color w:val="FF0000"/>
          <w:szCs w:val="24"/>
        </w:rPr>
        <w:t>1.07 times.</w:t>
      </w:r>
    </w:p>
    <w:p w:rsidR="004C63D6" w:rsidRDefault="004C63D6" w:rsidP="004C63D6">
      <w:pPr>
        <w:rPr>
          <w:b/>
          <w:szCs w:val="24"/>
        </w:rPr>
      </w:pPr>
      <w:r w:rsidRPr="004C63D6">
        <w:rPr>
          <w:rFonts w:eastAsia="Times New Roman"/>
          <w:color w:val="FF0000"/>
          <w:szCs w:val="28"/>
          <w:lang w:eastAsia="en-GB"/>
        </w:rPr>
        <w:t xml:space="preserve">In this instance, the data suggests white </w:t>
      </w:r>
      <w:proofErr w:type="gramStart"/>
      <w:r w:rsidRPr="004C63D6">
        <w:rPr>
          <w:rFonts w:eastAsia="Times New Roman"/>
          <w:color w:val="FF0000"/>
          <w:szCs w:val="28"/>
          <w:lang w:eastAsia="en-GB"/>
        </w:rPr>
        <w:t>staff are</w:t>
      </w:r>
      <w:proofErr w:type="gramEnd"/>
      <w:r w:rsidRPr="004C63D6">
        <w:rPr>
          <w:rFonts w:eastAsia="Times New Roman"/>
          <w:color w:val="FF0000"/>
          <w:szCs w:val="28"/>
          <w:lang w:eastAsia="en-GB"/>
        </w:rPr>
        <w:t xml:space="preserve"> slightly more likely to access non-mandatory training than BME staff.</w:t>
      </w:r>
      <w:r w:rsidR="00C21D45">
        <w:rPr>
          <w:b/>
          <w:szCs w:val="24"/>
        </w:rPr>
        <w:br/>
      </w:r>
    </w:p>
    <w:p w:rsidR="004C63D6" w:rsidRDefault="004C63D6">
      <w:pPr>
        <w:widowControl w:val="0"/>
        <w:rPr>
          <w:b/>
          <w:szCs w:val="24"/>
        </w:rPr>
      </w:pPr>
      <w:r>
        <w:rPr>
          <w:b/>
          <w:szCs w:val="24"/>
        </w:rPr>
        <w:br w:type="page"/>
      </w:r>
    </w:p>
    <w:p w:rsidR="00C21D45" w:rsidRDefault="00C21D45" w:rsidP="004C63D6">
      <w:pPr>
        <w:rPr>
          <w:b/>
          <w:szCs w:val="24"/>
        </w:rPr>
      </w:pPr>
      <w:r>
        <w:rPr>
          <w:b/>
          <w:szCs w:val="24"/>
        </w:rPr>
        <w:lastRenderedPageBreak/>
        <w:t>Historical comparison with previous WRES reports</w:t>
      </w:r>
    </w:p>
    <w:p w:rsidR="00C21D45" w:rsidRDefault="00C21D45" w:rsidP="00C21D45">
      <w:pPr>
        <w:rPr>
          <w:szCs w:val="23"/>
        </w:rPr>
      </w:pPr>
      <w:r>
        <w:rPr>
          <w:noProof/>
          <w:lang w:eastAsia="en-GB"/>
        </w:rPr>
        <w:drawing>
          <wp:inline distT="0" distB="0" distL="0" distR="0" wp14:anchorId="389E3BD8" wp14:editId="296A9B3F">
            <wp:extent cx="5848350" cy="2057400"/>
            <wp:effectExtent l="0" t="0" r="0" b="0"/>
            <wp:docPr id="36" name="Chart 36" title="Chart showing historical comparative data for non-mandatory/CPD train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szCs w:val="23"/>
        </w:rPr>
        <w:t xml:space="preserve">In the above chart, BME </w:t>
      </w:r>
      <w:proofErr w:type="gramStart"/>
      <w:r>
        <w:rPr>
          <w:szCs w:val="23"/>
        </w:rPr>
        <w:t>staff have</w:t>
      </w:r>
      <w:proofErr w:type="gramEnd"/>
      <w:r>
        <w:rPr>
          <w:szCs w:val="23"/>
        </w:rPr>
        <w:t xml:space="preserve"> a constant measure of 1.0. If the bar for white staff is below the BME line, it would suggest; that white staff are less likely to access non-mandatory/CPD than BME staff. Naturally, if the white applicant bar is above, it would indicate that they have a greater chance of accessing non-mandatory/CPD.</w:t>
      </w:r>
    </w:p>
    <w:p w:rsidR="00C21D45" w:rsidRDefault="00C21D45" w:rsidP="00C21D45">
      <w:pPr>
        <w:rPr>
          <w:szCs w:val="23"/>
        </w:rPr>
      </w:pPr>
      <w:r>
        <w:rPr>
          <w:szCs w:val="23"/>
        </w:rPr>
        <w:t>Using the rule of four-fifths, if the likelihood of white staff is below 0.8 or above 1.2, it would suggest there is an adverse statistical impact.</w:t>
      </w:r>
      <w:r w:rsidR="00410511">
        <w:rPr>
          <w:szCs w:val="23"/>
        </w:rPr>
        <w:t xml:space="preserve"> In 2019 BME staff were more likely to enter training; in 2020, there was an equal chance, and in 2021 only slightly less.</w:t>
      </w:r>
    </w:p>
    <w:p w:rsidR="00410511" w:rsidRPr="00E93506" w:rsidRDefault="00410511" w:rsidP="00410511">
      <w:r w:rsidRPr="00E93506">
        <w:t>This analysis is limited by the numbers of staff declaring ethnicity and whether all training oppo</w:t>
      </w:r>
      <w:r>
        <w:t>rtunit</w:t>
      </w:r>
      <w:r w:rsidRPr="00E93506">
        <w:t>ies have been captured.</w:t>
      </w:r>
    </w:p>
    <w:p w:rsidR="0079147F" w:rsidRDefault="0079147F" w:rsidP="0079147F">
      <w:pPr>
        <w:pStyle w:val="Heading2"/>
      </w:pPr>
      <w:bookmarkStart w:id="29" w:name="Indicator_5"/>
      <w:bookmarkStart w:id="30" w:name="_Toc79152365"/>
      <w:r w:rsidRPr="00262EC3">
        <w:t>Indicator 5 - Percentage of staff experiencing harassment, bullying or abuse from patients, relatives</w:t>
      </w:r>
      <w:r>
        <w:t>,</w:t>
      </w:r>
      <w:r w:rsidRPr="00262EC3">
        <w:t xml:space="preserve"> or the public in last 12 months</w:t>
      </w:r>
      <w:r>
        <w:t xml:space="preserve"> – KF25 from NHS Staff Survey</w:t>
      </w:r>
      <w:bookmarkEnd w:id="30"/>
    </w:p>
    <w:p w:rsidR="0079147F" w:rsidRDefault="0079147F" w:rsidP="0079147F"/>
    <w:p w:rsidR="0079147F" w:rsidRDefault="0079147F" w:rsidP="0079147F">
      <w:pPr>
        <w:pStyle w:val="Heading3"/>
      </w:pPr>
      <w:bookmarkStart w:id="31" w:name="_Toc79152366"/>
      <w:r w:rsidRPr="004C04C6">
        <w:t>Brighton and Sussex University Hospitals NHS Trust:</w:t>
      </w:r>
      <w:bookmarkEnd w:id="31"/>
    </w:p>
    <w:p w:rsidR="0079147F" w:rsidRPr="0079147F" w:rsidRDefault="0079147F" w:rsidP="0079147F"/>
    <w:tbl>
      <w:tblPr>
        <w:tblW w:w="6462" w:type="dxa"/>
        <w:jc w:val="center"/>
        <w:tblLook w:val="04A0" w:firstRow="1" w:lastRow="0" w:firstColumn="1" w:lastColumn="0" w:noHBand="0" w:noVBand="1"/>
        <w:tblCaption w:val="Staff experiencing harassment, bullying or abuse from patients, relatives, or the public in last 12 months broken down by ethnicity"/>
      </w:tblPr>
      <w:tblGrid>
        <w:gridCol w:w="1017"/>
        <w:gridCol w:w="1030"/>
        <w:gridCol w:w="1030"/>
        <w:gridCol w:w="1364"/>
        <w:gridCol w:w="1164"/>
        <w:gridCol w:w="1124"/>
      </w:tblGrid>
      <w:tr w:rsidR="0079147F" w:rsidRPr="001A4F13" w:rsidTr="0079147F">
        <w:trPr>
          <w:cantSplit/>
          <w:trHeight w:val="1590"/>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47F" w:rsidRPr="001A4F13" w:rsidRDefault="0079147F" w:rsidP="001E0F80">
            <w:pPr>
              <w:spacing w:after="0" w:line="240" w:lineRule="auto"/>
              <w:rPr>
                <w:rFonts w:eastAsia="Times New Roman"/>
                <w:b/>
                <w:bCs/>
                <w:color w:val="000000"/>
                <w:szCs w:val="24"/>
                <w:lang w:eastAsia="en-GB"/>
              </w:rPr>
            </w:pPr>
            <w:r>
              <w:rPr>
                <w:rFonts w:eastAsia="Times New Roman"/>
                <w:b/>
                <w:bCs/>
                <w:color w:val="000000"/>
                <w:szCs w:val="24"/>
                <w:lang w:eastAsia="en-GB"/>
              </w:rPr>
              <w:t>Staff Survey Year</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47F" w:rsidRPr="001A4F13" w:rsidRDefault="0079147F" w:rsidP="001E0F80">
            <w:pPr>
              <w:spacing w:after="0" w:line="240" w:lineRule="auto"/>
              <w:jc w:val="center"/>
              <w:rPr>
                <w:rFonts w:eastAsia="Times New Roman"/>
                <w:b/>
                <w:bCs/>
                <w:color w:val="000000"/>
                <w:szCs w:val="24"/>
                <w:lang w:eastAsia="en-GB"/>
              </w:rPr>
            </w:pPr>
            <w:r w:rsidRPr="001A4F13">
              <w:rPr>
                <w:rFonts w:eastAsia="Times New Roman"/>
                <w:b/>
                <w:bCs/>
                <w:color w:val="000000"/>
                <w:szCs w:val="24"/>
                <w:lang w:eastAsia="en-GB"/>
              </w:rPr>
              <w:t>BSUH BME staff</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47F" w:rsidRPr="001A4F13" w:rsidRDefault="0079147F" w:rsidP="001E0F80">
            <w:pPr>
              <w:spacing w:after="0" w:line="240" w:lineRule="auto"/>
              <w:jc w:val="center"/>
              <w:rPr>
                <w:rFonts w:eastAsia="Times New Roman"/>
                <w:b/>
                <w:bCs/>
                <w:color w:val="000000"/>
                <w:szCs w:val="24"/>
                <w:lang w:eastAsia="en-GB"/>
              </w:rPr>
            </w:pPr>
            <w:r w:rsidRPr="001A4F13">
              <w:rPr>
                <w:rFonts w:eastAsia="Times New Roman"/>
                <w:b/>
                <w:bCs/>
                <w:color w:val="000000"/>
                <w:szCs w:val="24"/>
                <w:lang w:eastAsia="en-GB"/>
              </w:rPr>
              <w:t>BSUH white staff</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47F" w:rsidRPr="001A4F13" w:rsidRDefault="0079147F" w:rsidP="001E0F80">
            <w:pPr>
              <w:spacing w:after="0" w:line="240" w:lineRule="auto"/>
              <w:jc w:val="center"/>
              <w:rPr>
                <w:rFonts w:eastAsia="Times New Roman"/>
                <w:b/>
                <w:bCs/>
                <w:color w:val="1F497D"/>
                <w:szCs w:val="24"/>
                <w:lang w:eastAsia="en-GB"/>
              </w:rPr>
            </w:pPr>
            <w:r w:rsidRPr="001A4F13">
              <w:rPr>
                <w:rFonts w:eastAsia="Times New Roman"/>
                <w:b/>
                <w:bCs/>
                <w:color w:val="1F497D"/>
                <w:szCs w:val="24"/>
                <w:lang w:eastAsia="en-GB"/>
              </w:rPr>
              <w:t>% point difference</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47F" w:rsidRPr="001A4F13" w:rsidRDefault="0079147F" w:rsidP="001E0F80">
            <w:pPr>
              <w:spacing w:after="0" w:line="240" w:lineRule="auto"/>
              <w:jc w:val="center"/>
              <w:rPr>
                <w:rFonts w:eastAsia="Times New Roman"/>
                <w:b/>
                <w:bCs/>
                <w:color w:val="000000"/>
                <w:szCs w:val="24"/>
                <w:lang w:eastAsia="en-GB"/>
              </w:rPr>
            </w:pPr>
            <w:r w:rsidRPr="001A4F13">
              <w:rPr>
                <w:rFonts w:eastAsia="Times New Roman"/>
                <w:b/>
                <w:bCs/>
                <w:color w:val="000000"/>
                <w:szCs w:val="24"/>
                <w:lang w:eastAsia="en-GB"/>
              </w:rPr>
              <w:t>Acute Average (BME staff)</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47F" w:rsidRPr="001A4F13" w:rsidRDefault="0079147F" w:rsidP="001E0F80">
            <w:pPr>
              <w:spacing w:after="0" w:line="240" w:lineRule="auto"/>
              <w:jc w:val="center"/>
              <w:rPr>
                <w:rFonts w:eastAsia="Times New Roman"/>
                <w:b/>
                <w:bCs/>
                <w:color w:val="000000"/>
                <w:szCs w:val="24"/>
                <w:lang w:eastAsia="en-GB"/>
              </w:rPr>
            </w:pPr>
            <w:r w:rsidRPr="001A4F13">
              <w:rPr>
                <w:rFonts w:eastAsia="Times New Roman"/>
                <w:b/>
                <w:bCs/>
                <w:color w:val="000000"/>
                <w:szCs w:val="24"/>
                <w:lang w:eastAsia="en-GB"/>
              </w:rPr>
              <w:t>Acute average (white staff)</w:t>
            </w:r>
          </w:p>
        </w:tc>
      </w:tr>
      <w:tr w:rsidR="0079147F" w:rsidRPr="001A4F13" w:rsidTr="0079147F">
        <w:trPr>
          <w:cantSplit/>
          <w:trHeight w:val="315"/>
          <w:tblHeader/>
          <w:jc w:val="center"/>
        </w:trPr>
        <w:tc>
          <w:tcPr>
            <w:tcW w:w="75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9147F" w:rsidRPr="001A4F13" w:rsidRDefault="0079147F" w:rsidP="001E0F80">
            <w:pPr>
              <w:spacing w:after="0" w:line="240" w:lineRule="auto"/>
              <w:jc w:val="center"/>
              <w:rPr>
                <w:rFonts w:eastAsia="Times New Roman"/>
                <w:color w:val="000000"/>
                <w:szCs w:val="24"/>
                <w:lang w:eastAsia="en-GB"/>
              </w:rPr>
            </w:pPr>
            <w:r w:rsidRPr="001A4F13">
              <w:rPr>
                <w:rFonts w:eastAsia="Times New Roman"/>
                <w:color w:val="000000"/>
                <w:szCs w:val="24"/>
                <w:lang w:eastAsia="en-GB"/>
              </w:rPr>
              <w:t>2018</w:t>
            </w:r>
          </w:p>
        </w:tc>
        <w:tc>
          <w:tcPr>
            <w:tcW w:w="1030" w:type="dxa"/>
            <w:tcBorders>
              <w:top w:val="single" w:sz="4" w:space="0" w:color="auto"/>
              <w:left w:val="nil"/>
              <w:bottom w:val="single" w:sz="8" w:space="0" w:color="auto"/>
              <w:right w:val="single" w:sz="8" w:space="0" w:color="auto"/>
            </w:tcBorders>
            <w:shd w:val="clear" w:color="auto" w:fill="auto"/>
            <w:vAlign w:val="center"/>
            <w:hideMark/>
          </w:tcPr>
          <w:p w:rsidR="0079147F" w:rsidRPr="001A4F13" w:rsidRDefault="0079147F" w:rsidP="001E0F80">
            <w:pPr>
              <w:spacing w:after="0" w:line="240" w:lineRule="auto"/>
              <w:jc w:val="center"/>
              <w:rPr>
                <w:rFonts w:eastAsia="Times New Roman"/>
                <w:color w:val="000000"/>
                <w:szCs w:val="24"/>
                <w:lang w:eastAsia="en-GB"/>
              </w:rPr>
            </w:pPr>
            <w:r w:rsidRPr="001A4F13">
              <w:rPr>
                <w:rFonts w:eastAsia="Times New Roman"/>
                <w:color w:val="000000"/>
                <w:szCs w:val="24"/>
                <w:lang w:eastAsia="en-GB"/>
              </w:rPr>
              <w:t>35.00%</w:t>
            </w:r>
          </w:p>
        </w:tc>
        <w:tc>
          <w:tcPr>
            <w:tcW w:w="1030" w:type="dxa"/>
            <w:tcBorders>
              <w:top w:val="single" w:sz="4" w:space="0" w:color="auto"/>
              <w:left w:val="nil"/>
              <w:bottom w:val="single" w:sz="8" w:space="0" w:color="auto"/>
              <w:right w:val="single" w:sz="8" w:space="0" w:color="auto"/>
            </w:tcBorders>
            <w:shd w:val="clear" w:color="auto" w:fill="auto"/>
            <w:vAlign w:val="center"/>
            <w:hideMark/>
          </w:tcPr>
          <w:p w:rsidR="0079147F" w:rsidRPr="001A4F13" w:rsidRDefault="0079147F" w:rsidP="001E0F80">
            <w:pPr>
              <w:spacing w:after="0" w:line="240" w:lineRule="auto"/>
              <w:jc w:val="center"/>
              <w:rPr>
                <w:rFonts w:eastAsia="Times New Roman"/>
                <w:color w:val="000000"/>
                <w:szCs w:val="24"/>
                <w:lang w:eastAsia="en-GB"/>
              </w:rPr>
            </w:pPr>
            <w:r w:rsidRPr="001A4F13">
              <w:rPr>
                <w:rFonts w:eastAsia="Times New Roman"/>
                <w:color w:val="000000"/>
                <w:szCs w:val="24"/>
                <w:lang w:eastAsia="en-GB"/>
              </w:rPr>
              <w:t>30.50%</w:t>
            </w:r>
          </w:p>
        </w:tc>
        <w:tc>
          <w:tcPr>
            <w:tcW w:w="1364" w:type="dxa"/>
            <w:tcBorders>
              <w:top w:val="single" w:sz="4" w:space="0" w:color="auto"/>
              <w:left w:val="nil"/>
              <w:bottom w:val="single" w:sz="8" w:space="0" w:color="auto"/>
              <w:right w:val="single" w:sz="8" w:space="0" w:color="auto"/>
            </w:tcBorders>
            <w:shd w:val="clear" w:color="auto" w:fill="auto"/>
            <w:vAlign w:val="center"/>
            <w:hideMark/>
          </w:tcPr>
          <w:p w:rsidR="0079147F" w:rsidRPr="001A4F13" w:rsidRDefault="0079147F"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1A4F13">
              <w:rPr>
                <w:rFonts w:eastAsia="Times New Roman"/>
                <w:color w:val="1F497D"/>
                <w:szCs w:val="24"/>
                <w:lang w:eastAsia="en-GB"/>
              </w:rPr>
              <w:t>4.50%</w:t>
            </w:r>
            <w:r>
              <w:rPr>
                <w:rFonts w:eastAsia="Times New Roman"/>
                <w:color w:val="1F497D"/>
                <w:szCs w:val="24"/>
                <w:lang w:eastAsia="en-GB"/>
              </w:rPr>
              <w:t>)</w:t>
            </w:r>
          </w:p>
        </w:tc>
        <w:tc>
          <w:tcPr>
            <w:tcW w:w="1164" w:type="dxa"/>
            <w:tcBorders>
              <w:top w:val="single" w:sz="4" w:space="0" w:color="auto"/>
              <w:left w:val="nil"/>
              <w:bottom w:val="single" w:sz="8" w:space="0" w:color="auto"/>
              <w:right w:val="single" w:sz="8" w:space="0" w:color="auto"/>
            </w:tcBorders>
            <w:shd w:val="clear" w:color="auto" w:fill="auto"/>
            <w:vAlign w:val="center"/>
            <w:hideMark/>
          </w:tcPr>
          <w:p w:rsidR="0079147F" w:rsidRPr="001A4F13" w:rsidRDefault="0079147F" w:rsidP="001E0F80">
            <w:pPr>
              <w:spacing w:after="0" w:line="240" w:lineRule="auto"/>
              <w:jc w:val="center"/>
              <w:rPr>
                <w:rFonts w:eastAsia="Times New Roman"/>
                <w:color w:val="000000"/>
                <w:szCs w:val="24"/>
                <w:lang w:eastAsia="en-GB"/>
              </w:rPr>
            </w:pPr>
            <w:r w:rsidRPr="001A4F13">
              <w:rPr>
                <w:rFonts w:eastAsia="Times New Roman"/>
                <w:color w:val="000000"/>
                <w:szCs w:val="24"/>
                <w:lang w:eastAsia="en-GB"/>
              </w:rPr>
              <w:t>28.90%</w:t>
            </w:r>
          </w:p>
        </w:tc>
        <w:tc>
          <w:tcPr>
            <w:tcW w:w="1124" w:type="dxa"/>
            <w:tcBorders>
              <w:top w:val="single" w:sz="4" w:space="0" w:color="auto"/>
              <w:left w:val="nil"/>
              <w:bottom w:val="single" w:sz="8" w:space="0" w:color="auto"/>
              <w:right w:val="single" w:sz="8" w:space="0" w:color="auto"/>
            </w:tcBorders>
            <w:shd w:val="clear" w:color="auto" w:fill="auto"/>
            <w:vAlign w:val="center"/>
            <w:hideMark/>
          </w:tcPr>
          <w:p w:rsidR="0079147F" w:rsidRPr="001A4F13" w:rsidRDefault="0079147F" w:rsidP="001E0F80">
            <w:pPr>
              <w:spacing w:after="0" w:line="240" w:lineRule="auto"/>
              <w:jc w:val="center"/>
              <w:rPr>
                <w:rFonts w:eastAsia="Times New Roman"/>
                <w:color w:val="000000"/>
                <w:szCs w:val="24"/>
                <w:lang w:eastAsia="en-GB"/>
              </w:rPr>
            </w:pPr>
            <w:r w:rsidRPr="001A4F13">
              <w:rPr>
                <w:rFonts w:eastAsia="Times New Roman"/>
                <w:color w:val="000000"/>
                <w:szCs w:val="24"/>
                <w:lang w:eastAsia="en-GB"/>
              </w:rPr>
              <w:t>27.00%</w:t>
            </w:r>
          </w:p>
        </w:tc>
      </w:tr>
      <w:tr w:rsidR="0079147F" w:rsidRPr="001A4F13" w:rsidTr="001E0F80">
        <w:trPr>
          <w:cantSplit/>
          <w:trHeight w:val="315"/>
          <w:tblHeader/>
          <w:jc w:val="center"/>
        </w:trPr>
        <w:tc>
          <w:tcPr>
            <w:tcW w:w="750" w:type="dxa"/>
            <w:tcBorders>
              <w:top w:val="nil"/>
              <w:left w:val="single" w:sz="8" w:space="0" w:color="auto"/>
              <w:bottom w:val="single" w:sz="4" w:space="0" w:color="auto"/>
              <w:right w:val="single" w:sz="8" w:space="0" w:color="auto"/>
            </w:tcBorders>
            <w:shd w:val="clear" w:color="auto" w:fill="auto"/>
            <w:vAlign w:val="center"/>
            <w:hideMark/>
          </w:tcPr>
          <w:p w:rsidR="0079147F" w:rsidRPr="001A4F13" w:rsidRDefault="0079147F" w:rsidP="001E0F80">
            <w:pPr>
              <w:spacing w:after="0" w:line="240" w:lineRule="auto"/>
              <w:jc w:val="center"/>
              <w:rPr>
                <w:rFonts w:eastAsia="Times New Roman"/>
                <w:color w:val="000000"/>
                <w:szCs w:val="24"/>
                <w:lang w:eastAsia="en-GB"/>
              </w:rPr>
            </w:pPr>
            <w:r w:rsidRPr="001A4F13">
              <w:rPr>
                <w:rFonts w:eastAsia="Times New Roman"/>
                <w:color w:val="000000"/>
                <w:szCs w:val="24"/>
                <w:lang w:eastAsia="en-GB"/>
              </w:rPr>
              <w:t>2019</w:t>
            </w:r>
          </w:p>
        </w:tc>
        <w:tc>
          <w:tcPr>
            <w:tcW w:w="1030" w:type="dxa"/>
            <w:tcBorders>
              <w:top w:val="nil"/>
              <w:left w:val="nil"/>
              <w:bottom w:val="single" w:sz="8" w:space="0" w:color="auto"/>
              <w:right w:val="single" w:sz="8" w:space="0" w:color="auto"/>
            </w:tcBorders>
            <w:shd w:val="clear" w:color="auto" w:fill="auto"/>
            <w:vAlign w:val="center"/>
            <w:hideMark/>
          </w:tcPr>
          <w:p w:rsidR="0079147F" w:rsidRPr="001A4F13" w:rsidRDefault="0079147F" w:rsidP="001E0F80">
            <w:pPr>
              <w:spacing w:after="0" w:line="240" w:lineRule="auto"/>
              <w:jc w:val="center"/>
              <w:rPr>
                <w:rFonts w:eastAsia="Times New Roman"/>
                <w:color w:val="000000"/>
                <w:szCs w:val="24"/>
                <w:lang w:eastAsia="en-GB"/>
              </w:rPr>
            </w:pPr>
            <w:r w:rsidRPr="001A4F13">
              <w:rPr>
                <w:rFonts w:eastAsia="Times New Roman"/>
                <w:color w:val="000000"/>
                <w:szCs w:val="24"/>
                <w:lang w:eastAsia="en-GB"/>
              </w:rPr>
              <w:t>38.10%</w:t>
            </w:r>
          </w:p>
        </w:tc>
        <w:tc>
          <w:tcPr>
            <w:tcW w:w="1030" w:type="dxa"/>
            <w:tcBorders>
              <w:top w:val="nil"/>
              <w:left w:val="nil"/>
              <w:bottom w:val="single" w:sz="8" w:space="0" w:color="auto"/>
              <w:right w:val="single" w:sz="8" w:space="0" w:color="auto"/>
            </w:tcBorders>
            <w:shd w:val="clear" w:color="auto" w:fill="auto"/>
            <w:vAlign w:val="center"/>
            <w:hideMark/>
          </w:tcPr>
          <w:p w:rsidR="0079147F" w:rsidRPr="001A4F13" w:rsidRDefault="0079147F" w:rsidP="001E0F80">
            <w:pPr>
              <w:spacing w:after="0" w:line="240" w:lineRule="auto"/>
              <w:jc w:val="center"/>
              <w:rPr>
                <w:rFonts w:eastAsia="Times New Roman"/>
                <w:color w:val="000000"/>
                <w:szCs w:val="24"/>
                <w:lang w:eastAsia="en-GB"/>
              </w:rPr>
            </w:pPr>
            <w:r w:rsidRPr="001A4F13">
              <w:rPr>
                <w:rFonts w:eastAsia="Times New Roman"/>
                <w:color w:val="000000"/>
                <w:szCs w:val="24"/>
                <w:lang w:eastAsia="en-GB"/>
              </w:rPr>
              <w:t>31.50%</w:t>
            </w:r>
          </w:p>
        </w:tc>
        <w:tc>
          <w:tcPr>
            <w:tcW w:w="1364" w:type="dxa"/>
            <w:tcBorders>
              <w:top w:val="nil"/>
              <w:left w:val="nil"/>
              <w:bottom w:val="single" w:sz="8" w:space="0" w:color="auto"/>
              <w:right w:val="single" w:sz="8" w:space="0" w:color="auto"/>
            </w:tcBorders>
            <w:shd w:val="clear" w:color="auto" w:fill="auto"/>
            <w:vAlign w:val="center"/>
            <w:hideMark/>
          </w:tcPr>
          <w:p w:rsidR="0079147F" w:rsidRPr="001A4F13" w:rsidRDefault="0079147F"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1A4F13">
              <w:rPr>
                <w:rFonts w:eastAsia="Times New Roman"/>
                <w:color w:val="1F497D"/>
                <w:szCs w:val="24"/>
                <w:lang w:eastAsia="en-GB"/>
              </w:rPr>
              <w:t>6.60%</w:t>
            </w:r>
            <w:r>
              <w:rPr>
                <w:rFonts w:eastAsia="Times New Roman"/>
                <w:color w:val="1F497D"/>
                <w:szCs w:val="24"/>
                <w:lang w:eastAsia="en-GB"/>
              </w:rPr>
              <w:t>)</w:t>
            </w:r>
          </w:p>
        </w:tc>
        <w:tc>
          <w:tcPr>
            <w:tcW w:w="1164" w:type="dxa"/>
            <w:tcBorders>
              <w:top w:val="nil"/>
              <w:left w:val="nil"/>
              <w:bottom w:val="single" w:sz="8" w:space="0" w:color="auto"/>
              <w:right w:val="single" w:sz="8" w:space="0" w:color="auto"/>
            </w:tcBorders>
            <w:shd w:val="clear" w:color="auto" w:fill="auto"/>
            <w:vAlign w:val="center"/>
            <w:hideMark/>
          </w:tcPr>
          <w:p w:rsidR="0079147F" w:rsidRPr="001A4F13" w:rsidRDefault="0079147F" w:rsidP="001E0F80">
            <w:pPr>
              <w:spacing w:after="0" w:line="240" w:lineRule="auto"/>
              <w:jc w:val="center"/>
              <w:rPr>
                <w:rFonts w:eastAsia="Times New Roman"/>
                <w:color w:val="000000"/>
                <w:szCs w:val="24"/>
                <w:lang w:eastAsia="en-GB"/>
              </w:rPr>
            </w:pPr>
            <w:r w:rsidRPr="001A4F13">
              <w:rPr>
                <w:rFonts w:eastAsia="Times New Roman"/>
                <w:color w:val="000000"/>
                <w:szCs w:val="24"/>
                <w:lang w:eastAsia="en-GB"/>
              </w:rPr>
              <w:t>29.50%</w:t>
            </w:r>
          </w:p>
        </w:tc>
        <w:tc>
          <w:tcPr>
            <w:tcW w:w="1124" w:type="dxa"/>
            <w:tcBorders>
              <w:top w:val="nil"/>
              <w:left w:val="nil"/>
              <w:bottom w:val="single" w:sz="8" w:space="0" w:color="auto"/>
              <w:right w:val="single" w:sz="8" w:space="0" w:color="auto"/>
            </w:tcBorders>
            <w:shd w:val="clear" w:color="auto" w:fill="auto"/>
            <w:vAlign w:val="center"/>
            <w:hideMark/>
          </w:tcPr>
          <w:p w:rsidR="0079147F" w:rsidRPr="001A4F13" w:rsidRDefault="0079147F" w:rsidP="001E0F80">
            <w:pPr>
              <w:spacing w:after="0" w:line="240" w:lineRule="auto"/>
              <w:jc w:val="center"/>
              <w:rPr>
                <w:rFonts w:eastAsia="Times New Roman"/>
                <w:color w:val="000000"/>
                <w:szCs w:val="24"/>
                <w:lang w:eastAsia="en-GB"/>
              </w:rPr>
            </w:pPr>
            <w:r w:rsidRPr="001A4F13">
              <w:rPr>
                <w:rFonts w:eastAsia="Times New Roman"/>
                <w:color w:val="000000"/>
                <w:szCs w:val="24"/>
                <w:lang w:eastAsia="en-GB"/>
              </w:rPr>
              <w:t>27.60%</w:t>
            </w:r>
          </w:p>
        </w:tc>
      </w:tr>
      <w:tr w:rsidR="0079147F" w:rsidRPr="001A4F13" w:rsidTr="001E0F80">
        <w:trPr>
          <w:cantSplit/>
          <w:trHeight w:val="315"/>
          <w:tblHeader/>
          <w:jc w:val="center"/>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79147F" w:rsidRPr="001A4F13" w:rsidRDefault="0079147F" w:rsidP="001E0F80">
            <w:pPr>
              <w:spacing w:after="0" w:line="240" w:lineRule="auto"/>
              <w:jc w:val="center"/>
              <w:rPr>
                <w:rFonts w:eastAsia="Times New Roman"/>
                <w:color w:val="000000"/>
                <w:szCs w:val="24"/>
                <w:lang w:eastAsia="en-GB"/>
              </w:rPr>
            </w:pPr>
            <w:r w:rsidRPr="001A4F13">
              <w:rPr>
                <w:rFonts w:eastAsia="Times New Roman"/>
                <w:color w:val="000000"/>
                <w:szCs w:val="24"/>
                <w:lang w:eastAsia="en-GB"/>
              </w:rPr>
              <w:t>2020</w:t>
            </w:r>
          </w:p>
        </w:tc>
        <w:tc>
          <w:tcPr>
            <w:tcW w:w="1030" w:type="dxa"/>
            <w:tcBorders>
              <w:top w:val="nil"/>
              <w:left w:val="nil"/>
              <w:bottom w:val="single" w:sz="8" w:space="0" w:color="auto"/>
              <w:right w:val="single" w:sz="8" w:space="0" w:color="auto"/>
            </w:tcBorders>
            <w:shd w:val="clear" w:color="auto" w:fill="auto"/>
            <w:vAlign w:val="center"/>
            <w:hideMark/>
          </w:tcPr>
          <w:p w:rsidR="0079147F" w:rsidRPr="001A4F13" w:rsidRDefault="0079147F" w:rsidP="001E0F80">
            <w:pPr>
              <w:spacing w:after="0" w:line="240" w:lineRule="auto"/>
              <w:jc w:val="center"/>
              <w:rPr>
                <w:rFonts w:eastAsia="Times New Roman"/>
                <w:color w:val="000000"/>
                <w:szCs w:val="24"/>
                <w:lang w:eastAsia="en-GB"/>
              </w:rPr>
            </w:pPr>
            <w:r w:rsidRPr="001A4F13">
              <w:rPr>
                <w:rFonts w:eastAsia="Times New Roman"/>
                <w:color w:val="000000"/>
                <w:szCs w:val="24"/>
                <w:lang w:eastAsia="en-GB"/>
              </w:rPr>
              <w:t>33.70%</w:t>
            </w:r>
          </w:p>
        </w:tc>
        <w:tc>
          <w:tcPr>
            <w:tcW w:w="1030" w:type="dxa"/>
            <w:tcBorders>
              <w:top w:val="nil"/>
              <w:left w:val="nil"/>
              <w:bottom w:val="single" w:sz="8" w:space="0" w:color="auto"/>
              <w:right w:val="single" w:sz="8" w:space="0" w:color="auto"/>
            </w:tcBorders>
            <w:shd w:val="clear" w:color="auto" w:fill="auto"/>
            <w:vAlign w:val="center"/>
            <w:hideMark/>
          </w:tcPr>
          <w:p w:rsidR="0079147F" w:rsidRPr="001A4F13" w:rsidRDefault="0079147F" w:rsidP="001E0F80">
            <w:pPr>
              <w:spacing w:after="0" w:line="240" w:lineRule="auto"/>
              <w:jc w:val="center"/>
              <w:rPr>
                <w:rFonts w:eastAsia="Times New Roman"/>
                <w:color w:val="000000"/>
                <w:szCs w:val="24"/>
                <w:lang w:eastAsia="en-GB"/>
              </w:rPr>
            </w:pPr>
            <w:r w:rsidRPr="001A4F13">
              <w:rPr>
                <w:rFonts w:eastAsia="Times New Roman"/>
                <w:color w:val="000000"/>
                <w:szCs w:val="24"/>
                <w:lang w:eastAsia="en-GB"/>
              </w:rPr>
              <w:t>30.70%</w:t>
            </w:r>
          </w:p>
        </w:tc>
        <w:tc>
          <w:tcPr>
            <w:tcW w:w="1364" w:type="dxa"/>
            <w:tcBorders>
              <w:top w:val="nil"/>
              <w:left w:val="nil"/>
              <w:bottom w:val="single" w:sz="8" w:space="0" w:color="auto"/>
              <w:right w:val="single" w:sz="8" w:space="0" w:color="auto"/>
            </w:tcBorders>
            <w:shd w:val="clear" w:color="auto" w:fill="auto"/>
            <w:vAlign w:val="center"/>
            <w:hideMark/>
          </w:tcPr>
          <w:p w:rsidR="0079147F" w:rsidRPr="001A4F13" w:rsidRDefault="0079147F"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1A4F13">
              <w:rPr>
                <w:rFonts w:eastAsia="Times New Roman"/>
                <w:color w:val="1F497D"/>
                <w:szCs w:val="24"/>
                <w:lang w:eastAsia="en-GB"/>
              </w:rPr>
              <w:t>3.00%</w:t>
            </w:r>
            <w:r>
              <w:rPr>
                <w:rFonts w:eastAsia="Times New Roman"/>
                <w:color w:val="1F497D"/>
                <w:szCs w:val="24"/>
                <w:lang w:eastAsia="en-GB"/>
              </w:rPr>
              <w:t>)</w:t>
            </w:r>
          </w:p>
        </w:tc>
        <w:tc>
          <w:tcPr>
            <w:tcW w:w="1164" w:type="dxa"/>
            <w:tcBorders>
              <w:top w:val="nil"/>
              <w:left w:val="nil"/>
              <w:bottom w:val="single" w:sz="8" w:space="0" w:color="auto"/>
              <w:right w:val="single" w:sz="8" w:space="0" w:color="auto"/>
            </w:tcBorders>
            <w:shd w:val="clear" w:color="auto" w:fill="auto"/>
            <w:vAlign w:val="center"/>
            <w:hideMark/>
          </w:tcPr>
          <w:p w:rsidR="0079147F" w:rsidRPr="001A4F13" w:rsidRDefault="0079147F" w:rsidP="001E0F80">
            <w:pPr>
              <w:spacing w:after="0" w:line="240" w:lineRule="auto"/>
              <w:jc w:val="center"/>
              <w:rPr>
                <w:rFonts w:eastAsia="Times New Roman"/>
                <w:color w:val="000000"/>
                <w:szCs w:val="24"/>
                <w:lang w:eastAsia="en-GB"/>
              </w:rPr>
            </w:pPr>
            <w:r w:rsidRPr="001A4F13">
              <w:rPr>
                <w:rFonts w:eastAsia="Times New Roman"/>
                <w:color w:val="000000"/>
                <w:szCs w:val="24"/>
                <w:lang w:eastAsia="en-GB"/>
              </w:rPr>
              <w:t>28.00%</w:t>
            </w:r>
          </w:p>
        </w:tc>
        <w:tc>
          <w:tcPr>
            <w:tcW w:w="1124" w:type="dxa"/>
            <w:tcBorders>
              <w:top w:val="nil"/>
              <w:left w:val="nil"/>
              <w:bottom w:val="single" w:sz="8" w:space="0" w:color="auto"/>
              <w:right w:val="single" w:sz="8" w:space="0" w:color="auto"/>
            </w:tcBorders>
            <w:shd w:val="clear" w:color="auto" w:fill="auto"/>
            <w:vAlign w:val="center"/>
            <w:hideMark/>
          </w:tcPr>
          <w:p w:rsidR="0079147F" w:rsidRPr="001A4F13" w:rsidRDefault="0079147F" w:rsidP="001E0F80">
            <w:pPr>
              <w:spacing w:after="0" w:line="240" w:lineRule="auto"/>
              <w:jc w:val="center"/>
              <w:rPr>
                <w:rFonts w:eastAsia="Times New Roman"/>
                <w:color w:val="000000"/>
                <w:szCs w:val="24"/>
                <w:lang w:eastAsia="en-GB"/>
              </w:rPr>
            </w:pPr>
            <w:r w:rsidRPr="001A4F13">
              <w:rPr>
                <w:rFonts w:eastAsia="Times New Roman"/>
                <w:color w:val="000000"/>
                <w:szCs w:val="24"/>
                <w:lang w:eastAsia="en-GB"/>
              </w:rPr>
              <w:t>25.40%</w:t>
            </w:r>
          </w:p>
        </w:tc>
      </w:tr>
    </w:tbl>
    <w:p w:rsidR="0079147F" w:rsidRDefault="0079147F" w:rsidP="0079147F">
      <w:r>
        <w:rPr>
          <w:noProof/>
          <w:lang w:eastAsia="en-GB"/>
        </w:rPr>
        <w:lastRenderedPageBreak/>
        <w:drawing>
          <wp:inline distT="0" distB="0" distL="0" distR="0" wp14:anchorId="79D28830" wp14:editId="1CBFA482">
            <wp:extent cx="6296025" cy="3228975"/>
            <wp:effectExtent l="0" t="0" r="0" b="0"/>
            <wp:docPr id="24" name="Chart 24" title="Staff experiencing harassment, bullying or abuse from patients, relatives, or the public in last 12 months broken down by ethnicity"/>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t>Compared to the previous year, there has been a decrease in the number of Trust BME and white staff, highlighting in the staff survey that they have experienced harassment, bullying or abuse from patients, relatives, etc. This has led to the percentage point difference between the two groups getting smaller. However, the overall Trust data for staff experiencing bullying and harassment from patients is worse than the NHS acute trust average.</w:t>
      </w:r>
    </w:p>
    <w:p w:rsidR="0079147F" w:rsidRDefault="0079147F" w:rsidP="0079147F">
      <w:pPr>
        <w:rPr>
          <w:b/>
        </w:rPr>
      </w:pPr>
    </w:p>
    <w:p w:rsidR="0079147F" w:rsidRDefault="0079147F" w:rsidP="0079147F">
      <w:pPr>
        <w:pStyle w:val="Heading3"/>
      </w:pPr>
      <w:bookmarkStart w:id="32" w:name="_Toc79152367"/>
      <w:r>
        <w:t>Western Sussex NHS Foundation Trust</w:t>
      </w:r>
      <w:bookmarkEnd w:id="32"/>
    </w:p>
    <w:p w:rsidR="0079147F" w:rsidRPr="0079147F" w:rsidRDefault="0079147F" w:rsidP="0079147F"/>
    <w:tbl>
      <w:tblPr>
        <w:tblW w:w="6542" w:type="dxa"/>
        <w:jc w:val="center"/>
        <w:tblLook w:val="04A0" w:firstRow="1" w:lastRow="0" w:firstColumn="1" w:lastColumn="0" w:noHBand="0" w:noVBand="1"/>
        <w:tblCaption w:val="Staff experiencing harassment, bullying or abuse from patients, relatives, or the public in last 12 months broken down by ethnicity"/>
      </w:tblPr>
      <w:tblGrid>
        <w:gridCol w:w="1017"/>
        <w:gridCol w:w="1070"/>
        <w:gridCol w:w="1070"/>
        <w:gridCol w:w="1364"/>
        <w:gridCol w:w="1164"/>
        <w:gridCol w:w="1124"/>
      </w:tblGrid>
      <w:tr w:rsidR="0079147F" w:rsidRPr="00F93EEB" w:rsidTr="0079147F">
        <w:trPr>
          <w:cantSplit/>
          <w:trHeight w:val="1590"/>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47F" w:rsidRPr="001A4F13" w:rsidRDefault="0079147F" w:rsidP="001E0F80">
            <w:pPr>
              <w:spacing w:after="0" w:line="240" w:lineRule="auto"/>
              <w:rPr>
                <w:rFonts w:eastAsia="Times New Roman"/>
                <w:b/>
                <w:bCs/>
                <w:color w:val="000000"/>
                <w:szCs w:val="24"/>
                <w:lang w:eastAsia="en-GB"/>
              </w:rPr>
            </w:pPr>
            <w:r>
              <w:rPr>
                <w:rFonts w:eastAsia="Times New Roman"/>
                <w:b/>
                <w:bCs/>
                <w:color w:val="000000"/>
                <w:szCs w:val="24"/>
                <w:lang w:eastAsia="en-GB"/>
              </w:rPr>
              <w:t>Staff Survey Year</w:t>
            </w:r>
          </w:p>
        </w:tc>
        <w:tc>
          <w:tcPr>
            <w:tcW w:w="107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b/>
                <w:bCs/>
                <w:color w:val="000000"/>
                <w:szCs w:val="24"/>
                <w:lang w:eastAsia="en-GB"/>
              </w:rPr>
            </w:pPr>
            <w:r w:rsidRPr="00F93EEB">
              <w:rPr>
                <w:rFonts w:eastAsia="Times New Roman"/>
                <w:b/>
                <w:bCs/>
                <w:color w:val="000000"/>
                <w:szCs w:val="24"/>
                <w:lang w:eastAsia="en-GB"/>
              </w:rPr>
              <w:t>WSHFT BME staff</w:t>
            </w:r>
          </w:p>
        </w:tc>
        <w:tc>
          <w:tcPr>
            <w:tcW w:w="1070" w:type="dxa"/>
            <w:tcBorders>
              <w:top w:val="single" w:sz="4" w:space="0" w:color="auto"/>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b/>
                <w:bCs/>
                <w:color w:val="000000"/>
                <w:szCs w:val="24"/>
                <w:lang w:eastAsia="en-GB"/>
              </w:rPr>
            </w:pPr>
            <w:r w:rsidRPr="00F93EEB">
              <w:rPr>
                <w:rFonts w:eastAsia="Times New Roman"/>
                <w:b/>
                <w:bCs/>
                <w:color w:val="000000"/>
                <w:szCs w:val="24"/>
                <w:lang w:eastAsia="en-GB"/>
              </w:rPr>
              <w:t>WSHFT white staff</w:t>
            </w:r>
          </w:p>
        </w:tc>
        <w:tc>
          <w:tcPr>
            <w:tcW w:w="1364" w:type="dxa"/>
            <w:tcBorders>
              <w:top w:val="single" w:sz="4" w:space="0" w:color="auto"/>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b/>
                <w:bCs/>
                <w:color w:val="1F497D"/>
                <w:szCs w:val="24"/>
                <w:lang w:eastAsia="en-GB"/>
              </w:rPr>
            </w:pPr>
            <w:r w:rsidRPr="00F93EEB">
              <w:rPr>
                <w:rFonts w:eastAsia="Times New Roman"/>
                <w:b/>
                <w:bCs/>
                <w:color w:val="1F497D"/>
                <w:szCs w:val="24"/>
                <w:lang w:eastAsia="en-GB"/>
              </w:rPr>
              <w:t>% point difference</w:t>
            </w:r>
          </w:p>
        </w:tc>
        <w:tc>
          <w:tcPr>
            <w:tcW w:w="1164" w:type="dxa"/>
            <w:tcBorders>
              <w:top w:val="single" w:sz="4" w:space="0" w:color="auto"/>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b/>
                <w:bCs/>
                <w:color w:val="000000"/>
                <w:szCs w:val="24"/>
                <w:lang w:eastAsia="en-GB"/>
              </w:rPr>
            </w:pPr>
            <w:r w:rsidRPr="00F93EEB">
              <w:rPr>
                <w:rFonts w:eastAsia="Times New Roman"/>
                <w:b/>
                <w:bCs/>
                <w:color w:val="000000"/>
                <w:szCs w:val="24"/>
                <w:lang w:eastAsia="en-GB"/>
              </w:rPr>
              <w:t>Acute Average (BME staff)</w:t>
            </w:r>
          </w:p>
        </w:tc>
        <w:tc>
          <w:tcPr>
            <w:tcW w:w="1124" w:type="dxa"/>
            <w:tcBorders>
              <w:top w:val="single" w:sz="4" w:space="0" w:color="auto"/>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b/>
                <w:bCs/>
                <w:color w:val="000000"/>
                <w:szCs w:val="24"/>
                <w:lang w:eastAsia="en-GB"/>
              </w:rPr>
            </w:pPr>
            <w:r w:rsidRPr="00F93EEB">
              <w:rPr>
                <w:rFonts w:eastAsia="Times New Roman"/>
                <w:b/>
                <w:bCs/>
                <w:color w:val="000000"/>
                <w:szCs w:val="24"/>
                <w:lang w:eastAsia="en-GB"/>
              </w:rPr>
              <w:t>Acute average (white staff)</w:t>
            </w:r>
          </w:p>
        </w:tc>
      </w:tr>
      <w:tr w:rsidR="0079147F" w:rsidRPr="00F93EEB" w:rsidTr="0079147F">
        <w:trPr>
          <w:cantSplit/>
          <w:trHeight w:val="315"/>
          <w:tblHeader/>
          <w:jc w:val="center"/>
        </w:trPr>
        <w:tc>
          <w:tcPr>
            <w:tcW w:w="75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2018</w:t>
            </w:r>
          </w:p>
        </w:tc>
        <w:tc>
          <w:tcPr>
            <w:tcW w:w="1070"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36.1%</w:t>
            </w:r>
          </w:p>
        </w:tc>
        <w:tc>
          <w:tcPr>
            <w:tcW w:w="1070"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29.2%</w:t>
            </w:r>
          </w:p>
        </w:tc>
        <w:tc>
          <w:tcPr>
            <w:tcW w:w="1364"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F93EEB">
              <w:rPr>
                <w:rFonts w:eastAsia="Times New Roman"/>
                <w:color w:val="1F497D"/>
                <w:szCs w:val="24"/>
                <w:lang w:eastAsia="en-GB"/>
              </w:rPr>
              <w:t>6.9%</w:t>
            </w:r>
            <w:r>
              <w:rPr>
                <w:rFonts w:eastAsia="Times New Roman"/>
                <w:color w:val="1F497D"/>
                <w:szCs w:val="24"/>
                <w:lang w:eastAsia="en-GB"/>
              </w:rPr>
              <w:t>)</w:t>
            </w:r>
          </w:p>
        </w:tc>
        <w:tc>
          <w:tcPr>
            <w:tcW w:w="1164"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28.9%</w:t>
            </w:r>
          </w:p>
        </w:tc>
        <w:tc>
          <w:tcPr>
            <w:tcW w:w="1124"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27.0%</w:t>
            </w:r>
          </w:p>
        </w:tc>
      </w:tr>
      <w:tr w:rsidR="0079147F" w:rsidRPr="00F93EEB" w:rsidTr="0079147F">
        <w:trPr>
          <w:cantSplit/>
          <w:trHeight w:val="315"/>
          <w:tblHeader/>
          <w:jc w:val="center"/>
        </w:trPr>
        <w:tc>
          <w:tcPr>
            <w:tcW w:w="750" w:type="dxa"/>
            <w:tcBorders>
              <w:top w:val="nil"/>
              <w:left w:val="single" w:sz="8" w:space="0" w:color="auto"/>
              <w:bottom w:val="single" w:sz="4"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2019</w:t>
            </w:r>
          </w:p>
        </w:tc>
        <w:tc>
          <w:tcPr>
            <w:tcW w:w="1070"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37.8%</w:t>
            </w:r>
          </w:p>
        </w:tc>
        <w:tc>
          <w:tcPr>
            <w:tcW w:w="1070"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27.6%</w:t>
            </w:r>
          </w:p>
        </w:tc>
        <w:tc>
          <w:tcPr>
            <w:tcW w:w="1364"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F93EEB">
              <w:rPr>
                <w:rFonts w:eastAsia="Times New Roman"/>
                <w:color w:val="1F497D"/>
                <w:szCs w:val="24"/>
                <w:lang w:eastAsia="en-GB"/>
              </w:rPr>
              <w:t>10.2%</w:t>
            </w:r>
            <w:r>
              <w:rPr>
                <w:rFonts w:eastAsia="Times New Roman"/>
                <w:color w:val="1F497D"/>
                <w:szCs w:val="24"/>
                <w:lang w:eastAsia="en-GB"/>
              </w:rPr>
              <w:t>)</w:t>
            </w:r>
          </w:p>
        </w:tc>
        <w:tc>
          <w:tcPr>
            <w:tcW w:w="1164"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29.5%</w:t>
            </w:r>
          </w:p>
        </w:tc>
        <w:tc>
          <w:tcPr>
            <w:tcW w:w="1124"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27.6%</w:t>
            </w:r>
          </w:p>
        </w:tc>
      </w:tr>
      <w:tr w:rsidR="0079147F" w:rsidRPr="00F93EEB" w:rsidTr="0079147F">
        <w:trPr>
          <w:cantSplit/>
          <w:trHeight w:val="315"/>
          <w:tblHeader/>
          <w:jc w:val="center"/>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2020</w:t>
            </w:r>
          </w:p>
        </w:tc>
        <w:tc>
          <w:tcPr>
            <w:tcW w:w="1070"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33.5%</w:t>
            </w:r>
          </w:p>
        </w:tc>
        <w:tc>
          <w:tcPr>
            <w:tcW w:w="1070"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28.0%</w:t>
            </w:r>
          </w:p>
        </w:tc>
        <w:tc>
          <w:tcPr>
            <w:tcW w:w="1364"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F93EEB">
              <w:rPr>
                <w:rFonts w:eastAsia="Times New Roman"/>
                <w:color w:val="1F497D"/>
                <w:szCs w:val="24"/>
                <w:lang w:eastAsia="en-GB"/>
              </w:rPr>
              <w:t>5.5%</w:t>
            </w:r>
            <w:r>
              <w:rPr>
                <w:rFonts w:eastAsia="Times New Roman"/>
                <w:color w:val="1F497D"/>
                <w:szCs w:val="24"/>
                <w:lang w:eastAsia="en-GB"/>
              </w:rPr>
              <w:t>)</w:t>
            </w:r>
          </w:p>
        </w:tc>
        <w:tc>
          <w:tcPr>
            <w:tcW w:w="1164"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28.0%</w:t>
            </w:r>
          </w:p>
        </w:tc>
        <w:tc>
          <w:tcPr>
            <w:tcW w:w="1124"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25.4%</w:t>
            </w:r>
          </w:p>
        </w:tc>
      </w:tr>
    </w:tbl>
    <w:p w:rsidR="0079147F" w:rsidRPr="004C04C6" w:rsidRDefault="0079147F" w:rsidP="0079147F">
      <w:pPr>
        <w:rPr>
          <w:b/>
        </w:rPr>
      </w:pPr>
    </w:p>
    <w:p w:rsidR="0079147F" w:rsidRDefault="0079147F" w:rsidP="0079147F">
      <w:pPr>
        <w:jc w:val="center"/>
        <w:rPr>
          <w:b/>
          <w:color w:val="0072C6"/>
          <w:szCs w:val="24"/>
        </w:rPr>
      </w:pPr>
      <w:r>
        <w:rPr>
          <w:noProof/>
          <w:lang w:eastAsia="en-GB"/>
        </w:rPr>
        <w:lastRenderedPageBreak/>
        <w:drawing>
          <wp:inline distT="0" distB="0" distL="0" distR="0" wp14:anchorId="7F16C77F" wp14:editId="27F03CCA">
            <wp:extent cx="5953125" cy="2743200"/>
            <wp:effectExtent l="0" t="0" r="0" b="0"/>
            <wp:docPr id="14" name="Chart 14" title="Staff experiencing harassment, bullying or abuse from patients, relatives, or the public in last 12 months broken down by ethnicity"/>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9147F" w:rsidRDefault="0079147F" w:rsidP="0079147F">
      <w:r>
        <w:t xml:space="preserve">Compared to the previous year, there has been a decrease in the number of Trust BME staff (and a small increase for white staff), highlighting they have experienced harassment, bullying or abuse from patients, relatives, etc. This has led to the percentage point difference between the two groups getting smaller. </w:t>
      </w:r>
      <w:r w:rsidRPr="009F5C37">
        <w:t>However, the overall Trust data for staff experiencing bullying and harassment from patients is worse than the NHS acute trust average</w:t>
      </w:r>
      <w:r>
        <w:t>, particularly for BME staff</w:t>
      </w:r>
      <w:r w:rsidRPr="009F5C37">
        <w:t>.</w:t>
      </w:r>
    </w:p>
    <w:p w:rsidR="0079147F" w:rsidRDefault="0079147F" w:rsidP="0079147F">
      <w:pPr>
        <w:pStyle w:val="Heading2"/>
      </w:pPr>
      <w:bookmarkStart w:id="33" w:name="Indicator_6"/>
      <w:bookmarkStart w:id="34" w:name="_Toc79152368"/>
      <w:r w:rsidRPr="00262EC3">
        <w:t xml:space="preserve">Indicator </w:t>
      </w:r>
      <w:r>
        <w:t>6</w:t>
      </w:r>
      <w:r w:rsidRPr="00262EC3">
        <w:t xml:space="preserve"> - Percentage of staff experiencing harassment, bullying</w:t>
      </w:r>
      <w:r>
        <w:t>,</w:t>
      </w:r>
      <w:r w:rsidRPr="00262EC3">
        <w:t xml:space="preserve"> or abuse from </w:t>
      </w:r>
      <w:r>
        <w:t>staff</w:t>
      </w:r>
      <w:r w:rsidRPr="00262EC3">
        <w:t xml:space="preserve"> in last 12 months</w:t>
      </w:r>
      <w:r>
        <w:t xml:space="preserve"> – KF26 from NHS Staff Survey</w:t>
      </w:r>
      <w:bookmarkEnd w:id="34"/>
    </w:p>
    <w:p w:rsidR="0079147F" w:rsidRDefault="0079147F" w:rsidP="0079147F"/>
    <w:p w:rsidR="0079147F" w:rsidRDefault="0079147F" w:rsidP="0079147F">
      <w:pPr>
        <w:pStyle w:val="Heading3"/>
      </w:pPr>
      <w:bookmarkStart w:id="35" w:name="_Toc79152369"/>
      <w:r w:rsidRPr="004C04C6">
        <w:t>Brighton and Sussex University Hospitals NHS Trust:</w:t>
      </w:r>
      <w:bookmarkEnd w:id="35"/>
    </w:p>
    <w:p w:rsidR="0079147F" w:rsidRPr="0079147F" w:rsidRDefault="0079147F" w:rsidP="0079147F"/>
    <w:tbl>
      <w:tblPr>
        <w:tblW w:w="6462" w:type="dxa"/>
        <w:jc w:val="center"/>
        <w:tblLook w:val="04A0" w:firstRow="1" w:lastRow="0" w:firstColumn="1" w:lastColumn="0" w:noHBand="0" w:noVBand="1"/>
        <w:tblCaption w:val="Staff experiencing harassment, bullying, or abuse from staff in last 12 months broken down by ethnicity"/>
      </w:tblPr>
      <w:tblGrid>
        <w:gridCol w:w="1017"/>
        <w:gridCol w:w="1030"/>
        <w:gridCol w:w="1030"/>
        <w:gridCol w:w="1364"/>
        <w:gridCol w:w="1164"/>
        <w:gridCol w:w="1124"/>
      </w:tblGrid>
      <w:tr w:rsidR="0079147F" w:rsidRPr="004F2C38" w:rsidTr="0079147F">
        <w:trPr>
          <w:cantSplit/>
          <w:trHeight w:val="1590"/>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47F" w:rsidRPr="001A4F13" w:rsidRDefault="0079147F" w:rsidP="001E0F80">
            <w:pPr>
              <w:spacing w:after="0" w:line="240" w:lineRule="auto"/>
              <w:rPr>
                <w:rFonts w:eastAsia="Times New Roman"/>
                <w:b/>
                <w:bCs/>
                <w:color w:val="000000"/>
                <w:szCs w:val="24"/>
                <w:lang w:eastAsia="en-GB"/>
              </w:rPr>
            </w:pPr>
            <w:r>
              <w:rPr>
                <w:rFonts w:eastAsia="Times New Roman"/>
                <w:b/>
                <w:bCs/>
                <w:color w:val="000000"/>
                <w:szCs w:val="24"/>
                <w:lang w:eastAsia="en-GB"/>
              </w:rPr>
              <w:t>Staff Survey Year</w:t>
            </w:r>
          </w:p>
        </w:tc>
        <w:tc>
          <w:tcPr>
            <w:tcW w:w="103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79147F" w:rsidRPr="004F2C38" w:rsidRDefault="0079147F" w:rsidP="001E0F80">
            <w:pPr>
              <w:spacing w:after="0" w:line="240" w:lineRule="auto"/>
              <w:jc w:val="center"/>
              <w:rPr>
                <w:rFonts w:eastAsia="Times New Roman"/>
                <w:b/>
                <w:bCs/>
                <w:color w:val="000000"/>
                <w:szCs w:val="24"/>
                <w:lang w:eastAsia="en-GB"/>
              </w:rPr>
            </w:pPr>
            <w:r w:rsidRPr="004F2C38">
              <w:rPr>
                <w:rFonts w:eastAsia="Times New Roman"/>
                <w:b/>
                <w:bCs/>
                <w:color w:val="000000"/>
                <w:szCs w:val="24"/>
                <w:lang w:eastAsia="en-GB"/>
              </w:rPr>
              <w:t>BSUH BME staff</w:t>
            </w:r>
          </w:p>
        </w:tc>
        <w:tc>
          <w:tcPr>
            <w:tcW w:w="1030" w:type="dxa"/>
            <w:tcBorders>
              <w:top w:val="single" w:sz="4" w:space="0" w:color="auto"/>
              <w:left w:val="nil"/>
              <w:bottom w:val="single" w:sz="8" w:space="0" w:color="auto"/>
              <w:right w:val="single" w:sz="8" w:space="0" w:color="auto"/>
            </w:tcBorders>
            <w:shd w:val="clear" w:color="auto" w:fill="auto"/>
            <w:vAlign w:val="center"/>
            <w:hideMark/>
          </w:tcPr>
          <w:p w:rsidR="0079147F" w:rsidRPr="004F2C38" w:rsidRDefault="0079147F" w:rsidP="001E0F80">
            <w:pPr>
              <w:spacing w:after="0" w:line="240" w:lineRule="auto"/>
              <w:jc w:val="center"/>
              <w:rPr>
                <w:rFonts w:eastAsia="Times New Roman"/>
                <w:b/>
                <w:bCs/>
                <w:color w:val="000000"/>
                <w:szCs w:val="24"/>
                <w:lang w:eastAsia="en-GB"/>
              </w:rPr>
            </w:pPr>
            <w:r w:rsidRPr="004F2C38">
              <w:rPr>
                <w:rFonts w:eastAsia="Times New Roman"/>
                <w:b/>
                <w:bCs/>
                <w:color w:val="000000"/>
                <w:szCs w:val="24"/>
                <w:lang w:eastAsia="en-GB"/>
              </w:rPr>
              <w:t>BSUH white staff</w:t>
            </w:r>
          </w:p>
        </w:tc>
        <w:tc>
          <w:tcPr>
            <w:tcW w:w="1364" w:type="dxa"/>
            <w:tcBorders>
              <w:top w:val="single" w:sz="4" w:space="0" w:color="auto"/>
              <w:left w:val="nil"/>
              <w:bottom w:val="single" w:sz="8" w:space="0" w:color="auto"/>
              <w:right w:val="single" w:sz="8" w:space="0" w:color="auto"/>
            </w:tcBorders>
            <w:shd w:val="clear" w:color="auto" w:fill="auto"/>
            <w:vAlign w:val="center"/>
            <w:hideMark/>
          </w:tcPr>
          <w:p w:rsidR="0079147F" w:rsidRPr="004F2C38" w:rsidRDefault="0079147F" w:rsidP="001E0F80">
            <w:pPr>
              <w:spacing w:after="0" w:line="240" w:lineRule="auto"/>
              <w:jc w:val="center"/>
              <w:rPr>
                <w:rFonts w:eastAsia="Times New Roman"/>
                <w:b/>
                <w:bCs/>
                <w:color w:val="1F497D"/>
                <w:szCs w:val="24"/>
                <w:lang w:eastAsia="en-GB"/>
              </w:rPr>
            </w:pPr>
            <w:r w:rsidRPr="004F2C38">
              <w:rPr>
                <w:rFonts w:eastAsia="Times New Roman"/>
                <w:b/>
                <w:bCs/>
                <w:color w:val="1F497D"/>
                <w:szCs w:val="24"/>
                <w:lang w:eastAsia="en-GB"/>
              </w:rPr>
              <w:t>% point difference</w:t>
            </w:r>
          </w:p>
        </w:tc>
        <w:tc>
          <w:tcPr>
            <w:tcW w:w="1164" w:type="dxa"/>
            <w:tcBorders>
              <w:top w:val="single" w:sz="4" w:space="0" w:color="auto"/>
              <w:left w:val="nil"/>
              <w:bottom w:val="single" w:sz="8" w:space="0" w:color="auto"/>
              <w:right w:val="single" w:sz="8" w:space="0" w:color="auto"/>
            </w:tcBorders>
            <w:shd w:val="clear" w:color="auto" w:fill="auto"/>
            <w:vAlign w:val="center"/>
            <w:hideMark/>
          </w:tcPr>
          <w:p w:rsidR="0079147F" w:rsidRPr="004F2C38" w:rsidRDefault="0079147F" w:rsidP="001E0F80">
            <w:pPr>
              <w:spacing w:after="0" w:line="240" w:lineRule="auto"/>
              <w:jc w:val="center"/>
              <w:rPr>
                <w:rFonts w:eastAsia="Times New Roman"/>
                <w:b/>
                <w:bCs/>
                <w:color w:val="000000"/>
                <w:szCs w:val="24"/>
                <w:lang w:eastAsia="en-GB"/>
              </w:rPr>
            </w:pPr>
            <w:r w:rsidRPr="004F2C38">
              <w:rPr>
                <w:rFonts w:eastAsia="Times New Roman"/>
                <w:b/>
                <w:bCs/>
                <w:color w:val="000000"/>
                <w:szCs w:val="24"/>
                <w:lang w:eastAsia="en-GB"/>
              </w:rPr>
              <w:t>Acute Average (BME staff)</w:t>
            </w:r>
          </w:p>
        </w:tc>
        <w:tc>
          <w:tcPr>
            <w:tcW w:w="1124" w:type="dxa"/>
            <w:tcBorders>
              <w:top w:val="single" w:sz="4" w:space="0" w:color="auto"/>
              <w:left w:val="nil"/>
              <w:bottom w:val="single" w:sz="8" w:space="0" w:color="auto"/>
              <w:right w:val="single" w:sz="8" w:space="0" w:color="auto"/>
            </w:tcBorders>
            <w:shd w:val="clear" w:color="auto" w:fill="auto"/>
            <w:vAlign w:val="center"/>
            <w:hideMark/>
          </w:tcPr>
          <w:p w:rsidR="0079147F" w:rsidRPr="004F2C38" w:rsidRDefault="0079147F" w:rsidP="001E0F80">
            <w:pPr>
              <w:spacing w:after="0" w:line="240" w:lineRule="auto"/>
              <w:jc w:val="center"/>
              <w:rPr>
                <w:rFonts w:eastAsia="Times New Roman"/>
                <w:b/>
                <w:bCs/>
                <w:color w:val="000000"/>
                <w:szCs w:val="24"/>
                <w:lang w:eastAsia="en-GB"/>
              </w:rPr>
            </w:pPr>
            <w:r w:rsidRPr="004F2C38">
              <w:rPr>
                <w:rFonts w:eastAsia="Times New Roman"/>
                <w:b/>
                <w:bCs/>
                <w:color w:val="000000"/>
                <w:szCs w:val="24"/>
                <w:lang w:eastAsia="en-GB"/>
              </w:rPr>
              <w:t>Acute average (white staff)</w:t>
            </w:r>
          </w:p>
        </w:tc>
      </w:tr>
      <w:tr w:rsidR="0079147F" w:rsidRPr="004F2C38" w:rsidTr="001E0F80">
        <w:trPr>
          <w:cantSplit/>
          <w:trHeight w:val="315"/>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47F" w:rsidRPr="004F2C38" w:rsidRDefault="0079147F" w:rsidP="001E0F80">
            <w:pPr>
              <w:spacing w:after="0" w:line="240" w:lineRule="auto"/>
              <w:jc w:val="center"/>
              <w:rPr>
                <w:rFonts w:eastAsia="Times New Roman"/>
                <w:color w:val="000000"/>
                <w:szCs w:val="24"/>
                <w:lang w:eastAsia="en-GB"/>
              </w:rPr>
            </w:pPr>
            <w:r w:rsidRPr="004F2C38">
              <w:rPr>
                <w:rFonts w:eastAsia="Times New Roman"/>
                <w:color w:val="000000"/>
                <w:szCs w:val="24"/>
                <w:lang w:eastAsia="en-GB"/>
              </w:rPr>
              <w:t>2018</w:t>
            </w:r>
          </w:p>
        </w:tc>
        <w:tc>
          <w:tcPr>
            <w:tcW w:w="1030" w:type="dxa"/>
            <w:tcBorders>
              <w:top w:val="nil"/>
              <w:left w:val="nil"/>
              <w:bottom w:val="single" w:sz="8" w:space="0" w:color="auto"/>
              <w:right w:val="single" w:sz="8" w:space="0" w:color="auto"/>
            </w:tcBorders>
            <w:shd w:val="clear" w:color="auto" w:fill="auto"/>
            <w:vAlign w:val="center"/>
            <w:hideMark/>
          </w:tcPr>
          <w:p w:rsidR="0079147F" w:rsidRPr="004F2C38" w:rsidRDefault="0079147F" w:rsidP="001E0F80">
            <w:pPr>
              <w:spacing w:after="0" w:line="240" w:lineRule="auto"/>
              <w:jc w:val="center"/>
              <w:rPr>
                <w:rFonts w:eastAsia="Times New Roman"/>
                <w:color w:val="000000"/>
                <w:szCs w:val="24"/>
                <w:lang w:eastAsia="en-GB"/>
              </w:rPr>
            </w:pPr>
            <w:r w:rsidRPr="004F2C38">
              <w:rPr>
                <w:rFonts w:eastAsia="Times New Roman"/>
                <w:color w:val="000000"/>
                <w:szCs w:val="24"/>
                <w:lang w:eastAsia="en-GB"/>
              </w:rPr>
              <w:t>30.40%</w:t>
            </w:r>
          </w:p>
        </w:tc>
        <w:tc>
          <w:tcPr>
            <w:tcW w:w="1030" w:type="dxa"/>
            <w:tcBorders>
              <w:top w:val="nil"/>
              <w:left w:val="nil"/>
              <w:bottom w:val="single" w:sz="8" w:space="0" w:color="auto"/>
              <w:right w:val="single" w:sz="8" w:space="0" w:color="auto"/>
            </w:tcBorders>
            <w:shd w:val="clear" w:color="auto" w:fill="auto"/>
            <w:vAlign w:val="center"/>
            <w:hideMark/>
          </w:tcPr>
          <w:p w:rsidR="0079147F" w:rsidRPr="004F2C38" w:rsidRDefault="0079147F" w:rsidP="001E0F80">
            <w:pPr>
              <w:spacing w:after="0" w:line="240" w:lineRule="auto"/>
              <w:jc w:val="center"/>
              <w:rPr>
                <w:rFonts w:eastAsia="Times New Roman"/>
                <w:color w:val="000000"/>
                <w:szCs w:val="24"/>
                <w:lang w:eastAsia="en-GB"/>
              </w:rPr>
            </w:pPr>
            <w:r w:rsidRPr="004F2C38">
              <w:rPr>
                <w:rFonts w:eastAsia="Times New Roman"/>
                <w:color w:val="000000"/>
                <w:szCs w:val="24"/>
                <w:lang w:eastAsia="en-GB"/>
              </w:rPr>
              <w:t>26.30%</w:t>
            </w:r>
          </w:p>
        </w:tc>
        <w:tc>
          <w:tcPr>
            <w:tcW w:w="1364" w:type="dxa"/>
            <w:tcBorders>
              <w:top w:val="nil"/>
              <w:left w:val="nil"/>
              <w:bottom w:val="single" w:sz="8" w:space="0" w:color="auto"/>
              <w:right w:val="single" w:sz="8" w:space="0" w:color="auto"/>
            </w:tcBorders>
            <w:shd w:val="clear" w:color="auto" w:fill="auto"/>
            <w:vAlign w:val="center"/>
            <w:hideMark/>
          </w:tcPr>
          <w:p w:rsidR="0079147F" w:rsidRPr="004F2C38" w:rsidRDefault="0079147F"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4F2C38">
              <w:rPr>
                <w:rFonts w:eastAsia="Times New Roman"/>
                <w:color w:val="1F497D"/>
                <w:szCs w:val="24"/>
                <w:lang w:eastAsia="en-GB"/>
              </w:rPr>
              <w:t>4.10%</w:t>
            </w:r>
            <w:r>
              <w:rPr>
                <w:rFonts w:eastAsia="Times New Roman"/>
                <w:color w:val="1F497D"/>
                <w:szCs w:val="24"/>
                <w:lang w:eastAsia="en-GB"/>
              </w:rPr>
              <w:t>)</w:t>
            </w:r>
          </w:p>
        </w:tc>
        <w:tc>
          <w:tcPr>
            <w:tcW w:w="1164" w:type="dxa"/>
            <w:tcBorders>
              <w:top w:val="nil"/>
              <w:left w:val="nil"/>
              <w:bottom w:val="single" w:sz="8" w:space="0" w:color="auto"/>
              <w:right w:val="single" w:sz="8" w:space="0" w:color="auto"/>
            </w:tcBorders>
            <w:shd w:val="clear" w:color="auto" w:fill="auto"/>
            <w:vAlign w:val="center"/>
            <w:hideMark/>
          </w:tcPr>
          <w:p w:rsidR="0079147F" w:rsidRPr="004F2C38" w:rsidRDefault="0079147F" w:rsidP="001E0F80">
            <w:pPr>
              <w:spacing w:after="0" w:line="240" w:lineRule="auto"/>
              <w:jc w:val="center"/>
              <w:rPr>
                <w:rFonts w:eastAsia="Times New Roman"/>
                <w:color w:val="000000"/>
                <w:szCs w:val="24"/>
                <w:lang w:eastAsia="en-GB"/>
              </w:rPr>
            </w:pPr>
            <w:r w:rsidRPr="004F2C38">
              <w:rPr>
                <w:rFonts w:eastAsia="Times New Roman"/>
                <w:color w:val="000000"/>
                <w:szCs w:val="24"/>
                <w:lang w:eastAsia="en-GB"/>
              </w:rPr>
              <w:t>28.70%</w:t>
            </w:r>
          </w:p>
        </w:tc>
        <w:tc>
          <w:tcPr>
            <w:tcW w:w="1124" w:type="dxa"/>
            <w:tcBorders>
              <w:top w:val="nil"/>
              <w:left w:val="nil"/>
              <w:bottom w:val="single" w:sz="8" w:space="0" w:color="auto"/>
              <w:right w:val="single" w:sz="8" w:space="0" w:color="auto"/>
            </w:tcBorders>
            <w:shd w:val="clear" w:color="auto" w:fill="auto"/>
            <w:vAlign w:val="center"/>
            <w:hideMark/>
          </w:tcPr>
          <w:p w:rsidR="0079147F" w:rsidRPr="004F2C38" w:rsidRDefault="0079147F" w:rsidP="001E0F80">
            <w:pPr>
              <w:spacing w:after="0" w:line="240" w:lineRule="auto"/>
              <w:jc w:val="center"/>
              <w:rPr>
                <w:rFonts w:eastAsia="Times New Roman"/>
                <w:color w:val="000000"/>
                <w:szCs w:val="24"/>
                <w:lang w:eastAsia="en-GB"/>
              </w:rPr>
            </w:pPr>
            <w:r w:rsidRPr="004F2C38">
              <w:rPr>
                <w:rFonts w:eastAsia="Times New Roman"/>
                <w:color w:val="000000"/>
                <w:szCs w:val="24"/>
                <w:lang w:eastAsia="en-GB"/>
              </w:rPr>
              <w:t>24.90%</w:t>
            </w:r>
          </w:p>
        </w:tc>
      </w:tr>
      <w:tr w:rsidR="0079147F" w:rsidRPr="004F2C38" w:rsidTr="001E0F80">
        <w:trPr>
          <w:cantSplit/>
          <w:trHeight w:val="315"/>
          <w:tblHeader/>
          <w:jc w:val="center"/>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79147F" w:rsidRPr="004F2C38" w:rsidRDefault="0079147F" w:rsidP="001E0F80">
            <w:pPr>
              <w:spacing w:after="0" w:line="240" w:lineRule="auto"/>
              <w:jc w:val="center"/>
              <w:rPr>
                <w:rFonts w:eastAsia="Times New Roman"/>
                <w:color w:val="000000"/>
                <w:szCs w:val="24"/>
                <w:lang w:eastAsia="en-GB"/>
              </w:rPr>
            </w:pPr>
            <w:r w:rsidRPr="004F2C38">
              <w:rPr>
                <w:rFonts w:eastAsia="Times New Roman"/>
                <w:color w:val="000000"/>
                <w:szCs w:val="24"/>
                <w:lang w:eastAsia="en-GB"/>
              </w:rPr>
              <w:t>2019</w:t>
            </w:r>
          </w:p>
        </w:tc>
        <w:tc>
          <w:tcPr>
            <w:tcW w:w="1030" w:type="dxa"/>
            <w:tcBorders>
              <w:top w:val="nil"/>
              <w:left w:val="nil"/>
              <w:bottom w:val="single" w:sz="8" w:space="0" w:color="auto"/>
              <w:right w:val="single" w:sz="8" w:space="0" w:color="auto"/>
            </w:tcBorders>
            <w:shd w:val="clear" w:color="auto" w:fill="auto"/>
            <w:vAlign w:val="center"/>
            <w:hideMark/>
          </w:tcPr>
          <w:p w:rsidR="0079147F" w:rsidRPr="004F2C38" w:rsidRDefault="0079147F" w:rsidP="001E0F80">
            <w:pPr>
              <w:spacing w:after="0" w:line="240" w:lineRule="auto"/>
              <w:jc w:val="center"/>
              <w:rPr>
                <w:rFonts w:eastAsia="Times New Roman"/>
                <w:color w:val="000000"/>
                <w:szCs w:val="24"/>
                <w:lang w:eastAsia="en-GB"/>
              </w:rPr>
            </w:pPr>
            <w:r w:rsidRPr="004F2C38">
              <w:rPr>
                <w:rFonts w:eastAsia="Times New Roman"/>
                <w:color w:val="000000"/>
                <w:szCs w:val="24"/>
                <w:lang w:eastAsia="en-GB"/>
              </w:rPr>
              <w:t>25.30%</w:t>
            </w:r>
          </w:p>
        </w:tc>
        <w:tc>
          <w:tcPr>
            <w:tcW w:w="1030" w:type="dxa"/>
            <w:tcBorders>
              <w:top w:val="nil"/>
              <w:left w:val="nil"/>
              <w:bottom w:val="single" w:sz="8" w:space="0" w:color="auto"/>
              <w:right w:val="single" w:sz="8" w:space="0" w:color="auto"/>
            </w:tcBorders>
            <w:shd w:val="clear" w:color="auto" w:fill="auto"/>
            <w:vAlign w:val="center"/>
            <w:hideMark/>
          </w:tcPr>
          <w:p w:rsidR="0079147F" w:rsidRPr="004F2C38" w:rsidRDefault="0079147F" w:rsidP="001E0F80">
            <w:pPr>
              <w:spacing w:after="0" w:line="240" w:lineRule="auto"/>
              <w:jc w:val="center"/>
              <w:rPr>
                <w:rFonts w:eastAsia="Times New Roman"/>
                <w:color w:val="000000"/>
                <w:szCs w:val="24"/>
                <w:lang w:eastAsia="en-GB"/>
              </w:rPr>
            </w:pPr>
            <w:r w:rsidRPr="004F2C38">
              <w:rPr>
                <w:rFonts w:eastAsia="Times New Roman"/>
                <w:color w:val="000000"/>
                <w:szCs w:val="24"/>
                <w:lang w:eastAsia="en-GB"/>
              </w:rPr>
              <w:t>24.70%</w:t>
            </w:r>
          </w:p>
        </w:tc>
        <w:tc>
          <w:tcPr>
            <w:tcW w:w="1364" w:type="dxa"/>
            <w:tcBorders>
              <w:top w:val="nil"/>
              <w:left w:val="nil"/>
              <w:bottom w:val="single" w:sz="8" w:space="0" w:color="auto"/>
              <w:right w:val="single" w:sz="8" w:space="0" w:color="auto"/>
            </w:tcBorders>
            <w:shd w:val="clear" w:color="auto" w:fill="auto"/>
            <w:vAlign w:val="center"/>
            <w:hideMark/>
          </w:tcPr>
          <w:p w:rsidR="0079147F" w:rsidRPr="004F2C38" w:rsidRDefault="0079147F"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4F2C38">
              <w:rPr>
                <w:rFonts w:eastAsia="Times New Roman"/>
                <w:color w:val="1F497D"/>
                <w:szCs w:val="24"/>
                <w:lang w:eastAsia="en-GB"/>
              </w:rPr>
              <w:t>0.60%</w:t>
            </w:r>
            <w:r>
              <w:rPr>
                <w:rFonts w:eastAsia="Times New Roman"/>
                <w:color w:val="1F497D"/>
                <w:szCs w:val="24"/>
                <w:lang w:eastAsia="en-GB"/>
              </w:rPr>
              <w:t>)</w:t>
            </w:r>
          </w:p>
        </w:tc>
        <w:tc>
          <w:tcPr>
            <w:tcW w:w="1164" w:type="dxa"/>
            <w:tcBorders>
              <w:top w:val="nil"/>
              <w:left w:val="nil"/>
              <w:bottom w:val="single" w:sz="8" w:space="0" w:color="auto"/>
              <w:right w:val="single" w:sz="8" w:space="0" w:color="auto"/>
            </w:tcBorders>
            <w:shd w:val="clear" w:color="auto" w:fill="auto"/>
            <w:vAlign w:val="center"/>
            <w:hideMark/>
          </w:tcPr>
          <w:p w:rsidR="0079147F" w:rsidRPr="004F2C38" w:rsidRDefault="0079147F" w:rsidP="001E0F80">
            <w:pPr>
              <w:spacing w:after="0" w:line="240" w:lineRule="auto"/>
              <w:jc w:val="center"/>
              <w:rPr>
                <w:rFonts w:eastAsia="Times New Roman"/>
                <w:color w:val="000000"/>
                <w:szCs w:val="24"/>
                <w:lang w:eastAsia="en-GB"/>
              </w:rPr>
            </w:pPr>
            <w:r w:rsidRPr="004F2C38">
              <w:rPr>
                <w:rFonts w:eastAsia="Times New Roman"/>
                <w:color w:val="000000"/>
                <w:szCs w:val="24"/>
                <w:lang w:eastAsia="en-GB"/>
              </w:rPr>
              <w:t>28.60%</w:t>
            </w:r>
          </w:p>
        </w:tc>
        <w:tc>
          <w:tcPr>
            <w:tcW w:w="1124" w:type="dxa"/>
            <w:tcBorders>
              <w:top w:val="nil"/>
              <w:left w:val="nil"/>
              <w:bottom w:val="single" w:sz="8" w:space="0" w:color="auto"/>
              <w:right w:val="single" w:sz="8" w:space="0" w:color="auto"/>
            </w:tcBorders>
            <w:shd w:val="clear" w:color="auto" w:fill="auto"/>
            <w:vAlign w:val="center"/>
            <w:hideMark/>
          </w:tcPr>
          <w:p w:rsidR="0079147F" w:rsidRPr="004F2C38" w:rsidRDefault="0079147F" w:rsidP="001E0F80">
            <w:pPr>
              <w:spacing w:after="0" w:line="240" w:lineRule="auto"/>
              <w:jc w:val="center"/>
              <w:rPr>
                <w:rFonts w:eastAsia="Times New Roman"/>
                <w:color w:val="000000"/>
                <w:szCs w:val="24"/>
                <w:lang w:eastAsia="en-GB"/>
              </w:rPr>
            </w:pPr>
            <w:r w:rsidRPr="004F2C38">
              <w:rPr>
                <w:rFonts w:eastAsia="Times New Roman"/>
                <w:color w:val="000000"/>
                <w:szCs w:val="24"/>
                <w:lang w:eastAsia="en-GB"/>
              </w:rPr>
              <w:t>24.50%</w:t>
            </w:r>
          </w:p>
        </w:tc>
      </w:tr>
      <w:tr w:rsidR="0079147F" w:rsidRPr="004F2C38" w:rsidTr="001E0F80">
        <w:trPr>
          <w:cantSplit/>
          <w:trHeight w:val="315"/>
          <w:tblHeader/>
          <w:jc w:val="center"/>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79147F" w:rsidRPr="004F2C38" w:rsidRDefault="0079147F" w:rsidP="001E0F80">
            <w:pPr>
              <w:spacing w:after="0" w:line="240" w:lineRule="auto"/>
              <w:jc w:val="center"/>
              <w:rPr>
                <w:rFonts w:eastAsia="Times New Roman"/>
                <w:color w:val="000000"/>
                <w:szCs w:val="24"/>
                <w:lang w:eastAsia="en-GB"/>
              </w:rPr>
            </w:pPr>
            <w:r w:rsidRPr="004F2C38">
              <w:rPr>
                <w:rFonts w:eastAsia="Times New Roman"/>
                <w:color w:val="000000"/>
                <w:szCs w:val="24"/>
                <w:lang w:eastAsia="en-GB"/>
              </w:rPr>
              <w:t>2020</w:t>
            </w:r>
          </w:p>
        </w:tc>
        <w:tc>
          <w:tcPr>
            <w:tcW w:w="1030" w:type="dxa"/>
            <w:tcBorders>
              <w:top w:val="nil"/>
              <w:left w:val="nil"/>
              <w:bottom w:val="single" w:sz="8" w:space="0" w:color="auto"/>
              <w:right w:val="single" w:sz="8" w:space="0" w:color="auto"/>
            </w:tcBorders>
            <w:shd w:val="clear" w:color="auto" w:fill="auto"/>
            <w:vAlign w:val="center"/>
            <w:hideMark/>
          </w:tcPr>
          <w:p w:rsidR="0079147F" w:rsidRPr="004F2C38" w:rsidRDefault="0079147F" w:rsidP="001E0F80">
            <w:pPr>
              <w:spacing w:after="0" w:line="240" w:lineRule="auto"/>
              <w:jc w:val="center"/>
              <w:rPr>
                <w:rFonts w:eastAsia="Times New Roman"/>
                <w:color w:val="000000"/>
                <w:szCs w:val="24"/>
                <w:lang w:eastAsia="en-GB"/>
              </w:rPr>
            </w:pPr>
            <w:r w:rsidRPr="004F2C38">
              <w:rPr>
                <w:rFonts w:eastAsia="Times New Roman"/>
                <w:color w:val="000000"/>
                <w:szCs w:val="24"/>
                <w:lang w:eastAsia="en-GB"/>
              </w:rPr>
              <w:t>26.80%</w:t>
            </w:r>
          </w:p>
        </w:tc>
        <w:tc>
          <w:tcPr>
            <w:tcW w:w="1030" w:type="dxa"/>
            <w:tcBorders>
              <w:top w:val="nil"/>
              <w:left w:val="nil"/>
              <w:bottom w:val="single" w:sz="8" w:space="0" w:color="auto"/>
              <w:right w:val="single" w:sz="8" w:space="0" w:color="auto"/>
            </w:tcBorders>
            <w:shd w:val="clear" w:color="auto" w:fill="auto"/>
            <w:vAlign w:val="center"/>
            <w:hideMark/>
          </w:tcPr>
          <w:p w:rsidR="0079147F" w:rsidRPr="004F2C38" w:rsidRDefault="0079147F" w:rsidP="001E0F80">
            <w:pPr>
              <w:spacing w:after="0" w:line="240" w:lineRule="auto"/>
              <w:jc w:val="center"/>
              <w:rPr>
                <w:rFonts w:eastAsia="Times New Roman"/>
                <w:color w:val="000000"/>
                <w:szCs w:val="24"/>
                <w:lang w:eastAsia="en-GB"/>
              </w:rPr>
            </w:pPr>
            <w:r w:rsidRPr="004F2C38">
              <w:rPr>
                <w:rFonts w:eastAsia="Times New Roman"/>
                <w:color w:val="000000"/>
                <w:szCs w:val="24"/>
                <w:lang w:eastAsia="en-GB"/>
              </w:rPr>
              <w:t>25.40%</w:t>
            </w:r>
          </w:p>
        </w:tc>
        <w:tc>
          <w:tcPr>
            <w:tcW w:w="1364" w:type="dxa"/>
            <w:tcBorders>
              <w:top w:val="nil"/>
              <w:left w:val="nil"/>
              <w:bottom w:val="single" w:sz="8" w:space="0" w:color="auto"/>
              <w:right w:val="single" w:sz="8" w:space="0" w:color="auto"/>
            </w:tcBorders>
            <w:shd w:val="clear" w:color="auto" w:fill="auto"/>
            <w:vAlign w:val="center"/>
            <w:hideMark/>
          </w:tcPr>
          <w:p w:rsidR="0079147F" w:rsidRPr="004F2C38" w:rsidRDefault="0079147F"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4F2C38">
              <w:rPr>
                <w:rFonts w:eastAsia="Times New Roman"/>
                <w:color w:val="1F497D"/>
                <w:szCs w:val="24"/>
                <w:lang w:eastAsia="en-GB"/>
              </w:rPr>
              <w:t>1.40%</w:t>
            </w:r>
            <w:r>
              <w:rPr>
                <w:rFonts w:eastAsia="Times New Roman"/>
                <w:color w:val="1F497D"/>
                <w:szCs w:val="24"/>
                <w:lang w:eastAsia="en-GB"/>
              </w:rPr>
              <w:t>)</w:t>
            </w:r>
          </w:p>
        </w:tc>
        <w:tc>
          <w:tcPr>
            <w:tcW w:w="1164" w:type="dxa"/>
            <w:tcBorders>
              <w:top w:val="nil"/>
              <w:left w:val="nil"/>
              <w:bottom w:val="single" w:sz="8" w:space="0" w:color="auto"/>
              <w:right w:val="single" w:sz="8" w:space="0" w:color="auto"/>
            </w:tcBorders>
            <w:shd w:val="clear" w:color="auto" w:fill="auto"/>
            <w:vAlign w:val="center"/>
            <w:hideMark/>
          </w:tcPr>
          <w:p w:rsidR="0079147F" w:rsidRPr="004F2C38" w:rsidRDefault="0079147F" w:rsidP="001E0F80">
            <w:pPr>
              <w:spacing w:after="0" w:line="240" w:lineRule="auto"/>
              <w:jc w:val="center"/>
              <w:rPr>
                <w:rFonts w:eastAsia="Times New Roman"/>
                <w:color w:val="000000"/>
                <w:szCs w:val="24"/>
                <w:lang w:eastAsia="en-GB"/>
              </w:rPr>
            </w:pPr>
            <w:r w:rsidRPr="004F2C38">
              <w:rPr>
                <w:rFonts w:eastAsia="Times New Roman"/>
                <w:color w:val="000000"/>
                <w:szCs w:val="24"/>
                <w:lang w:eastAsia="en-GB"/>
              </w:rPr>
              <w:t>29.10%</w:t>
            </w:r>
          </w:p>
        </w:tc>
        <w:tc>
          <w:tcPr>
            <w:tcW w:w="1124" w:type="dxa"/>
            <w:tcBorders>
              <w:top w:val="nil"/>
              <w:left w:val="nil"/>
              <w:bottom w:val="single" w:sz="8" w:space="0" w:color="auto"/>
              <w:right w:val="single" w:sz="8" w:space="0" w:color="auto"/>
            </w:tcBorders>
            <w:shd w:val="clear" w:color="auto" w:fill="auto"/>
            <w:vAlign w:val="center"/>
            <w:hideMark/>
          </w:tcPr>
          <w:p w:rsidR="0079147F" w:rsidRPr="004F2C38" w:rsidRDefault="0079147F" w:rsidP="001E0F80">
            <w:pPr>
              <w:spacing w:after="0" w:line="240" w:lineRule="auto"/>
              <w:jc w:val="center"/>
              <w:rPr>
                <w:rFonts w:eastAsia="Times New Roman"/>
                <w:color w:val="000000"/>
                <w:szCs w:val="24"/>
                <w:lang w:eastAsia="en-GB"/>
              </w:rPr>
            </w:pPr>
            <w:r w:rsidRPr="004F2C38">
              <w:rPr>
                <w:rFonts w:eastAsia="Times New Roman"/>
                <w:color w:val="000000"/>
                <w:szCs w:val="24"/>
                <w:lang w:eastAsia="en-GB"/>
              </w:rPr>
              <w:t>24.40%</w:t>
            </w:r>
          </w:p>
        </w:tc>
      </w:tr>
    </w:tbl>
    <w:p w:rsidR="0079147F" w:rsidRDefault="0079147F" w:rsidP="0079147F">
      <w:pPr>
        <w:jc w:val="center"/>
        <w:rPr>
          <w:color w:val="009E49"/>
          <w:highlight w:val="yellow"/>
        </w:rPr>
      </w:pPr>
      <w:r>
        <w:rPr>
          <w:noProof/>
          <w:lang w:eastAsia="en-GB"/>
        </w:rPr>
        <w:lastRenderedPageBreak/>
        <w:drawing>
          <wp:inline distT="0" distB="0" distL="0" distR="0" wp14:anchorId="4658C95B" wp14:editId="573175D5">
            <wp:extent cx="4572000" cy="2653665"/>
            <wp:effectExtent l="0" t="0" r="0" b="0"/>
            <wp:docPr id="2" name="Chart 2" title="Staff experiencing harassment, bullying, or abuse from staff in last 12 months broken down by ethnicity"/>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9147F" w:rsidRDefault="0079147F" w:rsidP="0079147F">
      <w:r>
        <w:t xml:space="preserve">Compared to the previous year, there has been an increase in the number of Trust BME staff, highlighting that they have experienced harassment, bullying, or abuse from staff in the staff survey. There has also been an increase for white staff but at a lower level. This has led to the percentage point difference between the two groups increasing. </w:t>
      </w:r>
    </w:p>
    <w:p w:rsidR="0079147F" w:rsidRDefault="0079147F" w:rsidP="0079147F">
      <w:pPr>
        <w:rPr>
          <w:b/>
        </w:rPr>
      </w:pPr>
      <w:r>
        <w:t xml:space="preserve">The data does not give an indication of the nature of the bullying or harassment that </w:t>
      </w:r>
      <w:proofErr w:type="gramStart"/>
      <w:r>
        <w:t>staff have</w:t>
      </w:r>
      <w:proofErr w:type="gramEnd"/>
      <w:r>
        <w:t xml:space="preserve"> reported experiencing. </w:t>
      </w:r>
    </w:p>
    <w:p w:rsidR="0079147F" w:rsidRDefault="0079147F" w:rsidP="0079147F">
      <w:pPr>
        <w:rPr>
          <w:b/>
        </w:rPr>
      </w:pPr>
    </w:p>
    <w:p w:rsidR="0079147F" w:rsidRDefault="0079147F" w:rsidP="0079147F">
      <w:pPr>
        <w:pStyle w:val="Heading3"/>
      </w:pPr>
      <w:bookmarkStart w:id="36" w:name="_Toc79152370"/>
      <w:r>
        <w:t>Western Sussex NHS Foundation Trust</w:t>
      </w:r>
      <w:bookmarkEnd w:id="36"/>
    </w:p>
    <w:p w:rsidR="0079147F" w:rsidRPr="0079147F" w:rsidRDefault="0079147F" w:rsidP="0079147F"/>
    <w:tbl>
      <w:tblPr>
        <w:tblW w:w="6542" w:type="dxa"/>
        <w:jc w:val="center"/>
        <w:tblLook w:val="04A0" w:firstRow="1" w:lastRow="0" w:firstColumn="1" w:lastColumn="0" w:noHBand="0" w:noVBand="1"/>
        <w:tblCaption w:val="Staff experiencing harassment, bullying, or abuse from staff in last 12 months broken down by ethnicity"/>
      </w:tblPr>
      <w:tblGrid>
        <w:gridCol w:w="1017"/>
        <w:gridCol w:w="1070"/>
        <w:gridCol w:w="1070"/>
        <w:gridCol w:w="1364"/>
        <w:gridCol w:w="1164"/>
        <w:gridCol w:w="1124"/>
      </w:tblGrid>
      <w:tr w:rsidR="0079147F" w:rsidRPr="00F93EEB" w:rsidTr="0079147F">
        <w:trPr>
          <w:cantSplit/>
          <w:trHeight w:val="1590"/>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47F" w:rsidRPr="001A4F13" w:rsidRDefault="0079147F" w:rsidP="001E0F80">
            <w:pPr>
              <w:spacing w:after="0" w:line="240" w:lineRule="auto"/>
              <w:rPr>
                <w:rFonts w:eastAsia="Times New Roman"/>
                <w:b/>
                <w:bCs/>
                <w:color w:val="000000"/>
                <w:szCs w:val="24"/>
                <w:lang w:eastAsia="en-GB"/>
              </w:rPr>
            </w:pPr>
            <w:r>
              <w:rPr>
                <w:rFonts w:eastAsia="Times New Roman"/>
                <w:b/>
                <w:bCs/>
                <w:color w:val="000000"/>
                <w:szCs w:val="24"/>
                <w:lang w:eastAsia="en-GB"/>
              </w:rPr>
              <w:t>Staff Survey Year</w:t>
            </w:r>
          </w:p>
        </w:tc>
        <w:tc>
          <w:tcPr>
            <w:tcW w:w="107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b/>
                <w:bCs/>
                <w:color w:val="000000"/>
                <w:szCs w:val="24"/>
                <w:lang w:eastAsia="en-GB"/>
              </w:rPr>
            </w:pPr>
            <w:r w:rsidRPr="00F93EEB">
              <w:rPr>
                <w:rFonts w:eastAsia="Times New Roman"/>
                <w:b/>
                <w:bCs/>
                <w:color w:val="000000"/>
                <w:szCs w:val="24"/>
                <w:lang w:eastAsia="en-GB"/>
              </w:rPr>
              <w:t>WSHFT BME staff</w:t>
            </w:r>
          </w:p>
        </w:tc>
        <w:tc>
          <w:tcPr>
            <w:tcW w:w="1070" w:type="dxa"/>
            <w:tcBorders>
              <w:top w:val="single" w:sz="4" w:space="0" w:color="auto"/>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b/>
                <w:bCs/>
                <w:color w:val="000000"/>
                <w:szCs w:val="24"/>
                <w:lang w:eastAsia="en-GB"/>
              </w:rPr>
            </w:pPr>
            <w:r w:rsidRPr="00F93EEB">
              <w:rPr>
                <w:rFonts w:eastAsia="Times New Roman"/>
                <w:b/>
                <w:bCs/>
                <w:color w:val="000000"/>
                <w:szCs w:val="24"/>
                <w:lang w:eastAsia="en-GB"/>
              </w:rPr>
              <w:t>WSHFT white staff</w:t>
            </w:r>
          </w:p>
        </w:tc>
        <w:tc>
          <w:tcPr>
            <w:tcW w:w="1364" w:type="dxa"/>
            <w:tcBorders>
              <w:top w:val="single" w:sz="4" w:space="0" w:color="auto"/>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b/>
                <w:bCs/>
                <w:color w:val="1F497D"/>
                <w:szCs w:val="24"/>
                <w:lang w:eastAsia="en-GB"/>
              </w:rPr>
            </w:pPr>
            <w:r w:rsidRPr="00F93EEB">
              <w:rPr>
                <w:rFonts w:eastAsia="Times New Roman"/>
                <w:b/>
                <w:bCs/>
                <w:color w:val="1F497D"/>
                <w:szCs w:val="24"/>
                <w:lang w:eastAsia="en-GB"/>
              </w:rPr>
              <w:t>% point difference</w:t>
            </w:r>
          </w:p>
        </w:tc>
        <w:tc>
          <w:tcPr>
            <w:tcW w:w="1164" w:type="dxa"/>
            <w:tcBorders>
              <w:top w:val="single" w:sz="4" w:space="0" w:color="auto"/>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b/>
                <w:bCs/>
                <w:color w:val="000000"/>
                <w:szCs w:val="24"/>
                <w:lang w:eastAsia="en-GB"/>
              </w:rPr>
            </w:pPr>
            <w:r w:rsidRPr="00F93EEB">
              <w:rPr>
                <w:rFonts w:eastAsia="Times New Roman"/>
                <w:b/>
                <w:bCs/>
                <w:color w:val="000000"/>
                <w:szCs w:val="24"/>
                <w:lang w:eastAsia="en-GB"/>
              </w:rPr>
              <w:t>Acute Average (BME staff)</w:t>
            </w:r>
          </w:p>
        </w:tc>
        <w:tc>
          <w:tcPr>
            <w:tcW w:w="1124" w:type="dxa"/>
            <w:tcBorders>
              <w:top w:val="single" w:sz="4" w:space="0" w:color="auto"/>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b/>
                <w:bCs/>
                <w:color w:val="000000"/>
                <w:szCs w:val="24"/>
                <w:lang w:eastAsia="en-GB"/>
              </w:rPr>
            </w:pPr>
            <w:r w:rsidRPr="00F93EEB">
              <w:rPr>
                <w:rFonts w:eastAsia="Times New Roman"/>
                <w:b/>
                <w:bCs/>
                <w:color w:val="000000"/>
                <w:szCs w:val="24"/>
                <w:lang w:eastAsia="en-GB"/>
              </w:rPr>
              <w:t>Acute average (white staff)</w:t>
            </w:r>
          </w:p>
        </w:tc>
      </w:tr>
      <w:tr w:rsidR="0079147F" w:rsidRPr="00F93EEB" w:rsidTr="0079147F">
        <w:trPr>
          <w:cantSplit/>
          <w:trHeight w:val="315"/>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2018</w:t>
            </w:r>
          </w:p>
        </w:tc>
        <w:tc>
          <w:tcPr>
            <w:tcW w:w="1070"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24.9%</w:t>
            </w:r>
          </w:p>
        </w:tc>
        <w:tc>
          <w:tcPr>
            <w:tcW w:w="1070"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22.9%</w:t>
            </w:r>
          </w:p>
        </w:tc>
        <w:tc>
          <w:tcPr>
            <w:tcW w:w="1364"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F93EEB">
              <w:rPr>
                <w:rFonts w:eastAsia="Times New Roman"/>
                <w:color w:val="1F497D"/>
                <w:szCs w:val="24"/>
                <w:lang w:eastAsia="en-GB"/>
              </w:rPr>
              <w:t>2.0%</w:t>
            </w:r>
            <w:r>
              <w:rPr>
                <w:rFonts w:eastAsia="Times New Roman"/>
                <w:color w:val="1F497D"/>
                <w:szCs w:val="24"/>
                <w:lang w:eastAsia="en-GB"/>
              </w:rPr>
              <w:t>)</w:t>
            </w:r>
          </w:p>
        </w:tc>
        <w:tc>
          <w:tcPr>
            <w:tcW w:w="1164"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28.7%</w:t>
            </w:r>
          </w:p>
        </w:tc>
        <w:tc>
          <w:tcPr>
            <w:tcW w:w="1124"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24.9%</w:t>
            </w:r>
          </w:p>
        </w:tc>
      </w:tr>
      <w:tr w:rsidR="0079147F" w:rsidRPr="00F93EEB" w:rsidTr="0079147F">
        <w:trPr>
          <w:cantSplit/>
          <w:trHeight w:val="315"/>
          <w:tblHeader/>
          <w:jc w:val="center"/>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2019</w:t>
            </w:r>
          </w:p>
        </w:tc>
        <w:tc>
          <w:tcPr>
            <w:tcW w:w="1070"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24.9%</w:t>
            </w:r>
          </w:p>
        </w:tc>
        <w:tc>
          <w:tcPr>
            <w:tcW w:w="1070"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24.0%</w:t>
            </w:r>
          </w:p>
        </w:tc>
        <w:tc>
          <w:tcPr>
            <w:tcW w:w="1364"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F93EEB">
              <w:rPr>
                <w:rFonts w:eastAsia="Times New Roman"/>
                <w:color w:val="1F497D"/>
                <w:szCs w:val="24"/>
                <w:lang w:eastAsia="en-GB"/>
              </w:rPr>
              <w:t>0.9%</w:t>
            </w:r>
            <w:r>
              <w:rPr>
                <w:rFonts w:eastAsia="Times New Roman"/>
                <w:color w:val="1F497D"/>
                <w:szCs w:val="24"/>
                <w:lang w:eastAsia="en-GB"/>
              </w:rPr>
              <w:t>)</w:t>
            </w:r>
          </w:p>
        </w:tc>
        <w:tc>
          <w:tcPr>
            <w:tcW w:w="1164"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28.6%</w:t>
            </w:r>
          </w:p>
        </w:tc>
        <w:tc>
          <w:tcPr>
            <w:tcW w:w="1124"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24.5%</w:t>
            </w:r>
          </w:p>
        </w:tc>
      </w:tr>
      <w:tr w:rsidR="0079147F" w:rsidRPr="00F93EEB" w:rsidTr="0079147F">
        <w:trPr>
          <w:cantSplit/>
          <w:trHeight w:val="315"/>
          <w:tblHeader/>
          <w:jc w:val="center"/>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2020</w:t>
            </w:r>
          </w:p>
        </w:tc>
        <w:tc>
          <w:tcPr>
            <w:tcW w:w="1070"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24.2%</w:t>
            </w:r>
          </w:p>
        </w:tc>
        <w:tc>
          <w:tcPr>
            <w:tcW w:w="1070"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24.5%</w:t>
            </w:r>
          </w:p>
        </w:tc>
        <w:tc>
          <w:tcPr>
            <w:tcW w:w="1364"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F93EEB">
              <w:rPr>
                <w:rFonts w:eastAsia="Times New Roman"/>
                <w:color w:val="1F497D"/>
                <w:szCs w:val="24"/>
                <w:lang w:eastAsia="en-GB"/>
              </w:rPr>
              <w:t>0.3%</w:t>
            </w:r>
            <w:r>
              <w:rPr>
                <w:rFonts w:eastAsia="Times New Roman"/>
                <w:color w:val="1F497D"/>
                <w:szCs w:val="24"/>
                <w:lang w:eastAsia="en-GB"/>
              </w:rPr>
              <w:t>)</w:t>
            </w:r>
          </w:p>
        </w:tc>
        <w:tc>
          <w:tcPr>
            <w:tcW w:w="1164"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29.1%</w:t>
            </w:r>
          </w:p>
        </w:tc>
        <w:tc>
          <w:tcPr>
            <w:tcW w:w="1124" w:type="dxa"/>
            <w:tcBorders>
              <w:top w:val="nil"/>
              <w:left w:val="nil"/>
              <w:bottom w:val="single" w:sz="8" w:space="0" w:color="auto"/>
              <w:right w:val="single" w:sz="8" w:space="0" w:color="auto"/>
            </w:tcBorders>
            <w:shd w:val="clear" w:color="auto" w:fill="auto"/>
            <w:vAlign w:val="center"/>
            <w:hideMark/>
          </w:tcPr>
          <w:p w:rsidR="0079147F" w:rsidRPr="00F93EEB" w:rsidRDefault="0079147F" w:rsidP="001E0F80">
            <w:pPr>
              <w:spacing w:after="0" w:line="240" w:lineRule="auto"/>
              <w:jc w:val="center"/>
              <w:rPr>
                <w:rFonts w:eastAsia="Times New Roman"/>
                <w:color w:val="000000"/>
                <w:szCs w:val="24"/>
                <w:lang w:eastAsia="en-GB"/>
              </w:rPr>
            </w:pPr>
            <w:r w:rsidRPr="00F93EEB">
              <w:rPr>
                <w:rFonts w:eastAsia="Times New Roman"/>
                <w:color w:val="000000"/>
                <w:szCs w:val="24"/>
                <w:lang w:eastAsia="en-GB"/>
              </w:rPr>
              <w:t>24.4%</w:t>
            </w:r>
          </w:p>
        </w:tc>
      </w:tr>
    </w:tbl>
    <w:p w:rsidR="0079147F" w:rsidRDefault="0079147F" w:rsidP="0079147F">
      <w:pPr>
        <w:spacing w:line="240" w:lineRule="auto"/>
        <w:rPr>
          <w:b/>
          <w:color w:val="0072C6"/>
          <w:szCs w:val="24"/>
        </w:rPr>
      </w:pPr>
    </w:p>
    <w:p w:rsidR="0079147F" w:rsidRDefault="0079147F" w:rsidP="0079147F">
      <w:pPr>
        <w:spacing w:line="240" w:lineRule="auto"/>
        <w:jc w:val="center"/>
        <w:rPr>
          <w:b/>
          <w:color w:val="0072C6"/>
          <w:szCs w:val="24"/>
        </w:rPr>
      </w:pPr>
      <w:r>
        <w:rPr>
          <w:noProof/>
          <w:lang w:eastAsia="en-GB"/>
        </w:rPr>
        <w:lastRenderedPageBreak/>
        <w:drawing>
          <wp:inline distT="0" distB="0" distL="0" distR="0" wp14:anchorId="1F825B0D" wp14:editId="66EBC010">
            <wp:extent cx="4572000" cy="2653665"/>
            <wp:effectExtent l="0" t="0" r="0" b="0"/>
            <wp:docPr id="25" name="Chart 25" title="Chart showing staff experiencing harassment, bullying, or abuse from staff in last 12 months broken down by ethnicity"/>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9147F" w:rsidRDefault="0079147F" w:rsidP="0079147F">
      <w:pPr>
        <w:spacing w:line="240" w:lineRule="auto"/>
      </w:pPr>
      <w:r>
        <w:t xml:space="preserve">Compared to the previous year, there has been a decrease in the number of Trust BME staff (but an increase for white staff), highlighting they have experienced harassment, bullying or abuse from staff. This has led to the percentage point difference between the two groups closing. The reported experience of both groups of staff appears close to the typical Trust average. </w:t>
      </w:r>
    </w:p>
    <w:p w:rsidR="0079147F" w:rsidRPr="0078676E" w:rsidRDefault="0079147F" w:rsidP="0079147F">
      <w:pPr>
        <w:spacing w:line="240" w:lineRule="auto"/>
        <w:rPr>
          <w:b/>
        </w:rPr>
      </w:pPr>
      <w:r w:rsidRPr="0078676E">
        <w:t xml:space="preserve">The data does not give an indication of the nature of the bullying or harassment that </w:t>
      </w:r>
      <w:proofErr w:type="gramStart"/>
      <w:r w:rsidRPr="0078676E">
        <w:t>staff have</w:t>
      </w:r>
      <w:proofErr w:type="gramEnd"/>
      <w:r w:rsidRPr="0078676E">
        <w:t xml:space="preserve"> reported experiencing. </w:t>
      </w:r>
    </w:p>
    <w:p w:rsidR="0079147F" w:rsidRDefault="0079147F" w:rsidP="0079147F">
      <w:pPr>
        <w:pStyle w:val="Heading2"/>
      </w:pPr>
      <w:bookmarkStart w:id="37" w:name="Indicator_7"/>
      <w:bookmarkStart w:id="38" w:name="_Toc79152371"/>
      <w:bookmarkEnd w:id="33"/>
      <w:r w:rsidRPr="00262EC3">
        <w:t xml:space="preserve">Indicator </w:t>
      </w:r>
      <w:r>
        <w:t>7</w:t>
      </w:r>
      <w:r w:rsidRPr="00262EC3">
        <w:t xml:space="preserve"> - </w:t>
      </w:r>
      <w:r w:rsidRPr="00243867">
        <w:t>Percentage believing that trust provides equal opportunities for career progression or promotion</w:t>
      </w:r>
      <w:r>
        <w:t xml:space="preserve"> – KF21 from NHS Staff Survey</w:t>
      </w:r>
      <w:bookmarkEnd w:id="38"/>
    </w:p>
    <w:p w:rsidR="0079147F" w:rsidRDefault="0079147F" w:rsidP="0079147F"/>
    <w:p w:rsidR="0079147F" w:rsidRDefault="0079147F" w:rsidP="0079147F">
      <w:pPr>
        <w:pStyle w:val="Heading3"/>
      </w:pPr>
      <w:bookmarkStart w:id="39" w:name="_Toc79152372"/>
      <w:r w:rsidRPr="004C04C6">
        <w:t>Brighton and Sussex University Hospitals NHS Trust:</w:t>
      </w:r>
      <w:bookmarkEnd w:id="39"/>
    </w:p>
    <w:p w:rsidR="0079147F" w:rsidRPr="0079147F" w:rsidRDefault="0079147F" w:rsidP="0079147F"/>
    <w:tbl>
      <w:tblPr>
        <w:tblW w:w="6462" w:type="dxa"/>
        <w:jc w:val="center"/>
        <w:tblLook w:val="04A0" w:firstRow="1" w:lastRow="0" w:firstColumn="1" w:lastColumn="0" w:noHBand="0" w:noVBand="1"/>
        <w:tblCaption w:val="Staff believing that trust provides equal opportunities for career progression or promotion broken down by ethnicity"/>
      </w:tblPr>
      <w:tblGrid>
        <w:gridCol w:w="1017"/>
        <w:gridCol w:w="1030"/>
        <w:gridCol w:w="1030"/>
        <w:gridCol w:w="1364"/>
        <w:gridCol w:w="1164"/>
        <w:gridCol w:w="1124"/>
      </w:tblGrid>
      <w:tr w:rsidR="0079147F" w:rsidRPr="00405565" w:rsidTr="0079147F">
        <w:trPr>
          <w:cantSplit/>
          <w:trHeight w:val="1590"/>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47F" w:rsidRPr="00405565" w:rsidRDefault="0079147F" w:rsidP="001E0F80">
            <w:pPr>
              <w:spacing w:after="0" w:line="240" w:lineRule="auto"/>
              <w:rPr>
                <w:rFonts w:eastAsia="Times New Roman"/>
                <w:b/>
                <w:bCs/>
                <w:color w:val="000000"/>
                <w:szCs w:val="24"/>
                <w:lang w:eastAsia="en-GB"/>
              </w:rPr>
            </w:pPr>
            <w:r>
              <w:rPr>
                <w:rFonts w:eastAsia="Times New Roman"/>
                <w:b/>
                <w:bCs/>
                <w:color w:val="000000"/>
                <w:szCs w:val="24"/>
                <w:lang w:eastAsia="en-GB"/>
              </w:rPr>
              <w:t>Staff Survey Year</w:t>
            </w:r>
          </w:p>
        </w:tc>
        <w:tc>
          <w:tcPr>
            <w:tcW w:w="1030"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b/>
                <w:bCs/>
                <w:color w:val="000000"/>
                <w:szCs w:val="24"/>
                <w:lang w:eastAsia="en-GB"/>
              </w:rPr>
            </w:pPr>
            <w:r w:rsidRPr="00405565">
              <w:rPr>
                <w:rFonts w:eastAsia="Times New Roman"/>
                <w:b/>
                <w:bCs/>
                <w:color w:val="000000"/>
                <w:szCs w:val="24"/>
                <w:lang w:eastAsia="en-GB"/>
              </w:rPr>
              <w:t>BSUH BME staff</w:t>
            </w:r>
          </w:p>
        </w:tc>
        <w:tc>
          <w:tcPr>
            <w:tcW w:w="1030" w:type="dxa"/>
            <w:tcBorders>
              <w:top w:val="single" w:sz="4" w:space="0" w:color="auto"/>
              <w:left w:val="nil"/>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b/>
                <w:bCs/>
                <w:color w:val="000000"/>
                <w:szCs w:val="24"/>
                <w:lang w:eastAsia="en-GB"/>
              </w:rPr>
            </w:pPr>
            <w:r w:rsidRPr="00405565">
              <w:rPr>
                <w:rFonts w:eastAsia="Times New Roman"/>
                <w:b/>
                <w:bCs/>
                <w:color w:val="000000"/>
                <w:szCs w:val="24"/>
                <w:lang w:eastAsia="en-GB"/>
              </w:rPr>
              <w:t>BSUH white staff</w:t>
            </w:r>
          </w:p>
        </w:tc>
        <w:tc>
          <w:tcPr>
            <w:tcW w:w="1364" w:type="dxa"/>
            <w:tcBorders>
              <w:top w:val="single" w:sz="4" w:space="0" w:color="auto"/>
              <w:left w:val="nil"/>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b/>
                <w:bCs/>
                <w:color w:val="1F497D"/>
                <w:szCs w:val="24"/>
                <w:lang w:eastAsia="en-GB"/>
              </w:rPr>
            </w:pPr>
            <w:r w:rsidRPr="00405565">
              <w:rPr>
                <w:rFonts w:eastAsia="Times New Roman"/>
                <w:b/>
                <w:bCs/>
                <w:color w:val="1F497D"/>
                <w:szCs w:val="24"/>
                <w:lang w:eastAsia="en-GB"/>
              </w:rPr>
              <w:t>% point difference</w:t>
            </w:r>
          </w:p>
        </w:tc>
        <w:tc>
          <w:tcPr>
            <w:tcW w:w="1164" w:type="dxa"/>
            <w:tcBorders>
              <w:top w:val="single" w:sz="4" w:space="0" w:color="auto"/>
              <w:left w:val="nil"/>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b/>
                <w:bCs/>
                <w:color w:val="000000"/>
                <w:szCs w:val="24"/>
                <w:lang w:eastAsia="en-GB"/>
              </w:rPr>
            </w:pPr>
            <w:r w:rsidRPr="00405565">
              <w:rPr>
                <w:rFonts w:eastAsia="Times New Roman"/>
                <w:b/>
                <w:bCs/>
                <w:color w:val="000000"/>
                <w:szCs w:val="24"/>
                <w:lang w:eastAsia="en-GB"/>
              </w:rPr>
              <w:t>Acute Average (BME staff)</w:t>
            </w:r>
          </w:p>
        </w:tc>
        <w:tc>
          <w:tcPr>
            <w:tcW w:w="1124" w:type="dxa"/>
            <w:tcBorders>
              <w:top w:val="single" w:sz="4" w:space="0" w:color="auto"/>
              <w:left w:val="nil"/>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b/>
                <w:bCs/>
                <w:color w:val="000000"/>
                <w:szCs w:val="24"/>
                <w:lang w:eastAsia="en-GB"/>
              </w:rPr>
            </w:pPr>
            <w:r w:rsidRPr="00405565">
              <w:rPr>
                <w:rFonts w:eastAsia="Times New Roman"/>
                <w:b/>
                <w:bCs/>
                <w:color w:val="000000"/>
                <w:szCs w:val="24"/>
                <w:lang w:eastAsia="en-GB"/>
              </w:rPr>
              <w:t>Acute average (white staff)</w:t>
            </w:r>
          </w:p>
        </w:tc>
      </w:tr>
      <w:tr w:rsidR="0079147F" w:rsidRPr="00405565" w:rsidTr="001E0F80">
        <w:trPr>
          <w:cantSplit/>
          <w:trHeight w:val="315"/>
          <w:tblHeader/>
          <w:jc w:val="center"/>
        </w:trPr>
        <w:tc>
          <w:tcPr>
            <w:tcW w:w="75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2018</w:t>
            </w:r>
          </w:p>
        </w:tc>
        <w:tc>
          <w:tcPr>
            <w:tcW w:w="1030" w:type="dxa"/>
            <w:tcBorders>
              <w:top w:val="nil"/>
              <w:left w:val="nil"/>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72.30%</w:t>
            </w:r>
          </w:p>
        </w:tc>
        <w:tc>
          <w:tcPr>
            <w:tcW w:w="1030" w:type="dxa"/>
            <w:tcBorders>
              <w:top w:val="nil"/>
              <w:left w:val="nil"/>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87.60%</w:t>
            </w:r>
          </w:p>
        </w:tc>
        <w:tc>
          <w:tcPr>
            <w:tcW w:w="1364" w:type="dxa"/>
            <w:tcBorders>
              <w:top w:val="nil"/>
              <w:left w:val="nil"/>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405565">
              <w:rPr>
                <w:rFonts w:eastAsia="Times New Roman"/>
                <w:color w:val="1F497D"/>
                <w:szCs w:val="24"/>
                <w:lang w:eastAsia="en-GB"/>
              </w:rPr>
              <w:t>15.30%</w:t>
            </w:r>
            <w:r>
              <w:rPr>
                <w:rFonts w:eastAsia="Times New Roman"/>
                <w:color w:val="1F497D"/>
                <w:szCs w:val="24"/>
                <w:lang w:eastAsia="en-GB"/>
              </w:rPr>
              <w:t>)</w:t>
            </w:r>
          </w:p>
        </w:tc>
        <w:tc>
          <w:tcPr>
            <w:tcW w:w="1164" w:type="dxa"/>
            <w:tcBorders>
              <w:top w:val="nil"/>
              <w:left w:val="nil"/>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73.10%</w:t>
            </w:r>
          </w:p>
        </w:tc>
        <w:tc>
          <w:tcPr>
            <w:tcW w:w="1124" w:type="dxa"/>
            <w:tcBorders>
              <w:top w:val="nil"/>
              <w:left w:val="nil"/>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86.80%</w:t>
            </w:r>
          </w:p>
        </w:tc>
      </w:tr>
      <w:tr w:rsidR="0079147F" w:rsidRPr="00405565" w:rsidTr="001E0F80">
        <w:trPr>
          <w:cantSplit/>
          <w:trHeight w:val="315"/>
          <w:tblHeader/>
          <w:jc w:val="center"/>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2019</w:t>
            </w:r>
          </w:p>
        </w:tc>
        <w:tc>
          <w:tcPr>
            <w:tcW w:w="1030" w:type="dxa"/>
            <w:tcBorders>
              <w:top w:val="nil"/>
              <w:left w:val="nil"/>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74.10%</w:t>
            </w:r>
          </w:p>
        </w:tc>
        <w:tc>
          <w:tcPr>
            <w:tcW w:w="1030" w:type="dxa"/>
            <w:tcBorders>
              <w:top w:val="nil"/>
              <w:left w:val="nil"/>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87.50%</w:t>
            </w:r>
          </w:p>
        </w:tc>
        <w:tc>
          <w:tcPr>
            <w:tcW w:w="1364" w:type="dxa"/>
            <w:tcBorders>
              <w:top w:val="nil"/>
              <w:left w:val="nil"/>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405565">
              <w:rPr>
                <w:rFonts w:eastAsia="Times New Roman"/>
                <w:color w:val="1F497D"/>
                <w:szCs w:val="24"/>
                <w:lang w:eastAsia="en-GB"/>
              </w:rPr>
              <w:t>13.40%</w:t>
            </w:r>
            <w:r>
              <w:rPr>
                <w:rFonts w:eastAsia="Times New Roman"/>
                <w:color w:val="1F497D"/>
                <w:szCs w:val="24"/>
                <w:lang w:eastAsia="en-GB"/>
              </w:rPr>
              <w:t>)</w:t>
            </w:r>
          </w:p>
        </w:tc>
        <w:tc>
          <w:tcPr>
            <w:tcW w:w="1164" w:type="dxa"/>
            <w:tcBorders>
              <w:top w:val="nil"/>
              <w:left w:val="nil"/>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74.10%</w:t>
            </w:r>
          </w:p>
        </w:tc>
        <w:tc>
          <w:tcPr>
            <w:tcW w:w="1124" w:type="dxa"/>
            <w:tcBorders>
              <w:top w:val="nil"/>
              <w:left w:val="nil"/>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87.20%</w:t>
            </w:r>
          </w:p>
        </w:tc>
      </w:tr>
      <w:tr w:rsidR="0079147F" w:rsidRPr="00405565" w:rsidTr="001E0F80">
        <w:trPr>
          <w:cantSplit/>
          <w:trHeight w:val="315"/>
          <w:tblHeader/>
          <w:jc w:val="center"/>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color w:val="000000"/>
                <w:szCs w:val="24"/>
                <w:lang w:eastAsia="en-GB"/>
              </w:rPr>
            </w:pPr>
            <w:r>
              <w:rPr>
                <w:rFonts w:eastAsia="Times New Roman"/>
                <w:color w:val="000000"/>
                <w:szCs w:val="24"/>
                <w:lang w:eastAsia="en-GB"/>
              </w:rPr>
              <w:t>2020</w:t>
            </w:r>
          </w:p>
        </w:tc>
        <w:tc>
          <w:tcPr>
            <w:tcW w:w="1030" w:type="dxa"/>
            <w:tcBorders>
              <w:top w:val="nil"/>
              <w:left w:val="nil"/>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71.60%</w:t>
            </w:r>
          </w:p>
        </w:tc>
        <w:tc>
          <w:tcPr>
            <w:tcW w:w="1030" w:type="dxa"/>
            <w:tcBorders>
              <w:top w:val="nil"/>
              <w:left w:val="nil"/>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85.70%</w:t>
            </w:r>
          </w:p>
        </w:tc>
        <w:tc>
          <w:tcPr>
            <w:tcW w:w="1364" w:type="dxa"/>
            <w:tcBorders>
              <w:top w:val="nil"/>
              <w:left w:val="nil"/>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405565">
              <w:rPr>
                <w:rFonts w:eastAsia="Times New Roman"/>
                <w:color w:val="1F497D"/>
                <w:szCs w:val="24"/>
                <w:lang w:eastAsia="en-GB"/>
              </w:rPr>
              <w:t>14.10%</w:t>
            </w:r>
            <w:r>
              <w:rPr>
                <w:rFonts w:eastAsia="Times New Roman"/>
                <w:color w:val="1F497D"/>
                <w:szCs w:val="24"/>
                <w:lang w:eastAsia="en-GB"/>
              </w:rPr>
              <w:t>)</w:t>
            </w:r>
          </w:p>
        </w:tc>
        <w:tc>
          <w:tcPr>
            <w:tcW w:w="1164" w:type="dxa"/>
            <w:tcBorders>
              <w:top w:val="nil"/>
              <w:left w:val="nil"/>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72.50%</w:t>
            </w:r>
          </w:p>
        </w:tc>
        <w:tc>
          <w:tcPr>
            <w:tcW w:w="1124" w:type="dxa"/>
            <w:tcBorders>
              <w:top w:val="nil"/>
              <w:left w:val="nil"/>
              <w:bottom w:val="single" w:sz="8" w:space="0" w:color="auto"/>
              <w:right w:val="single" w:sz="8" w:space="0" w:color="auto"/>
            </w:tcBorders>
            <w:shd w:val="clear" w:color="auto" w:fill="auto"/>
            <w:vAlign w:val="center"/>
            <w:hideMark/>
          </w:tcPr>
          <w:p w:rsidR="0079147F" w:rsidRPr="00405565" w:rsidRDefault="0079147F"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87.70%</w:t>
            </w:r>
          </w:p>
        </w:tc>
      </w:tr>
    </w:tbl>
    <w:p w:rsidR="0079147F" w:rsidRDefault="0079147F" w:rsidP="0079147F">
      <w:pPr>
        <w:spacing w:line="240" w:lineRule="auto"/>
        <w:rPr>
          <w:b/>
          <w:color w:val="0072C6"/>
          <w:szCs w:val="24"/>
        </w:rPr>
      </w:pPr>
    </w:p>
    <w:p w:rsidR="0079147F" w:rsidRDefault="0079147F" w:rsidP="0079147F">
      <w:pPr>
        <w:spacing w:line="240" w:lineRule="auto"/>
        <w:jc w:val="center"/>
        <w:rPr>
          <w:color w:val="009E49"/>
          <w:szCs w:val="24"/>
        </w:rPr>
      </w:pPr>
      <w:r>
        <w:rPr>
          <w:noProof/>
          <w:lang w:eastAsia="en-GB"/>
        </w:rPr>
        <w:lastRenderedPageBreak/>
        <w:drawing>
          <wp:inline distT="0" distB="0" distL="0" distR="0" wp14:anchorId="7D340472" wp14:editId="4F9B7310">
            <wp:extent cx="5686425" cy="2743200"/>
            <wp:effectExtent l="0" t="0" r="0" b="0"/>
            <wp:docPr id="29" name="Chart 29" title="Staff believing that trust provides equal opportunities for career progression or promotion broken down by ethnicity"/>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9147F" w:rsidRDefault="0079147F" w:rsidP="0079147F">
      <w:pPr>
        <w:spacing w:line="240" w:lineRule="auto"/>
        <w:rPr>
          <w:szCs w:val="24"/>
        </w:rPr>
      </w:pPr>
    </w:p>
    <w:p w:rsidR="0079147F" w:rsidRPr="00BD3E74" w:rsidRDefault="0079147F" w:rsidP="0079147F">
      <w:pPr>
        <w:spacing w:line="240" w:lineRule="auto"/>
        <w:rPr>
          <w:szCs w:val="24"/>
        </w:rPr>
      </w:pPr>
      <w:r w:rsidRPr="00BD3E74">
        <w:rPr>
          <w:szCs w:val="24"/>
        </w:rPr>
        <w:t>Compared to the previous year</w:t>
      </w:r>
      <w:r>
        <w:rPr>
          <w:szCs w:val="24"/>
        </w:rPr>
        <w:t>,</w:t>
      </w:r>
      <w:r w:rsidRPr="00BD3E74">
        <w:rPr>
          <w:szCs w:val="24"/>
        </w:rPr>
        <w:t xml:space="preserve"> there has been a decrease for BME and white Trust staff</w:t>
      </w:r>
      <w:r>
        <w:rPr>
          <w:szCs w:val="24"/>
        </w:rPr>
        <w:t>,</w:t>
      </w:r>
      <w:r w:rsidRPr="00BD3E74">
        <w:rPr>
          <w:szCs w:val="24"/>
        </w:rPr>
        <w:t xml:space="preserve"> believing that the Trust offers equal opportunities for carer progression or promotion. This has led to the overall experience widening between the two groups. When comparing to the acute average, both Trust BME and white staff</w:t>
      </w:r>
      <w:r>
        <w:rPr>
          <w:szCs w:val="24"/>
        </w:rPr>
        <w:t xml:space="preserve"> score worse</w:t>
      </w:r>
      <w:r w:rsidRPr="00BD3E74">
        <w:rPr>
          <w:szCs w:val="24"/>
        </w:rPr>
        <w:t>.</w:t>
      </w:r>
    </w:p>
    <w:p w:rsidR="0079147F" w:rsidRDefault="0079147F" w:rsidP="0079147F"/>
    <w:p w:rsidR="0079147F" w:rsidRDefault="0079147F" w:rsidP="0079147F">
      <w:pPr>
        <w:pStyle w:val="Heading3"/>
      </w:pPr>
      <w:bookmarkStart w:id="40" w:name="_Toc79152373"/>
      <w:r>
        <w:t>Western Sussex NHS Foundation Trust</w:t>
      </w:r>
      <w:bookmarkEnd w:id="40"/>
    </w:p>
    <w:p w:rsidR="0079147F" w:rsidRPr="0079147F" w:rsidRDefault="0079147F" w:rsidP="0079147F"/>
    <w:tbl>
      <w:tblPr>
        <w:tblW w:w="5820" w:type="dxa"/>
        <w:jc w:val="center"/>
        <w:tblLook w:val="04A0" w:firstRow="1" w:lastRow="0" w:firstColumn="1" w:lastColumn="0" w:noHBand="0" w:noVBand="1"/>
        <w:tblCaption w:val="Staff believing that trust provides equal opportunities for career progression or promotion broken down by ethnicity"/>
      </w:tblPr>
      <w:tblGrid>
        <w:gridCol w:w="1017"/>
        <w:gridCol w:w="1070"/>
        <w:gridCol w:w="1070"/>
        <w:gridCol w:w="1364"/>
        <w:gridCol w:w="1164"/>
        <w:gridCol w:w="1124"/>
      </w:tblGrid>
      <w:tr w:rsidR="0079147F" w:rsidRPr="002D273C" w:rsidTr="0079147F">
        <w:trPr>
          <w:cantSplit/>
          <w:trHeight w:val="1590"/>
          <w:tblHeader/>
          <w:jc w:val="center"/>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47F" w:rsidRPr="002D273C" w:rsidRDefault="0079147F" w:rsidP="001E0F80">
            <w:pPr>
              <w:spacing w:after="0" w:line="240" w:lineRule="auto"/>
              <w:rPr>
                <w:rFonts w:eastAsia="Times New Roman"/>
                <w:b/>
                <w:bCs/>
                <w:color w:val="000000"/>
                <w:szCs w:val="24"/>
                <w:lang w:eastAsia="en-GB"/>
              </w:rPr>
            </w:pPr>
            <w:r>
              <w:rPr>
                <w:rFonts w:eastAsia="Times New Roman"/>
                <w:b/>
                <w:bCs/>
                <w:color w:val="000000"/>
                <w:szCs w:val="24"/>
                <w:lang w:eastAsia="en-GB"/>
              </w:rPr>
              <w:t>Staff Survey Year</w:t>
            </w:r>
          </w:p>
        </w:tc>
        <w:tc>
          <w:tcPr>
            <w:tcW w:w="937"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79147F" w:rsidRPr="002D273C" w:rsidRDefault="0079147F" w:rsidP="001E0F80">
            <w:pPr>
              <w:spacing w:after="0" w:line="240" w:lineRule="auto"/>
              <w:jc w:val="center"/>
              <w:rPr>
                <w:rFonts w:eastAsia="Times New Roman"/>
                <w:b/>
                <w:bCs/>
                <w:color w:val="000000"/>
                <w:szCs w:val="24"/>
                <w:lang w:eastAsia="en-GB"/>
              </w:rPr>
            </w:pPr>
            <w:r w:rsidRPr="002D273C">
              <w:rPr>
                <w:rFonts w:eastAsia="Times New Roman"/>
                <w:b/>
                <w:bCs/>
                <w:color w:val="000000"/>
                <w:szCs w:val="24"/>
                <w:lang w:eastAsia="en-GB"/>
              </w:rPr>
              <w:t>WSHFT BME staff</w:t>
            </w:r>
          </w:p>
        </w:tc>
        <w:tc>
          <w:tcPr>
            <w:tcW w:w="937" w:type="dxa"/>
            <w:tcBorders>
              <w:top w:val="single" w:sz="4" w:space="0" w:color="auto"/>
              <w:left w:val="nil"/>
              <w:bottom w:val="single" w:sz="8" w:space="0" w:color="auto"/>
              <w:right w:val="single" w:sz="8" w:space="0" w:color="auto"/>
            </w:tcBorders>
            <w:shd w:val="clear" w:color="auto" w:fill="auto"/>
            <w:vAlign w:val="center"/>
            <w:hideMark/>
          </w:tcPr>
          <w:p w:rsidR="0079147F" w:rsidRPr="002D273C" w:rsidRDefault="0079147F" w:rsidP="001E0F80">
            <w:pPr>
              <w:spacing w:after="0" w:line="240" w:lineRule="auto"/>
              <w:jc w:val="center"/>
              <w:rPr>
                <w:rFonts w:eastAsia="Times New Roman"/>
                <w:b/>
                <w:bCs/>
                <w:color w:val="000000"/>
                <w:szCs w:val="24"/>
                <w:lang w:eastAsia="en-GB"/>
              </w:rPr>
            </w:pPr>
            <w:r w:rsidRPr="002D273C">
              <w:rPr>
                <w:rFonts w:eastAsia="Times New Roman"/>
                <w:b/>
                <w:bCs/>
                <w:color w:val="000000"/>
                <w:szCs w:val="24"/>
                <w:lang w:eastAsia="en-GB"/>
              </w:rPr>
              <w:t>WSHFT white staff</w:t>
            </w:r>
          </w:p>
        </w:tc>
        <w:tc>
          <w:tcPr>
            <w:tcW w:w="1178" w:type="dxa"/>
            <w:tcBorders>
              <w:top w:val="single" w:sz="4" w:space="0" w:color="auto"/>
              <w:left w:val="nil"/>
              <w:bottom w:val="single" w:sz="8" w:space="0" w:color="auto"/>
              <w:right w:val="single" w:sz="8" w:space="0" w:color="auto"/>
            </w:tcBorders>
            <w:shd w:val="clear" w:color="auto" w:fill="auto"/>
            <w:vAlign w:val="center"/>
            <w:hideMark/>
          </w:tcPr>
          <w:p w:rsidR="0079147F" w:rsidRPr="002D273C" w:rsidRDefault="0079147F" w:rsidP="001E0F80">
            <w:pPr>
              <w:spacing w:after="0" w:line="240" w:lineRule="auto"/>
              <w:jc w:val="center"/>
              <w:rPr>
                <w:rFonts w:eastAsia="Times New Roman"/>
                <w:b/>
                <w:bCs/>
                <w:color w:val="1F497D"/>
                <w:szCs w:val="24"/>
                <w:lang w:eastAsia="en-GB"/>
              </w:rPr>
            </w:pPr>
            <w:r w:rsidRPr="002D273C">
              <w:rPr>
                <w:rFonts w:eastAsia="Times New Roman"/>
                <w:b/>
                <w:bCs/>
                <w:color w:val="1F497D"/>
                <w:szCs w:val="24"/>
                <w:lang w:eastAsia="en-GB"/>
              </w:rPr>
              <w:t>% point difference</w:t>
            </w:r>
          </w:p>
        </w:tc>
        <w:tc>
          <w:tcPr>
            <w:tcW w:w="978" w:type="dxa"/>
            <w:tcBorders>
              <w:top w:val="single" w:sz="4" w:space="0" w:color="auto"/>
              <w:left w:val="nil"/>
              <w:bottom w:val="single" w:sz="8" w:space="0" w:color="auto"/>
              <w:right w:val="single" w:sz="8" w:space="0" w:color="auto"/>
            </w:tcBorders>
            <w:shd w:val="clear" w:color="auto" w:fill="auto"/>
            <w:vAlign w:val="center"/>
            <w:hideMark/>
          </w:tcPr>
          <w:p w:rsidR="0079147F" w:rsidRPr="002D273C" w:rsidRDefault="0079147F" w:rsidP="001E0F80">
            <w:pPr>
              <w:spacing w:after="0" w:line="240" w:lineRule="auto"/>
              <w:jc w:val="center"/>
              <w:rPr>
                <w:rFonts w:eastAsia="Times New Roman"/>
                <w:b/>
                <w:bCs/>
                <w:color w:val="000000"/>
                <w:szCs w:val="24"/>
                <w:lang w:eastAsia="en-GB"/>
              </w:rPr>
            </w:pPr>
            <w:r w:rsidRPr="002D273C">
              <w:rPr>
                <w:rFonts w:eastAsia="Times New Roman"/>
                <w:b/>
                <w:bCs/>
                <w:color w:val="000000"/>
                <w:szCs w:val="24"/>
                <w:lang w:eastAsia="en-GB"/>
              </w:rPr>
              <w:t>Acute Average (BME staff)</w:t>
            </w:r>
          </w:p>
        </w:tc>
        <w:tc>
          <w:tcPr>
            <w:tcW w:w="953" w:type="dxa"/>
            <w:tcBorders>
              <w:top w:val="single" w:sz="4" w:space="0" w:color="auto"/>
              <w:left w:val="nil"/>
              <w:bottom w:val="single" w:sz="8" w:space="0" w:color="auto"/>
              <w:right w:val="single" w:sz="8" w:space="0" w:color="auto"/>
            </w:tcBorders>
            <w:shd w:val="clear" w:color="auto" w:fill="auto"/>
            <w:vAlign w:val="center"/>
            <w:hideMark/>
          </w:tcPr>
          <w:p w:rsidR="0079147F" w:rsidRPr="002D273C" w:rsidRDefault="0079147F" w:rsidP="001E0F80">
            <w:pPr>
              <w:spacing w:after="0" w:line="240" w:lineRule="auto"/>
              <w:jc w:val="center"/>
              <w:rPr>
                <w:rFonts w:eastAsia="Times New Roman"/>
                <w:b/>
                <w:bCs/>
                <w:color w:val="000000"/>
                <w:szCs w:val="24"/>
                <w:lang w:eastAsia="en-GB"/>
              </w:rPr>
            </w:pPr>
            <w:r w:rsidRPr="002D273C">
              <w:rPr>
                <w:rFonts w:eastAsia="Times New Roman"/>
                <w:b/>
                <w:bCs/>
                <w:color w:val="000000"/>
                <w:szCs w:val="24"/>
                <w:lang w:eastAsia="en-GB"/>
              </w:rPr>
              <w:t>Acute average (white staff)</w:t>
            </w:r>
          </w:p>
        </w:tc>
      </w:tr>
      <w:tr w:rsidR="0079147F" w:rsidRPr="002D273C" w:rsidTr="001E0F80">
        <w:trPr>
          <w:cantSplit/>
          <w:trHeight w:val="315"/>
          <w:tblHeader/>
          <w:jc w:val="center"/>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47F" w:rsidRPr="002D273C" w:rsidRDefault="0079147F"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2018</w:t>
            </w:r>
          </w:p>
        </w:tc>
        <w:tc>
          <w:tcPr>
            <w:tcW w:w="937" w:type="dxa"/>
            <w:tcBorders>
              <w:top w:val="nil"/>
              <w:left w:val="nil"/>
              <w:bottom w:val="single" w:sz="8" w:space="0" w:color="auto"/>
              <w:right w:val="single" w:sz="8" w:space="0" w:color="auto"/>
            </w:tcBorders>
            <w:shd w:val="clear" w:color="auto" w:fill="auto"/>
            <w:vAlign w:val="center"/>
            <w:hideMark/>
          </w:tcPr>
          <w:p w:rsidR="0079147F" w:rsidRPr="002D273C" w:rsidRDefault="0079147F"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82.7%</w:t>
            </w:r>
          </w:p>
        </w:tc>
        <w:tc>
          <w:tcPr>
            <w:tcW w:w="937" w:type="dxa"/>
            <w:tcBorders>
              <w:top w:val="nil"/>
              <w:left w:val="nil"/>
              <w:bottom w:val="single" w:sz="8" w:space="0" w:color="auto"/>
              <w:right w:val="single" w:sz="8" w:space="0" w:color="auto"/>
            </w:tcBorders>
            <w:shd w:val="clear" w:color="auto" w:fill="auto"/>
            <w:vAlign w:val="center"/>
            <w:hideMark/>
          </w:tcPr>
          <w:p w:rsidR="0079147F" w:rsidRPr="002D273C" w:rsidRDefault="0079147F"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89.8%</w:t>
            </w:r>
          </w:p>
        </w:tc>
        <w:tc>
          <w:tcPr>
            <w:tcW w:w="1178" w:type="dxa"/>
            <w:tcBorders>
              <w:top w:val="nil"/>
              <w:left w:val="nil"/>
              <w:bottom w:val="single" w:sz="8" w:space="0" w:color="auto"/>
              <w:right w:val="single" w:sz="8" w:space="0" w:color="auto"/>
            </w:tcBorders>
            <w:shd w:val="clear" w:color="auto" w:fill="auto"/>
            <w:vAlign w:val="center"/>
            <w:hideMark/>
          </w:tcPr>
          <w:p w:rsidR="0079147F" w:rsidRPr="002D273C" w:rsidRDefault="0079147F"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2D273C">
              <w:rPr>
                <w:rFonts w:eastAsia="Times New Roman"/>
                <w:color w:val="1F497D"/>
                <w:szCs w:val="24"/>
                <w:lang w:eastAsia="en-GB"/>
              </w:rPr>
              <w:t>7.1%</w:t>
            </w:r>
            <w:r>
              <w:rPr>
                <w:rFonts w:eastAsia="Times New Roman"/>
                <w:color w:val="1F497D"/>
                <w:szCs w:val="24"/>
                <w:lang w:eastAsia="en-GB"/>
              </w:rPr>
              <w:t>)</w:t>
            </w:r>
          </w:p>
        </w:tc>
        <w:tc>
          <w:tcPr>
            <w:tcW w:w="978" w:type="dxa"/>
            <w:tcBorders>
              <w:top w:val="nil"/>
              <w:left w:val="nil"/>
              <w:bottom w:val="single" w:sz="8" w:space="0" w:color="auto"/>
              <w:right w:val="single" w:sz="8" w:space="0" w:color="auto"/>
            </w:tcBorders>
            <w:shd w:val="clear" w:color="auto" w:fill="auto"/>
            <w:vAlign w:val="center"/>
            <w:hideMark/>
          </w:tcPr>
          <w:p w:rsidR="0079147F" w:rsidRPr="002D273C" w:rsidRDefault="0079147F"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73.1%</w:t>
            </w:r>
          </w:p>
        </w:tc>
        <w:tc>
          <w:tcPr>
            <w:tcW w:w="953" w:type="dxa"/>
            <w:tcBorders>
              <w:top w:val="nil"/>
              <w:left w:val="nil"/>
              <w:bottom w:val="single" w:sz="8" w:space="0" w:color="auto"/>
              <w:right w:val="single" w:sz="8" w:space="0" w:color="auto"/>
            </w:tcBorders>
            <w:shd w:val="clear" w:color="auto" w:fill="auto"/>
            <w:vAlign w:val="center"/>
            <w:hideMark/>
          </w:tcPr>
          <w:p w:rsidR="0079147F" w:rsidRPr="002D273C" w:rsidRDefault="0079147F"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86.8%</w:t>
            </w:r>
          </w:p>
        </w:tc>
      </w:tr>
      <w:tr w:rsidR="0079147F" w:rsidRPr="002D273C" w:rsidTr="001E0F80">
        <w:trPr>
          <w:cantSplit/>
          <w:trHeight w:val="315"/>
          <w:tblHeader/>
          <w:jc w:val="center"/>
        </w:trPr>
        <w:tc>
          <w:tcPr>
            <w:tcW w:w="837" w:type="dxa"/>
            <w:tcBorders>
              <w:top w:val="nil"/>
              <w:left w:val="single" w:sz="8" w:space="0" w:color="auto"/>
              <w:bottom w:val="single" w:sz="8" w:space="0" w:color="auto"/>
              <w:right w:val="single" w:sz="8" w:space="0" w:color="auto"/>
            </w:tcBorders>
            <w:shd w:val="clear" w:color="auto" w:fill="auto"/>
            <w:vAlign w:val="center"/>
            <w:hideMark/>
          </w:tcPr>
          <w:p w:rsidR="0079147F" w:rsidRPr="002D273C" w:rsidRDefault="0079147F"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2019</w:t>
            </w:r>
          </w:p>
        </w:tc>
        <w:tc>
          <w:tcPr>
            <w:tcW w:w="937" w:type="dxa"/>
            <w:tcBorders>
              <w:top w:val="nil"/>
              <w:left w:val="nil"/>
              <w:bottom w:val="single" w:sz="8" w:space="0" w:color="auto"/>
              <w:right w:val="single" w:sz="8" w:space="0" w:color="auto"/>
            </w:tcBorders>
            <w:shd w:val="clear" w:color="auto" w:fill="auto"/>
            <w:vAlign w:val="center"/>
            <w:hideMark/>
          </w:tcPr>
          <w:p w:rsidR="0079147F" w:rsidRPr="002D273C" w:rsidRDefault="0079147F"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81.0%</w:t>
            </w:r>
          </w:p>
        </w:tc>
        <w:tc>
          <w:tcPr>
            <w:tcW w:w="937" w:type="dxa"/>
            <w:tcBorders>
              <w:top w:val="nil"/>
              <w:left w:val="nil"/>
              <w:bottom w:val="single" w:sz="8" w:space="0" w:color="auto"/>
              <w:right w:val="single" w:sz="8" w:space="0" w:color="auto"/>
            </w:tcBorders>
            <w:shd w:val="clear" w:color="auto" w:fill="auto"/>
            <w:vAlign w:val="center"/>
            <w:hideMark/>
          </w:tcPr>
          <w:p w:rsidR="0079147F" w:rsidRPr="002D273C" w:rsidRDefault="0079147F"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88.5%</w:t>
            </w:r>
          </w:p>
        </w:tc>
        <w:tc>
          <w:tcPr>
            <w:tcW w:w="1178" w:type="dxa"/>
            <w:tcBorders>
              <w:top w:val="nil"/>
              <w:left w:val="nil"/>
              <w:bottom w:val="single" w:sz="8" w:space="0" w:color="auto"/>
              <w:right w:val="single" w:sz="8" w:space="0" w:color="auto"/>
            </w:tcBorders>
            <w:shd w:val="clear" w:color="auto" w:fill="auto"/>
            <w:vAlign w:val="center"/>
            <w:hideMark/>
          </w:tcPr>
          <w:p w:rsidR="0079147F" w:rsidRPr="002D273C" w:rsidRDefault="0079147F"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2D273C">
              <w:rPr>
                <w:rFonts w:eastAsia="Times New Roman"/>
                <w:color w:val="1F497D"/>
                <w:szCs w:val="24"/>
                <w:lang w:eastAsia="en-GB"/>
              </w:rPr>
              <w:t>7.5%</w:t>
            </w:r>
            <w:r>
              <w:rPr>
                <w:rFonts w:eastAsia="Times New Roman"/>
                <w:color w:val="1F497D"/>
                <w:szCs w:val="24"/>
                <w:lang w:eastAsia="en-GB"/>
              </w:rPr>
              <w:t>)</w:t>
            </w:r>
          </w:p>
        </w:tc>
        <w:tc>
          <w:tcPr>
            <w:tcW w:w="978" w:type="dxa"/>
            <w:tcBorders>
              <w:top w:val="nil"/>
              <w:left w:val="nil"/>
              <w:bottom w:val="single" w:sz="8" w:space="0" w:color="auto"/>
              <w:right w:val="single" w:sz="8" w:space="0" w:color="auto"/>
            </w:tcBorders>
            <w:shd w:val="clear" w:color="auto" w:fill="auto"/>
            <w:vAlign w:val="center"/>
            <w:hideMark/>
          </w:tcPr>
          <w:p w:rsidR="0079147F" w:rsidRPr="002D273C" w:rsidRDefault="0079147F"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74.1%</w:t>
            </w:r>
          </w:p>
        </w:tc>
        <w:tc>
          <w:tcPr>
            <w:tcW w:w="953" w:type="dxa"/>
            <w:tcBorders>
              <w:top w:val="nil"/>
              <w:left w:val="nil"/>
              <w:bottom w:val="single" w:sz="8" w:space="0" w:color="auto"/>
              <w:right w:val="single" w:sz="8" w:space="0" w:color="auto"/>
            </w:tcBorders>
            <w:shd w:val="clear" w:color="auto" w:fill="auto"/>
            <w:vAlign w:val="center"/>
            <w:hideMark/>
          </w:tcPr>
          <w:p w:rsidR="0079147F" w:rsidRPr="002D273C" w:rsidRDefault="0079147F"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87.2%</w:t>
            </w:r>
          </w:p>
        </w:tc>
      </w:tr>
      <w:tr w:rsidR="0079147F" w:rsidRPr="002D273C" w:rsidTr="001E0F80">
        <w:trPr>
          <w:cantSplit/>
          <w:trHeight w:val="315"/>
          <w:tblHeader/>
          <w:jc w:val="center"/>
        </w:trPr>
        <w:tc>
          <w:tcPr>
            <w:tcW w:w="837" w:type="dxa"/>
            <w:tcBorders>
              <w:top w:val="nil"/>
              <w:left w:val="single" w:sz="8" w:space="0" w:color="auto"/>
              <w:bottom w:val="single" w:sz="8" w:space="0" w:color="auto"/>
              <w:right w:val="single" w:sz="8" w:space="0" w:color="auto"/>
            </w:tcBorders>
            <w:shd w:val="clear" w:color="auto" w:fill="auto"/>
            <w:vAlign w:val="center"/>
            <w:hideMark/>
          </w:tcPr>
          <w:p w:rsidR="0079147F" w:rsidRPr="002D273C" w:rsidRDefault="0079147F"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2020</w:t>
            </w:r>
          </w:p>
        </w:tc>
        <w:tc>
          <w:tcPr>
            <w:tcW w:w="937" w:type="dxa"/>
            <w:tcBorders>
              <w:top w:val="nil"/>
              <w:left w:val="nil"/>
              <w:bottom w:val="single" w:sz="8" w:space="0" w:color="auto"/>
              <w:right w:val="single" w:sz="8" w:space="0" w:color="auto"/>
            </w:tcBorders>
            <w:shd w:val="clear" w:color="auto" w:fill="auto"/>
            <w:vAlign w:val="center"/>
            <w:hideMark/>
          </w:tcPr>
          <w:p w:rsidR="0079147F" w:rsidRPr="002D273C" w:rsidRDefault="0079147F"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81.8%</w:t>
            </w:r>
          </w:p>
        </w:tc>
        <w:tc>
          <w:tcPr>
            <w:tcW w:w="937" w:type="dxa"/>
            <w:tcBorders>
              <w:top w:val="nil"/>
              <w:left w:val="nil"/>
              <w:bottom w:val="single" w:sz="8" w:space="0" w:color="auto"/>
              <w:right w:val="single" w:sz="8" w:space="0" w:color="auto"/>
            </w:tcBorders>
            <w:shd w:val="clear" w:color="auto" w:fill="auto"/>
            <w:vAlign w:val="center"/>
            <w:hideMark/>
          </w:tcPr>
          <w:p w:rsidR="0079147F" w:rsidRPr="002D273C" w:rsidRDefault="0079147F"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89.3%</w:t>
            </w:r>
          </w:p>
        </w:tc>
        <w:tc>
          <w:tcPr>
            <w:tcW w:w="1178" w:type="dxa"/>
            <w:tcBorders>
              <w:top w:val="nil"/>
              <w:left w:val="nil"/>
              <w:bottom w:val="single" w:sz="8" w:space="0" w:color="auto"/>
              <w:right w:val="single" w:sz="8" w:space="0" w:color="auto"/>
            </w:tcBorders>
            <w:shd w:val="clear" w:color="auto" w:fill="auto"/>
            <w:vAlign w:val="center"/>
            <w:hideMark/>
          </w:tcPr>
          <w:p w:rsidR="0079147F" w:rsidRPr="002D273C" w:rsidRDefault="0079147F"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2D273C">
              <w:rPr>
                <w:rFonts w:eastAsia="Times New Roman"/>
                <w:color w:val="1F497D"/>
                <w:szCs w:val="24"/>
                <w:lang w:eastAsia="en-GB"/>
              </w:rPr>
              <w:t>7.5%</w:t>
            </w:r>
            <w:r>
              <w:rPr>
                <w:rFonts w:eastAsia="Times New Roman"/>
                <w:color w:val="1F497D"/>
                <w:szCs w:val="24"/>
                <w:lang w:eastAsia="en-GB"/>
              </w:rPr>
              <w:t>)</w:t>
            </w:r>
          </w:p>
        </w:tc>
        <w:tc>
          <w:tcPr>
            <w:tcW w:w="978" w:type="dxa"/>
            <w:tcBorders>
              <w:top w:val="nil"/>
              <w:left w:val="nil"/>
              <w:bottom w:val="single" w:sz="8" w:space="0" w:color="auto"/>
              <w:right w:val="single" w:sz="8" w:space="0" w:color="auto"/>
            </w:tcBorders>
            <w:shd w:val="clear" w:color="auto" w:fill="auto"/>
            <w:vAlign w:val="center"/>
            <w:hideMark/>
          </w:tcPr>
          <w:p w:rsidR="0079147F" w:rsidRPr="002D273C" w:rsidRDefault="0079147F"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72.5%</w:t>
            </w:r>
          </w:p>
        </w:tc>
        <w:tc>
          <w:tcPr>
            <w:tcW w:w="953" w:type="dxa"/>
            <w:tcBorders>
              <w:top w:val="nil"/>
              <w:left w:val="nil"/>
              <w:bottom w:val="single" w:sz="8" w:space="0" w:color="auto"/>
              <w:right w:val="single" w:sz="8" w:space="0" w:color="auto"/>
            </w:tcBorders>
            <w:shd w:val="clear" w:color="auto" w:fill="auto"/>
            <w:vAlign w:val="center"/>
            <w:hideMark/>
          </w:tcPr>
          <w:p w:rsidR="0079147F" w:rsidRPr="002D273C" w:rsidRDefault="0079147F"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87.7%</w:t>
            </w:r>
          </w:p>
        </w:tc>
      </w:tr>
    </w:tbl>
    <w:p w:rsidR="0079147F" w:rsidRDefault="0079147F" w:rsidP="0079147F">
      <w:pPr>
        <w:jc w:val="center"/>
        <w:rPr>
          <w:b/>
          <w:color w:val="0072C6"/>
          <w:szCs w:val="24"/>
        </w:rPr>
      </w:pPr>
      <w:r>
        <w:rPr>
          <w:noProof/>
          <w:lang w:eastAsia="en-GB"/>
        </w:rPr>
        <w:lastRenderedPageBreak/>
        <w:drawing>
          <wp:inline distT="0" distB="0" distL="0" distR="0" wp14:anchorId="199A0B26" wp14:editId="45AA7E95">
            <wp:extent cx="5818909" cy="2836718"/>
            <wp:effectExtent l="0" t="0" r="0" b="1905"/>
            <wp:docPr id="15" name="Chart 15" title="Graph showing staff believing that trust provides equal opportunities for career progression or promotion broken down by ethnicity"/>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9147F" w:rsidRPr="005035AF" w:rsidRDefault="0079147F" w:rsidP="0079147F">
      <w:pPr>
        <w:rPr>
          <w:szCs w:val="24"/>
        </w:rPr>
      </w:pPr>
      <w:r>
        <w:rPr>
          <w:szCs w:val="24"/>
        </w:rPr>
        <w:t>Compared to the previous year, there has been an increase in Trust BME and white staff stating that they feel that the Trust offers equal opportunities for carer progression and promotion. The difference in experience between the two groups remains the same as t</w:t>
      </w:r>
      <w:r w:rsidR="00272392">
        <w:rPr>
          <w:szCs w:val="24"/>
        </w:rPr>
        <w:t>he previous year. Compared</w:t>
      </w:r>
      <w:r>
        <w:rPr>
          <w:szCs w:val="24"/>
        </w:rPr>
        <w:t xml:space="preserve"> to the acute average, both Trust BME and white staff score better.</w:t>
      </w:r>
    </w:p>
    <w:p w:rsidR="00272392" w:rsidRDefault="00272392" w:rsidP="00272392">
      <w:pPr>
        <w:pStyle w:val="Heading2"/>
      </w:pPr>
      <w:bookmarkStart w:id="41" w:name="Indicator_8"/>
      <w:bookmarkStart w:id="42" w:name="_Toc79152374"/>
      <w:bookmarkEnd w:id="37"/>
      <w:r w:rsidRPr="00262EC3">
        <w:t xml:space="preserve">Indicator </w:t>
      </w:r>
      <w:r>
        <w:t>8</w:t>
      </w:r>
      <w:r w:rsidRPr="00262EC3">
        <w:t xml:space="preserve"> - </w:t>
      </w:r>
      <w:r w:rsidRPr="00F01C90">
        <w:t>In the last 12 months</w:t>
      </w:r>
      <w:r>
        <w:t>,</w:t>
      </w:r>
      <w:r w:rsidRPr="00F01C90">
        <w:t xml:space="preserve"> have you personally experienced discrimination at work from </w:t>
      </w:r>
      <w:r>
        <w:t xml:space="preserve">your </w:t>
      </w:r>
      <w:r w:rsidRPr="00F01C90">
        <w:t>Manager/team leader or other colleagues</w:t>
      </w:r>
      <w:r>
        <w:t xml:space="preserve">? </w:t>
      </w:r>
      <w:proofErr w:type="gramStart"/>
      <w:r>
        <w:t>Q15(</w:t>
      </w:r>
      <w:proofErr w:type="gramEnd"/>
      <w:r>
        <w:t>b) from the Staff Survey</w:t>
      </w:r>
      <w:bookmarkEnd w:id="42"/>
    </w:p>
    <w:p w:rsidR="00272392" w:rsidRDefault="00272392" w:rsidP="00272392">
      <w:pPr>
        <w:rPr>
          <w:b/>
        </w:rPr>
      </w:pPr>
    </w:p>
    <w:p w:rsidR="00272392" w:rsidRDefault="00272392" w:rsidP="00272392">
      <w:pPr>
        <w:pStyle w:val="Heading3"/>
      </w:pPr>
      <w:bookmarkStart w:id="43" w:name="_Toc79152375"/>
      <w:r w:rsidRPr="004C04C6">
        <w:t>Brighton and Sussex University Hospitals NHS Trust:</w:t>
      </w:r>
      <w:bookmarkEnd w:id="43"/>
    </w:p>
    <w:p w:rsidR="00272392" w:rsidRPr="00272392" w:rsidRDefault="00272392" w:rsidP="00272392"/>
    <w:tbl>
      <w:tblPr>
        <w:tblW w:w="6196" w:type="dxa"/>
        <w:jc w:val="center"/>
        <w:tblLook w:val="04A0" w:firstRow="1" w:lastRow="0" w:firstColumn="1" w:lastColumn="0" w:noHBand="0" w:noVBand="1"/>
        <w:tblCaption w:val="Staff that have experienced discrimination at work from their Manager/team leader or other colleagues broken down by ethnicity"/>
      </w:tblPr>
      <w:tblGrid>
        <w:gridCol w:w="1017"/>
        <w:gridCol w:w="897"/>
        <w:gridCol w:w="897"/>
        <w:gridCol w:w="1364"/>
        <w:gridCol w:w="1164"/>
        <w:gridCol w:w="1124"/>
      </w:tblGrid>
      <w:tr w:rsidR="00272392" w:rsidRPr="00405565" w:rsidTr="00272392">
        <w:trPr>
          <w:cantSplit/>
          <w:trHeight w:val="1590"/>
          <w:tblHeader/>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392" w:rsidRPr="00405565" w:rsidRDefault="00272392" w:rsidP="001E0F80">
            <w:pPr>
              <w:spacing w:after="0" w:line="240" w:lineRule="auto"/>
              <w:rPr>
                <w:rFonts w:eastAsia="Times New Roman"/>
                <w:b/>
                <w:bCs/>
                <w:color w:val="000000"/>
                <w:szCs w:val="24"/>
                <w:lang w:eastAsia="en-GB"/>
              </w:rPr>
            </w:pPr>
            <w:r>
              <w:rPr>
                <w:rFonts w:eastAsia="Times New Roman"/>
                <w:b/>
                <w:bCs/>
                <w:color w:val="000000"/>
                <w:szCs w:val="24"/>
                <w:lang w:eastAsia="en-GB"/>
              </w:rPr>
              <w:t>Staff Survey Year</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392" w:rsidRPr="00405565" w:rsidRDefault="00272392" w:rsidP="001E0F80">
            <w:pPr>
              <w:spacing w:after="0" w:line="240" w:lineRule="auto"/>
              <w:jc w:val="center"/>
              <w:rPr>
                <w:rFonts w:eastAsia="Times New Roman"/>
                <w:b/>
                <w:bCs/>
                <w:color w:val="000000"/>
                <w:szCs w:val="24"/>
                <w:lang w:eastAsia="en-GB"/>
              </w:rPr>
            </w:pPr>
            <w:r w:rsidRPr="00405565">
              <w:rPr>
                <w:rFonts w:eastAsia="Times New Roman"/>
                <w:b/>
                <w:bCs/>
                <w:color w:val="000000"/>
                <w:szCs w:val="24"/>
                <w:lang w:eastAsia="en-GB"/>
              </w:rPr>
              <w:t>BSUH BME staff</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392" w:rsidRPr="00405565" w:rsidRDefault="00272392" w:rsidP="001E0F80">
            <w:pPr>
              <w:spacing w:after="0" w:line="240" w:lineRule="auto"/>
              <w:jc w:val="center"/>
              <w:rPr>
                <w:rFonts w:eastAsia="Times New Roman"/>
                <w:b/>
                <w:bCs/>
                <w:color w:val="000000"/>
                <w:szCs w:val="24"/>
                <w:lang w:eastAsia="en-GB"/>
              </w:rPr>
            </w:pPr>
            <w:r w:rsidRPr="00405565">
              <w:rPr>
                <w:rFonts w:eastAsia="Times New Roman"/>
                <w:b/>
                <w:bCs/>
                <w:color w:val="000000"/>
                <w:szCs w:val="24"/>
                <w:lang w:eastAsia="en-GB"/>
              </w:rPr>
              <w:t>BSUH white staff</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392" w:rsidRPr="00405565" w:rsidRDefault="00272392" w:rsidP="001E0F80">
            <w:pPr>
              <w:spacing w:after="0" w:line="240" w:lineRule="auto"/>
              <w:jc w:val="center"/>
              <w:rPr>
                <w:rFonts w:eastAsia="Times New Roman"/>
                <w:b/>
                <w:bCs/>
                <w:color w:val="1F497D"/>
                <w:szCs w:val="24"/>
                <w:lang w:eastAsia="en-GB"/>
              </w:rPr>
            </w:pPr>
            <w:r w:rsidRPr="00405565">
              <w:rPr>
                <w:rFonts w:eastAsia="Times New Roman"/>
                <w:b/>
                <w:bCs/>
                <w:color w:val="1F497D"/>
                <w:szCs w:val="24"/>
                <w:lang w:eastAsia="en-GB"/>
              </w:rPr>
              <w:t>% point difference</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392" w:rsidRPr="00405565" w:rsidRDefault="00272392" w:rsidP="001E0F80">
            <w:pPr>
              <w:spacing w:after="0" w:line="240" w:lineRule="auto"/>
              <w:jc w:val="center"/>
              <w:rPr>
                <w:rFonts w:eastAsia="Times New Roman"/>
                <w:b/>
                <w:bCs/>
                <w:color w:val="000000"/>
                <w:szCs w:val="24"/>
                <w:lang w:eastAsia="en-GB"/>
              </w:rPr>
            </w:pPr>
            <w:r w:rsidRPr="00405565">
              <w:rPr>
                <w:rFonts w:eastAsia="Times New Roman"/>
                <w:b/>
                <w:bCs/>
                <w:color w:val="000000"/>
                <w:szCs w:val="24"/>
                <w:lang w:eastAsia="en-GB"/>
              </w:rPr>
              <w:t>Acute Average (BME staff)</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392" w:rsidRPr="00405565" w:rsidRDefault="00272392" w:rsidP="001E0F80">
            <w:pPr>
              <w:spacing w:after="0" w:line="240" w:lineRule="auto"/>
              <w:jc w:val="center"/>
              <w:rPr>
                <w:rFonts w:eastAsia="Times New Roman"/>
                <w:b/>
                <w:bCs/>
                <w:color w:val="000000"/>
                <w:szCs w:val="24"/>
                <w:lang w:eastAsia="en-GB"/>
              </w:rPr>
            </w:pPr>
            <w:r w:rsidRPr="00405565">
              <w:rPr>
                <w:rFonts w:eastAsia="Times New Roman"/>
                <w:b/>
                <w:bCs/>
                <w:color w:val="000000"/>
                <w:szCs w:val="24"/>
                <w:lang w:eastAsia="en-GB"/>
              </w:rPr>
              <w:t>Acute average (white staff)</w:t>
            </w:r>
          </w:p>
        </w:tc>
      </w:tr>
      <w:tr w:rsidR="00272392" w:rsidRPr="00405565" w:rsidTr="00272392">
        <w:trPr>
          <w:cantSplit/>
          <w:trHeight w:val="315"/>
          <w:tblHeader/>
          <w:jc w:val="center"/>
        </w:trPr>
        <w:tc>
          <w:tcPr>
            <w:tcW w:w="75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272392" w:rsidRPr="00405565" w:rsidRDefault="00272392"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2018</w:t>
            </w:r>
          </w:p>
        </w:tc>
        <w:tc>
          <w:tcPr>
            <w:tcW w:w="897" w:type="dxa"/>
            <w:tcBorders>
              <w:top w:val="single" w:sz="4" w:space="0" w:color="auto"/>
              <w:left w:val="nil"/>
              <w:bottom w:val="single" w:sz="8" w:space="0" w:color="auto"/>
              <w:right w:val="single" w:sz="8" w:space="0" w:color="auto"/>
            </w:tcBorders>
            <w:shd w:val="clear" w:color="auto" w:fill="auto"/>
            <w:vAlign w:val="center"/>
            <w:hideMark/>
          </w:tcPr>
          <w:p w:rsidR="00272392" w:rsidRPr="00405565" w:rsidRDefault="00272392"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14.8%</w:t>
            </w:r>
          </w:p>
        </w:tc>
        <w:tc>
          <w:tcPr>
            <w:tcW w:w="897" w:type="dxa"/>
            <w:tcBorders>
              <w:top w:val="single" w:sz="4" w:space="0" w:color="auto"/>
              <w:left w:val="nil"/>
              <w:bottom w:val="single" w:sz="8" w:space="0" w:color="auto"/>
              <w:right w:val="single" w:sz="8" w:space="0" w:color="auto"/>
            </w:tcBorders>
            <w:shd w:val="clear" w:color="auto" w:fill="auto"/>
            <w:vAlign w:val="center"/>
            <w:hideMark/>
          </w:tcPr>
          <w:p w:rsidR="00272392" w:rsidRPr="00405565" w:rsidRDefault="00272392"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6.9%</w:t>
            </w:r>
          </w:p>
        </w:tc>
        <w:tc>
          <w:tcPr>
            <w:tcW w:w="1364" w:type="dxa"/>
            <w:tcBorders>
              <w:top w:val="single" w:sz="4" w:space="0" w:color="auto"/>
              <w:left w:val="nil"/>
              <w:bottom w:val="single" w:sz="8" w:space="0" w:color="auto"/>
              <w:right w:val="single" w:sz="8" w:space="0" w:color="auto"/>
            </w:tcBorders>
            <w:shd w:val="clear" w:color="auto" w:fill="auto"/>
            <w:vAlign w:val="center"/>
            <w:hideMark/>
          </w:tcPr>
          <w:p w:rsidR="00272392" w:rsidRPr="00405565" w:rsidRDefault="00272392"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405565">
              <w:rPr>
                <w:rFonts w:eastAsia="Times New Roman"/>
                <w:color w:val="1F497D"/>
                <w:szCs w:val="24"/>
                <w:lang w:eastAsia="en-GB"/>
              </w:rPr>
              <w:t>7.9%</w:t>
            </w:r>
            <w:r>
              <w:rPr>
                <w:rFonts w:eastAsia="Times New Roman"/>
                <w:color w:val="1F497D"/>
                <w:szCs w:val="24"/>
                <w:lang w:eastAsia="en-GB"/>
              </w:rPr>
              <w:t>)</w:t>
            </w:r>
          </w:p>
        </w:tc>
        <w:tc>
          <w:tcPr>
            <w:tcW w:w="1164" w:type="dxa"/>
            <w:tcBorders>
              <w:top w:val="single" w:sz="4" w:space="0" w:color="auto"/>
              <w:left w:val="nil"/>
              <w:bottom w:val="single" w:sz="8" w:space="0" w:color="auto"/>
              <w:right w:val="single" w:sz="8" w:space="0" w:color="auto"/>
            </w:tcBorders>
            <w:shd w:val="clear" w:color="auto" w:fill="auto"/>
            <w:vAlign w:val="center"/>
            <w:hideMark/>
          </w:tcPr>
          <w:p w:rsidR="00272392" w:rsidRPr="00405565" w:rsidRDefault="00272392"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14.6%</w:t>
            </w:r>
          </w:p>
        </w:tc>
        <w:tc>
          <w:tcPr>
            <w:tcW w:w="1124" w:type="dxa"/>
            <w:tcBorders>
              <w:top w:val="single" w:sz="4" w:space="0" w:color="auto"/>
              <w:left w:val="nil"/>
              <w:bottom w:val="single" w:sz="8" w:space="0" w:color="auto"/>
              <w:right w:val="single" w:sz="8" w:space="0" w:color="auto"/>
            </w:tcBorders>
            <w:shd w:val="clear" w:color="auto" w:fill="auto"/>
            <w:vAlign w:val="center"/>
            <w:hideMark/>
          </w:tcPr>
          <w:p w:rsidR="00272392" w:rsidRPr="00405565" w:rsidRDefault="00272392"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6.3%</w:t>
            </w:r>
          </w:p>
        </w:tc>
      </w:tr>
      <w:tr w:rsidR="00272392" w:rsidRPr="00405565" w:rsidTr="001E0F80">
        <w:trPr>
          <w:cantSplit/>
          <w:trHeight w:val="315"/>
          <w:tblHeader/>
          <w:jc w:val="center"/>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272392" w:rsidRPr="00405565" w:rsidRDefault="00272392"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2019</w:t>
            </w:r>
          </w:p>
        </w:tc>
        <w:tc>
          <w:tcPr>
            <w:tcW w:w="897" w:type="dxa"/>
            <w:tcBorders>
              <w:top w:val="nil"/>
              <w:left w:val="nil"/>
              <w:bottom w:val="single" w:sz="8" w:space="0" w:color="auto"/>
              <w:right w:val="single" w:sz="8" w:space="0" w:color="auto"/>
            </w:tcBorders>
            <w:shd w:val="clear" w:color="auto" w:fill="auto"/>
            <w:vAlign w:val="center"/>
            <w:hideMark/>
          </w:tcPr>
          <w:p w:rsidR="00272392" w:rsidRPr="00405565" w:rsidRDefault="00272392"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14.2%</w:t>
            </w:r>
          </w:p>
        </w:tc>
        <w:tc>
          <w:tcPr>
            <w:tcW w:w="897" w:type="dxa"/>
            <w:tcBorders>
              <w:top w:val="nil"/>
              <w:left w:val="nil"/>
              <w:bottom w:val="single" w:sz="8" w:space="0" w:color="auto"/>
              <w:right w:val="single" w:sz="8" w:space="0" w:color="auto"/>
            </w:tcBorders>
            <w:shd w:val="clear" w:color="auto" w:fill="auto"/>
            <w:vAlign w:val="center"/>
            <w:hideMark/>
          </w:tcPr>
          <w:p w:rsidR="00272392" w:rsidRPr="00405565" w:rsidRDefault="00272392"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7.3%</w:t>
            </w:r>
          </w:p>
        </w:tc>
        <w:tc>
          <w:tcPr>
            <w:tcW w:w="1364" w:type="dxa"/>
            <w:tcBorders>
              <w:top w:val="nil"/>
              <w:left w:val="nil"/>
              <w:bottom w:val="single" w:sz="8" w:space="0" w:color="auto"/>
              <w:right w:val="single" w:sz="8" w:space="0" w:color="auto"/>
            </w:tcBorders>
            <w:shd w:val="clear" w:color="auto" w:fill="auto"/>
            <w:vAlign w:val="center"/>
            <w:hideMark/>
          </w:tcPr>
          <w:p w:rsidR="00272392" w:rsidRPr="00405565" w:rsidRDefault="00272392"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405565">
              <w:rPr>
                <w:rFonts w:eastAsia="Times New Roman"/>
                <w:color w:val="1F497D"/>
                <w:szCs w:val="24"/>
                <w:lang w:eastAsia="en-GB"/>
              </w:rPr>
              <w:t>6.9%</w:t>
            </w:r>
            <w:r>
              <w:rPr>
                <w:rFonts w:eastAsia="Times New Roman"/>
                <w:color w:val="1F497D"/>
                <w:szCs w:val="24"/>
                <w:lang w:eastAsia="en-GB"/>
              </w:rPr>
              <w:t>)</w:t>
            </w:r>
          </w:p>
        </w:tc>
        <w:tc>
          <w:tcPr>
            <w:tcW w:w="1164" w:type="dxa"/>
            <w:tcBorders>
              <w:top w:val="nil"/>
              <w:left w:val="nil"/>
              <w:bottom w:val="single" w:sz="8" w:space="0" w:color="auto"/>
              <w:right w:val="single" w:sz="8" w:space="0" w:color="auto"/>
            </w:tcBorders>
            <w:shd w:val="clear" w:color="auto" w:fill="auto"/>
            <w:vAlign w:val="center"/>
            <w:hideMark/>
          </w:tcPr>
          <w:p w:rsidR="00272392" w:rsidRPr="00405565" w:rsidRDefault="00272392"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14.2%</w:t>
            </w:r>
          </w:p>
        </w:tc>
        <w:tc>
          <w:tcPr>
            <w:tcW w:w="1124" w:type="dxa"/>
            <w:tcBorders>
              <w:top w:val="nil"/>
              <w:left w:val="nil"/>
              <w:bottom w:val="single" w:sz="8" w:space="0" w:color="auto"/>
              <w:right w:val="single" w:sz="8" w:space="0" w:color="auto"/>
            </w:tcBorders>
            <w:shd w:val="clear" w:color="auto" w:fill="auto"/>
            <w:vAlign w:val="center"/>
            <w:hideMark/>
          </w:tcPr>
          <w:p w:rsidR="00272392" w:rsidRPr="00405565" w:rsidRDefault="00272392"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5.8%</w:t>
            </w:r>
          </w:p>
        </w:tc>
      </w:tr>
      <w:tr w:rsidR="00272392" w:rsidRPr="00405565" w:rsidTr="001E0F80">
        <w:trPr>
          <w:cantSplit/>
          <w:trHeight w:val="315"/>
          <w:tblHeader/>
          <w:jc w:val="center"/>
        </w:trPr>
        <w:tc>
          <w:tcPr>
            <w:tcW w:w="750" w:type="dxa"/>
            <w:tcBorders>
              <w:top w:val="nil"/>
              <w:left w:val="single" w:sz="8" w:space="0" w:color="auto"/>
              <w:bottom w:val="single" w:sz="8" w:space="0" w:color="auto"/>
              <w:right w:val="single" w:sz="8" w:space="0" w:color="auto"/>
            </w:tcBorders>
            <w:shd w:val="clear" w:color="auto" w:fill="auto"/>
            <w:vAlign w:val="center"/>
            <w:hideMark/>
          </w:tcPr>
          <w:p w:rsidR="00272392" w:rsidRPr="00405565" w:rsidRDefault="00272392"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2020</w:t>
            </w:r>
          </w:p>
        </w:tc>
        <w:tc>
          <w:tcPr>
            <w:tcW w:w="897" w:type="dxa"/>
            <w:tcBorders>
              <w:top w:val="nil"/>
              <w:left w:val="nil"/>
              <w:bottom w:val="single" w:sz="8" w:space="0" w:color="auto"/>
              <w:right w:val="single" w:sz="8" w:space="0" w:color="auto"/>
            </w:tcBorders>
            <w:shd w:val="clear" w:color="auto" w:fill="auto"/>
            <w:vAlign w:val="center"/>
            <w:hideMark/>
          </w:tcPr>
          <w:p w:rsidR="00272392" w:rsidRPr="00405565" w:rsidRDefault="00272392"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15.5%</w:t>
            </w:r>
          </w:p>
        </w:tc>
        <w:tc>
          <w:tcPr>
            <w:tcW w:w="897" w:type="dxa"/>
            <w:tcBorders>
              <w:top w:val="nil"/>
              <w:left w:val="nil"/>
              <w:bottom w:val="single" w:sz="8" w:space="0" w:color="auto"/>
              <w:right w:val="single" w:sz="8" w:space="0" w:color="auto"/>
            </w:tcBorders>
            <w:shd w:val="clear" w:color="auto" w:fill="auto"/>
            <w:vAlign w:val="center"/>
            <w:hideMark/>
          </w:tcPr>
          <w:p w:rsidR="00272392" w:rsidRPr="00405565" w:rsidRDefault="00272392"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7.1%</w:t>
            </w:r>
          </w:p>
        </w:tc>
        <w:tc>
          <w:tcPr>
            <w:tcW w:w="1364" w:type="dxa"/>
            <w:tcBorders>
              <w:top w:val="nil"/>
              <w:left w:val="nil"/>
              <w:bottom w:val="single" w:sz="8" w:space="0" w:color="auto"/>
              <w:right w:val="single" w:sz="8" w:space="0" w:color="auto"/>
            </w:tcBorders>
            <w:shd w:val="clear" w:color="auto" w:fill="auto"/>
            <w:vAlign w:val="center"/>
            <w:hideMark/>
          </w:tcPr>
          <w:p w:rsidR="00272392" w:rsidRPr="00405565" w:rsidRDefault="00272392"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405565">
              <w:rPr>
                <w:rFonts w:eastAsia="Times New Roman"/>
                <w:color w:val="1F497D"/>
                <w:szCs w:val="24"/>
                <w:lang w:eastAsia="en-GB"/>
              </w:rPr>
              <w:t>8.4%</w:t>
            </w:r>
            <w:r>
              <w:rPr>
                <w:rFonts w:eastAsia="Times New Roman"/>
                <w:color w:val="1F497D"/>
                <w:szCs w:val="24"/>
                <w:lang w:eastAsia="en-GB"/>
              </w:rPr>
              <w:t>)</w:t>
            </w:r>
          </w:p>
        </w:tc>
        <w:tc>
          <w:tcPr>
            <w:tcW w:w="1164" w:type="dxa"/>
            <w:tcBorders>
              <w:top w:val="nil"/>
              <w:left w:val="nil"/>
              <w:bottom w:val="single" w:sz="8" w:space="0" w:color="auto"/>
              <w:right w:val="single" w:sz="8" w:space="0" w:color="auto"/>
            </w:tcBorders>
            <w:shd w:val="clear" w:color="auto" w:fill="auto"/>
            <w:vAlign w:val="center"/>
            <w:hideMark/>
          </w:tcPr>
          <w:p w:rsidR="00272392" w:rsidRPr="00405565" w:rsidRDefault="00272392"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16.8%</w:t>
            </w:r>
          </w:p>
        </w:tc>
        <w:tc>
          <w:tcPr>
            <w:tcW w:w="1124" w:type="dxa"/>
            <w:tcBorders>
              <w:top w:val="nil"/>
              <w:left w:val="nil"/>
              <w:bottom w:val="single" w:sz="8" w:space="0" w:color="auto"/>
              <w:right w:val="single" w:sz="8" w:space="0" w:color="auto"/>
            </w:tcBorders>
            <w:shd w:val="clear" w:color="auto" w:fill="auto"/>
            <w:vAlign w:val="center"/>
            <w:hideMark/>
          </w:tcPr>
          <w:p w:rsidR="00272392" w:rsidRPr="00405565" w:rsidRDefault="00272392" w:rsidP="001E0F80">
            <w:pPr>
              <w:spacing w:after="0" w:line="240" w:lineRule="auto"/>
              <w:jc w:val="center"/>
              <w:rPr>
                <w:rFonts w:eastAsia="Times New Roman"/>
                <w:color w:val="000000"/>
                <w:szCs w:val="24"/>
                <w:lang w:eastAsia="en-GB"/>
              </w:rPr>
            </w:pPr>
            <w:r w:rsidRPr="00405565">
              <w:rPr>
                <w:rFonts w:eastAsia="Times New Roman"/>
                <w:color w:val="000000"/>
                <w:szCs w:val="24"/>
                <w:lang w:eastAsia="en-GB"/>
              </w:rPr>
              <w:t>6.1%</w:t>
            </w:r>
          </w:p>
        </w:tc>
      </w:tr>
    </w:tbl>
    <w:p w:rsidR="00272392" w:rsidRDefault="00272392" w:rsidP="00272392">
      <w:pPr>
        <w:spacing w:line="240" w:lineRule="auto"/>
        <w:rPr>
          <w:b/>
          <w:color w:val="0072C6"/>
          <w:szCs w:val="24"/>
        </w:rPr>
      </w:pPr>
    </w:p>
    <w:p w:rsidR="00272392" w:rsidRDefault="00272392" w:rsidP="00272392">
      <w:pPr>
        <w:spacing w:line="240" w:lineRule="auto"/>
        <w:jc w:val="center"/>
        <w:rPr>
          <w:b/>
          <w:color w:val="0072C6"/>
          <w:szCs w:val="24"/>
        </w:rPr>
      </w:pPr>
      <w:r>
        <w:rPr>
          <w:noProof/>
          <w:lang w:eastAsia="en-GB"/>
        </w:rPr>
        <w:lastRenderedPageBreak/>
        <w:drawing>
          <wp:inline distT="0" distB="0" distL="0" distR="0" wp14:anchorId="4FCC55F3" wp14:editId="6D0A2244">
            <wp:extent cx="5705475" cy="2790825"/>
            <wp:effectExtent l="0" t="0" r="0" b="0"/>
            <wp:docPr id="30" name="Chart 30" title="Staff that have experienced discrimination at work from their Manager/team leader or other colleagues broken down by ethnicity"/>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72392" w:rsidRPr="005035AF" w:rsidRDefault="00272392" w:rsidP="00272392">
      <w:pPr>
        <w:spacing w:line="240" w:lineRule="auto"/>
        <w:rPr>
          <w:b/>
          <w:szCs w:val="24"/>
        </w:rPr>
      </w:pPr>
      <w:r w:rsidRPr="005035AF">
        <w:rPr>
          <w:szCs w:val="24"/>
        </w:rPr>
        <w:t xml:space="preserve">Compared to the previous year, Trust BME staff </w:t>
      </w:r>
      <w:r>
        <w:rPr>
          <w:szCs w:val="24"/>
        </w:rPr>
        <w:t>saw an</w:t>
      </w:r>
      <w:r w:rsidRPr="005035AF">
        <w:rPr>
          <w:szCs w:val="24"/>
        </w:rPr>
        <w:t xml:space="preserve"> increase (and white staff a slight decrease</w:t>
      </w:r>
      <w:r>
        <w:rPr>
          <w:szCs w:val="24"/>
        </w:rPr>
        <w:t>)</w:t>
      </w:r>
      <w:r w:rsidRPr="005035AF">
        <w:rPr>
          <w:szCs w:val="24"/>
        </w:rPr>
        <w:t xml:space="preserve"> in stating they have experience</w:t>
      </w:r>
      <w:r>
        <w:rPr>
          <w:szCs w:val="24"/>
        </w:rPr>
        <w:t>d</w:t>
      </w:r>
      <w:r w:rsidRPr="005035AF">
        <w:rPr>
          <w:szCs w:val="24"/>
        </w:rPr>
        <w:t xml:space="preserve"> </w:t>
      </w:r>
      <w:r>
        <w:rPr>
          <w:szCs w:val="24"/>
        </w:rPr>
        <w:t xml:space="preserve">discrimination </w:t>
      </w:r>
      <w:r w:rsidRPr="005035AF">
        <w:rPr>
          <w:szCs w:val="24"/>
        </w:rPr>
        <w:t xml:space="preserve">from their manager/team leader or other colleagues. This has led the experience between the two groups to widen. </w:t>
      </w:r>
    </w:p>
    <w:p w:rsidR="00272392" w:rsidRDefault="00272392" w:rsidP="00272392">
      <w:pPr>
        <w:rPr>
          <w:b/>
        </w:rPr>
      </w:pPr>
    </w:p>
    <w:p w:rsidR="00272392" w:rsidRDefault="00272392" w:rsidP="00272392">
      <w:pPr>
        <w:pStyle w:val="Heading3"/>
      </w:pPr>
      <w:bookmarkStart w:id="44" w:name="_Toc79152376"/>
      <w:r>
        <w:t>Western Sussex NHS Foundation Trust</w:t>
      </w:r>
      <w:bookmarkEnd w:id="44"/>
    </w:p>
    <w:p w:rsidR="00272392" w:rsidRPr="00272392" w:rsidRDefault="00272392" w:rsidP="00272392"/>
    <w:tbl>
      <w:tblPr>
        <w:tblW w:w="5760" w:type="dxa"/>
        <w:jc w:val="center"/>
        <w:tblLook w:val="04A0" w:firstRow="1" w:lastRow="0" w:firstColumn="1" w:lastColumn="0" w:noHBand="0" w:noVBand="1"/>
        <w:tblCaption w:val="Staff that have experienced discrimination at work from their Manager/team leader or other colleagues broken down by ethnicity"/>
      </w:tblPr>
      <w:tblGrid>
        <w:gridCol w:w="1017"/>
        <w:gridCol w:w="1070"/>
        <w:gridCol w:w="1070"/>
        <w:gridCol w:w="1364"/>
        <w:gridCol w:w="1164"/>
        <w:gridCol w:w="1124"/>
      </w:tblGrid>
      <w:tr w:rsidR="00272392" w:rsidRPr="002D273C" w:rsidTr="00272392">
        <w:trPr>
          <w:cantSplit/>
          <w:trHeight w:val="1590"/>
          <w:tblHeader/>
          <w:jc w:val="center"/>
        </w:trPr>
        <w:tc>
          <w:tcPr>
            <w:tcW w:w="795" w:type="dxa"/>
            <w:tcBorders>
              <w:top w:val="single" w:sz="4" w:space="0" w:color="auto"/>
              <w:left w:val="single" w:sz="4" w:space="0" w:color="auto"/>
              <w:bottom w:val="single" w:sz="4" w:space="0" w:color="auto"/>
              <w:right w:val="nil"/>
            </w:tcBorders>
            <w:shd w:val="clear" w:color="auto" w:fill="auto"/>
            <w:vAlign w:val="center"/>
            <w:hideMark/>
          </w:tcPr>
          <w:p w:rsidR="00272392" w:rsidRPr="002D273C" w:rsidRDefault="00272392" w:rsidP="001E0F80">
            <w:pPr>
              <w:spacing w:after="0" w:line="240" w:lineRule="auto"/>
              <w:rPr>
                <w:rFonts w:eastAsia="Times New Roman"/>
                <w:b/>
                <w:bCs/>
                <w:color w:val="000000"/>
                <w:szCs w:val="24"/>
                <w:lang w:eastAsia="en-GB"/>
              </w:rPr>
            </w:pPr>
            <w:r>
              <w:rPr>
                <w:rFonts w:eastAsia="Times New Roman"/>
                <w:b/>
                <w:bCs/>
                <w:color w:val="000000"/>
                <w:szCs w:val="24"/>
                <w:lang w:eastAsia="en-GB"/>
              </w:rPr>
              <w:t>Staff Survey Year</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392" w:rsidRPr="002D273C" w:rsidRDefault="00272392" w:rsidP="001E0F80">
            <w:pPr>
              <w:spacing w:after="0" w:line="240" w:lineRule="auto"/>
              <w:jc w:val="center"/>
              <w:rPr>
                <w:rFonts w:eastAsia="Times New Roman"/>
                <w:b/>
                <w:bCs/>
                <w:color w:val="000000"/>
                <w:szCs w:val="24"/>
                <w:lang w:eastAsia="en-GB"/>
              </w:rPr>
            </w:pPr>
            <w:r w:rsidRPr="002D273C">
              <w:rPr>
                <w:rFonts w:eastAsia="Times New Roman"/>
                <w:b/>
                <w:bCs/>
                <w:color w:val="000000"/>
                <w:szCs w:val="24"/>
                <w:lang w:eastAsia="en-GB"/>
              </w:rPr>
              <w:t>WSHFT BME staff</w:t>
            </w:r>
          </w:p>
        </w:tc>
        <w:tc>
          <w:tcPr>
            <w:tcW w:w="929" w:type="dxa"/>
            <w:tcBorders>
              <w:top w:val="single" w:sz="4" w:space="0" w:color="auto"/>
              <w:left w:val="nil"/>
              <w:bottom w:val="single" w:sz="8" w:space="0" w:color="auto"/>
              <w:right w:val="single" w:sz="8" w:space="0" w:color="auto"/>
            </w:tcBorders>
            <w:shd w:val="clear" w:color="auto" w:fill="auto"/>
            <w:vAlign w:val="center"/>
            <w:hideMark/>
          </w:tcPr>
          <w:p w:rsidR="00272392" w:rsidRPr="002D273C" w:rsidRDefault="00272392" w:rsidP="001E0F80">
            <w:pPr>
              <w:spacing w:after="0" w:line="240" w:lineRule="auto"/>
              <w:jc w:val="center"/>
              <w:rPr>
                <w:rFonts w:eastAsia="Times New Roman"/>
                <w:b/>
                <w:bCs/>
                <w:color w:val="000000"/>
                <w:szCs w:val="24"/>
                <w:lang w:eastAsia="en-GB"/>
              </w:rPr>
            </w:pPr>
            <w:r w:rsidRPr="002D273C">
              <w:rPr>
                <w:rFonts w:eastAsia="Times New Roman"/>
                <w:b/>
                <w:bCs/>
                <w:color w:val="000000"/>
                <w:szCs w:val="24"/>
                <w:lang w:eastAsia="en-GB"/>
              </w:rPr>
              <w:t>WSHFT white staff</w:t>
            </w:r>
          </w:p>
        </w:tc>
        <w:tc>
          <w:tcPr>
            <w:tcW w:w="1178" w:type="dxa"/>
            <w:tcBorders>
              <w:top w:val="single" w:sz="4" w:space="0" w:color="auto"/>
              <w:left w:val="nil"/>
              <w:bottom w:val="single" w:sz="8" w:space="0" w:color="auto"/>
              <w:right w:val="single" w:sz="8" w:space="0" w:color="auto"/>
            </w:tcBorders>
            <w:shd w:val="clear" w:color="auto" w:fill="auto"/>
            <w:vAlign w:val="center"/>
            <w:hideMark/>
          </w:tcPr>
          <w:p w:rsidR="00272392" w:rsidRPr="002D273C" w:rsidRDefault="00272392" w:rsidP="001E0F80">
            <w:pPr>
              <w:spacing w:after="0" w:line="240" w:lineRule="auto"/>
              <w:jc w:val="center"/>
              <w:rPr>
                <w:rFonts w:eastAsia="Times New Roman"/>
                <w:b/>
                <w:bCs/>
                <w:color w:val="1F497D"/>
                <w:szCs w:val="24"/>
                <w:lang w:eastAsia="en-GB"/>
              </w:rPr>
            </w:pPr>
            <w:r w:rsidRPr="002D273C">
              <w:rPr>
                <w:rFonts w:eastAsia="Times New Roman"/>
                <w:b/>
                <w:bCs/>
                <w:color w:val="1F497D"/>
                <w:szCs w:val="24"/>
                <w:lang w:eastAsia="en-GB"/>
              </w:rPr>
              <w:t>% point difference</w:t>
            </w:r>
          </w:p>
        </w:tc>
        <w:tc>
          <w:tcPr>
            <w:tcW w:w="978" w:type="dxa"/>
            <w:tcBorders>
              <w:top w:val="single" w:sz="4" w:space="0" w:color="auto"/>
              <w:left w:val="nil"/>
              <w:bottom w:val="single" w:sz="8" w:space="0" w:color="auto"/>
              <w:right w:val="single" w:sz="8" w:space="0" w:color="auto"/>
            </w:tcBorders>
            <w:shd w:val="clear" w:color="auto" w:fill="auto"/>
            <w:vAlign w:val="center"/>
            <w:hideMark/>
          </w:tcPr>
          <w:p w:rsidR="00272392" w:rsidRPr="002D273C" w:rsidRDefault="00272392" w:rsidP="001E0F80">
            <w:pPr>
              <w:spacing w:after="0" w:line="240" w:lineRule="auto"/>
              <w:jc w:val="center"/>
              <w:rPr>
                <w:rFonts w:eastAsia="Times New Roman"/>
                <w:b/>
                <w:bCs/>
                <w:color w:val="000000"/>
                <w:szCs w:val="24"/>
                <w:lang w:eastAsia="en-GB"/>
              </w:rPr>
            </w:pPr>
            <w:r w:rsidRPr="002D273C">
              <w:rPr>
                <w:rFonts w:eastAsia="Times New Roman"/>
                <w:b/>
                <w:bCs/>
                <w:color w:val="000000"/>
                <w:szCs w:val="24"/>
                <w:lang w:eastAsia="en-GB"/>
              </w:rPr>
              <w:t>Acute Average (BME staff)</w:t>
            </w:r>
          </w:p>
        </w:tc>
        <w:tc>
          <w:tcPr>
            <w:tcW w:w="951" w:type="dxa"/>
            <w:tcBorders>
              <w:top w:val="single" w:sz="4" w:space="0" w:color="auto"/>
              <w:left w:val="nil"/>
              <w:bottom w:val="single" w:sz="8" w:space="0" w:color="auto"/>
              <w:right w:val="single" w:sz="8" w:space="0" w:color="auto"/>
            </w:tcBorders>
            <w:shd w:val="clear" w:color="auto" w:fill="auto"/>
            <w:vAlign w:val="center"/>
            <w:hideMark/>
          </w:tcPr>
          <w:p w:rsidR="00272392" w:rsidRPr="002D273C" w:rsidRDefault="00272392" w:rsidP="001E0F80">
            <w:pPr>
              <w:spacing w:after="0" w:line="240" w:lineRule="auto"/>
              <w:jc w:val="center"/>
              <w:rPr>
                <w:rFonts w:eastAsia="Times New Roman"/>
                <w:b/>
                <w:bCs/>
                <w:color w:val="000000"/>
                <w:szCs w:val="24"/>
                <w:lang w:eastAsia="en-GB"/>
              </w:rPr>
            </w:pPr>
            <w:r w:rsidRPr="002D273C">
              <w:rPr>
                <w:rFonts w:eastAsia="Times New Roman"/>
                <w:b/>
                <w:bCs/>
                <w:color w:val="000000"/>
                <w:szCs w:val="24"/>
                <w:lang w:eastAsia="en-GB"/>
              </w:rPr>
              <w:t>Acute average (white staff)</w:t>
            </w:r>
          </w:p>
        </w:tc>
      </w:tr>
      <w:tr w:rsidR="00272392" w:rsidRPr="002D273C" w:rsidTr="00272392">
        <w:trPr>
          <w:cantSplit/>
          <w:trHeight w:val="315"/>
          <w:tblHeader/>
          <w:jc w:val="center"/>
        </w:trPr>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392" w:rsidRPr="002D273C" w:rsidRDefault="00272392"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2018</w:t>
            </w:r>
          </w:p>
        </w:tc>
        <w:tc>
          <w:tcPr>
            <w:tcW w:w="929" w:type="dxa"/>
            <w:tcBorders>
              <w:top w:val="nil"/>
              <w:left w:val="nil"/>
              <w:bottom w:val="single" w:sz="4" w:space="0" w:color="auto"/>
              <w:right w:val="single" w:sz="4" w:space="0" w:color="auto"/>
            </w:tcBorders>
            <w:shd w:val="clear" w:color="auto" w:fill="auto"/>
            <w:vAlign w:val="center"/>
            <w:hideMark/>
          </w:tcPr>
          <w:p w:rsidR="00272392" w:rsidRPr="002D273C" w:rsidRDefault="00272392"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14.3%</w:t>
            </w:r>
          </w:p>
        </w:tc>
        <w:tc>
          <w:tcPr>
            <w:tcW w:w="929" w:type="dxa"/>
            <w:tcBorders>
              <w:top w:val="nil"/>
              <w:left w:val="nil"/>
              <w:bottom w:val="single" w:sz="8" w:space="0" w:color="auto"/>
              <w:right w:val="single" w:sz="8" w:space="0" w:color="auto"/>
            </w:tcBorders>
            <w:shd w:val="clear" w:color="auto" w:fill="auto"/>
            <w:vAlign w:val="center"/>
            <w:hideMark/>
          </w:tcPr>
          <w:p w:rsidR="00272392" w:rsidRPr="002D273C" w:rsidRDefault="00272392"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6.3%</w:t>
            </w:r>
          </w:p>
        </w:tc>
        <w:tc>
          <w:tcPr>
            <w:tcW w:w="1178" w:type="dxa"/>
            <w:tcBorders>
              <w:top w:val="nil"/>
              <w:left w:val="nil"/>
              <w:bottom w:val="single" w:sz="8" w:space="0" w:color="auto"/>
              <w:right w:val="single" w:sz="8" w:space="0" w:color="auto"/>
            </w:tcBorders>
            <w:shd w:val="clear" w:color="auto" w:fill="auto"/>
            <w:vAlign w:val="center"/>
            <w:hideMark/>
          </w:tcPr>
          <w:p w:rsidR="00272392" w:rsidRPr="002D273C" w:rsidRDefault="00272392"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2D273C">
              <w:rPr>
                <w:rFonts w:eastAsia="Times New Roman"/>
                <w:color w:val="1F497D"/>
                <w:szCs w:val="24"/>
                <w:lang w:eastAsia="en-GB"/>
              </w:rPr>
              <w:t>8.0%</w:t>
            </w:r>
            <w:r>
              <w:rPr>
                <w:rFonts w:eastAsia="Times New Roman"/>
                <w:color w:val="1F497D"/>
                <w:szCs w:val="24"/>
                <w:lang w:eastAsia="en-GB"/>
              </w:rPr>
              <w:t>)</w:t>
            </w:r>
          </w:p>
        </w:tc>
        <w:tc>
          <w:tcPr>
            <w:tcW w:w="978" w:type="dxa"/>
            <w:tcBorders>
              <w:top w:val="nil"/>
              <w:left w:val="nil"/>
              <w:bottom w:val="single" w:sz="8" w:space="0" w:color="auto"/>
              <w:right w:val="single" w:sz="8" w:space="0" w:color="auto"/>
            </w:tcBorders>
            <w:shd w:val="clear" w:color="auto" w:fill="auto"/>
            <w:vAlign w:val="center"/>
            <w:hideMark/>
          </w:tcPr>
          <w:p w:rsidR="00272392" w:rsidRPr="002D273C" w:rsidRDefault="00272392"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14.6%</w:t>
            </w:r>
          </w:p>
        </w:tc>
        <w:tc>
          <w:tcPr>
            <w:tcW w:w="951" w:type="dxa"/>
            <w:tcBorders>
              <w:top w:val="nil"/>
              <w:left w:val="nil"/>
              <w:bottom w:val="single" w:sz="8" w:space="0" w:color="auto"/>
              <w:right w:val="single" w:sz="8" w:space="0" w:color="auto"/>
            </w:tcBorders>
            <w:shd w:val="clear" w:color="auto" w:fill="auto"/>
            <w:vAlign w:val="center"/>
            <w:hideMark/>
          </w:tcPr>
          <w:p w:rsidR="00272392" w:rsidRPr="002D273C" w:rsidRDefault="00272392"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6.3%</w:t>
            </w:r>
          </w:p>
        </w:tc>
      </w:tr>
      <w:tr w:rsidR="00272392" w:rsidRPr="002D273C" w:rsidTr="001E0F80">
        <w:trPr>
          <w:cantSplit/>
          <w:trHeight w:val="315"/>
          <w:tblHeader/>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272392" w:rsidRPr="002D273C" w:rsidRDefault="00272392"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2019</w:t>
            </w:r>
          </w:p>
        </w:tc>
        <w:tc>
          <w:tcPr>
            <w:tcW w:w="929" w:type="dxa"/>
            <w:tcBorders>
              <w:top w:val="nil"/>
              <w:left w:val="nil"/>
              <w:bottom w:val="single" w:sz="4" w:space="0" w:color="auto"/>
              <w:right w:val="single" w:sz="4" w:space="0" w:color="auto"/>
            </w:tcBorders>
            <w:shd w:val="clear" w:color="auto" w:fill="auto"/>
            <w:vAlign w:val="center"/>
            <w:hideMark/>
          </w:tcPr>
          <w:p w:rsidR="00272392" w:rsidRPr="002D273C" w:rsidRDefault="00272392"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13.1%</w:t>
            </w:r>
          </w:p>
        </w:tc>
        <w:tc>
          <w:tcPr>
            <w:tcW w:w="929" w:type="dxa"/>
            <w:tcBorders>
              <w:top w:val="nil"/>
              <w:left w:val="nil"/>
              <w:bottom w:val="single" w:sz="8" w:space="0" w:color="auto"/>
              <w:right w:val="single" w:sz="8" w:space="0" w:color="auto"/>
            </w:tcBorders>
            <w:shd w:val="clear" w:color="auto" w:fill="auto"/>
            <w:vAlign w:val="center"/>
            <w:hideMark/>
          </w:tcPr>
          <w:p w:rsidR="00272392" w:rsidRPr="002D273C" w:rsidRDefault="00272392"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6.3%</w:t>
            </w:r>
          </w:p>
        </w:tc>
        <w:tc>
          <w:tcPr>
            <w:tcW w:w="1178" w:type="dxa"/>
            <w:tcBorders>
              <w:top w:val="nil"/>
              <w:left w:val="nil"/>
              <w:bottom w:val="single" w:sz="8" w:space="0" w:color="auto"/>
              <w:right w:val="single" w:sz="8" w:space="0" w:color="auto"/>
            </w:tcBorders>
            <w:shd w:val="clear" w:color="auto" w:fill="auto"/>
            <w:vAlign w:val="center"/>
            <w:hideMark/>
          </w:tcPr>
          <w:p w:rsidR="00272392" w:rsidRPr="002D273C" w:rsidRDefault="00272392"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2D273C">
              <w:rPr>
                <w:rFonts w:eastAsia="Times New Roman"/>
                <w:color w:val="1F497D"/>
                <w:szCs w:val="24"/>
                <w:lang w:eastAsia="en-GB"/>
              </w:rPr>
              <w:t>6.8%</w:t>
            </w:r>
            <w:r>
              <w:rPr>
                <w:rFonts w:eastAsia="Times New Roman"/>
                <w:color w:val="1F497D"/>
                <w:szCs w:val="24"/>
                <w:lang w:eastAsia="en-GB"/>
              </w:rPr>
              <w:t>)</w:t>
            </w:r>
          </w:p>
        </w:tc>
        <w:tc>
          <w:tcPr>
            <w:tcW w:w="978" w:type="dxa"/>
            <w:tcBorders>
              <w:top w:val="nil"/>
              <w:left w:val="nil"/>
              <w:bottom w:val="single" w:sz="8" w:space="0" w:color="auto"/>
              <w:right w:val="single" w:sz="8" w:space="0" w:color="auto"/>
            </w:tcBorders>
            <w:shd w:val="clear" w:color="auto" w:fill="auto"/>
            <w:vAlign w:val="center"/>
            <w:hideMark/>
          </w:tcPr>
          <w:p w:rsidR="00272392" w:rsidRPr="002D273C" w:rsidRDefault="00272392"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14.2%</w:t>
            </w:r>
          </w:p>
        </w:tc>
        <w:tc>
          <w:tcPr>
            <w:tcW w:w="951" w:type="dxa"/>
            <w:tcBorders>
              <w:top w:val="nil"/>
              <w:left w:val="nil"/>
              <w:bottom w:val="single" w:sz="8" w:space="0" w:color="auto"/>
              <w:right w:val="single" w:sz="8" w:space="0" w:color="auto"/>
            </w:tcBorders>
            <w:shd w:val="clear" w:color="auto" w:fill="auto"/>
            <w:vAlign w:val="center"/>
            <w:hideMark/>
          </w:tcPr>
          <w:p w:rsidR="00272392" w:rsidRPr="002D273C" w:rsidRDefault="00272392"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5.8%</w:t>
            </w:r>
          </w:p>
        </w:tc>
      </w:tr>
      <w:tr w:rsidR="00272392" w:rsidRPr="002D273C" w:rsidTr="001E0F80">
        <w:trPr>
          <w:cantSplit/>
          <w:trHeight w:val="315"/>
          <w:tblHeader/>
          <w:jc w:val="center"/>
        </w:trPr>
        <w:tc>
          <w:tcPr>
            <w:tcW w:w="795" w:type="dxa"/>
            <w:tcBorders>
              <w:top w:val="nil"/>
              <w:left w:val="single" w:sz="4" w:space="0" w:color="auto"/>
              <w:bottom w:val="single" w:sz="4" w:space="0" w:color="auto"/>
              <w:right w:val="single" w:sz="4" w:space="0" w:color="auto"/>
            </w:tcBorders>
            <w:shd w:val="clear" w:color="auto" w:fill="auto"/>
            <w:vAlign w:val="center"/>
            <w:hideMark/>
          </w:tcPr>
          <w:p w:rsidR="00272392" w:rsidRPr="002D273C" w:rsidRDefault="00272392"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2020</w:t>
            </w:r>
          </w:p>
        </w:tc>
        <w:tc>
          <w:tcPr>
            <w:tcW w:w="929" w:type="dxa"/>
            <w:tcBorders>
              <w:top w:val="nil"/>
              <w:left w:val="nil"/>
              <w:bottom w:val="single" w:sz="4" w:space="0" w:color="auto"/>
              <w:right w:val="single" w:sz="4" w:space="0" w:color="auto"/>
            </w:tcBorders>
            <w:shd w:val="clear" w:color="auto" w:fill="auto"/>
            <w:vAlign w:val="center"/>
            <w:hideMark/>
          </w:tcPr>
          <w:p w:rsidR="00272392" w:rsidRPr="002D273C" w:rsidRDefault="00272392"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15.7%</w:t>
            </w:r>
          </w:p>
        </w:tc>
        <w:tc>
          <w:tcPr>
            <w:tcW w:w="929" w:type="dxa"/>
            <w:tcBorders>
              <w:top w:val="nil"/>
              <w:left w:val="nil"/>
              <w:bottom w:val="single" w:sz="8" w:space="0" w:color="auto"/>
              <w:right w:val="single" w:sz="8" w:space="0" w:color="auto"/>
            </w:tcBorders>
            <w:shd w:val="clear" w:color="auto" w:fill="auto"/>
            <w:vAlign w:val="center"/>
            <w:hideMark/>
          </w:tcPr>
          <w:p w:rsidR="00272392" w:rsidRPr="002D273C" w:rsidRDefault="00272392"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6.1%</w:t>
            </w:r>
          </w:p>
        </w:tc>
        <w:tc>
          <w:tcPr>
            <w:tcW w:w="1178" w:type="dxa"/>
            <w:tcBorders>
              <w:top w:val="nil"/>
              <w:left w:val="nil"/>
              <w:bottom w:val="single" w:sz="8" w:space="0" w:color="auto"/>
              <w:right w:val="single" w:sz="8" w:space="0" w:color="auto"/>
            </w:tcBorders>
            <w:shd w:val="clear" w:color="auto" w:fill="auto"/>
            <w:vAlign w:val="center"/>
            <w:hideMark/>
          </w:tcPr>
          <w:p w:rsidR="00272392" w:rsidRPr="002D273C" w:rsidRDefault="00272392" w:rsidP="001E0F80">
            <w:pPr>
              <w:spacing w:after="0" w:line="240" w:lineRule="auto"/>
              <w:jc w:val="center"/>
              <w:rPr>
                <w:rFonts w:eastAsia="Times New Roman"/>
                <w:color w:val="1F497D"/>
                <w:szCs w:val="24"/>
                <w:lang w:eastAsia="en-GB"/>
              </w:rPr>
            </w:pPr>
            <w:r>
              <w:rPr>
                <w:rFonts w:eastAsia="Times New Roman"/>
                <w:color w:val="1F497D"/>
                <w:szCs w:val="24"/>
                <w:lang w:eastAsia="en-GB"/>
              </w:rPr>
              <w:t>(-</w:t>
            </w:r>
            <w:r w:rsidRPr="002D273C">
              <w:rPr>
                <w:rFonts w:eastAsia="Times New Roman"/>
                <w:color w:val="1F497D"/>
                <w:szCs w:val="24"/>
                <w:lang w:eastAsia="en-GB"/>
              </w:rPr>
              <w:t>9.6%</w:t>
            </w:r>
            <w:r>
              <w:rPr>
                <w:rFonts w:eastAsia="Times New Roman"/>
                <w:color w:val="1F497D"/>
                <w:szCs w:val="24"/>
                <w:lang w:eastAsia="en-GB"/>
              </w:rPr>
              <w:t>)</w:t>
            </w:r>
          </w:p>
        </w:tc>
        <w:tc>
          <w:tcPr>
            <w:tcW w:w="978" w:type="dxa"/>
            <w:tcBorders>
              <w:top w:val="nil"/>
              <w:left w:val="nil"/>
              <w:bottom w:val="single" w:sz="8" w:space="0" w:color="auto"/>
              <w:right w:val="single" w:sz="8" w:space="0" w:color="auto"/>
            </w:tcBorders>
            <w:shd w:val="clear" w:color="auto" w:fill="auto"/>
            <w:vAlign w:val="center"/>
            <w:hideMark/>
          </w:tcPr>
          <w:p w:rsidR="00272392" w:rsidRPr="002D273C" w:rsidRDefault="00272392"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16.8%</w:t>
            </w:r>
          </w:p>
        </w:tc>
        <w:tc>
          <w:tcPr>
            <w:tcW w:w="951" w:type="dxa"/>
            <w:tcBorders>
              <w:top w:val="nil"/>
              <w:left w:val="nil"/>
              <w:bottom w:val="single" w:sz="8" w:space="0" w:color="auto"/>
              <w:right w:val="single" w:sz="8" w:space="0" w:color="auto"/>
            </w:tcBorders>
            <w:shd w:val="clear" w:color="auto" w:fill="auto"/>
            <w:vAlign w:val="center"/>
            <w:hideMark/>
          </w:tcPr>
          <w:p w:rsidR="00272392" w:rsidRPr="002D273C" w:rsidRDefault="00272392" w:rsidP="001E0F80">
            <w:pPr>
              <w:spacing w:after="0" w:line="240" w:lineRule="auto"/>
              <w:jc w:val="center"/>
              <w:rPr>
                <w:rFonts w:eastAsia="Times New Roman"/>
                <w:color w:val="000000"/>
                <w:szCs w:val="24"/>
                <w:lang w:eastAsia="en-GB"/>
              </w:rPr>
            </w:pPr>
            <w:r w:rsidRPr="002D273C">
              <w:rPr>
                <w:rFonts w:eastAsia="Times New Roman"/>
                <w:color w:val="000000"/>
                <w:szCs w:val="24"/>
                <w:lang w:eastAsia="en-GB"/>
              </w:rPr>
              <w:t>6.1%</w:t>
            </w:r>
          </w:p>
        </w:tc>
      </w:tr>
    </w:tbl>
    <w:p w:rsidR="00272392" w:rsidRDefault="00272392" w:rsidP="00272392">
      <w:pPr>
        <w:spacing w:line="240" w:lineRule="auto"/>
        <w:rPr>
          <w:noProof/>
          <w:lang w:eastAsia="en-GB"/>
        </w:rPr>
      </w:pPr>
    </w:p>
    <w:p w:rsidR="00272392" w:rsidRDefault="00272392">
      <w:pPr>
        <w:widowControl w:val="0"/>
        <w:rPr>
          <w:noProof/>
          <w:lang w:eastAsia="en-GB"/>
        </w:rPr>
      </w:pPr>
      <w:r>
        <w:rPr>
          <w:noProof/>
          <w:lang w:eastAsia="en-GB"/>
        </w:rPr>
        <w:br w:type="page"/>
      </w:r>
    </w:p>
    <w:p w:rsidR="00272392" w:rsidRDefault="00272392" w:rsidP="00272392">
      <w:pPr>
        <w:spacing w:line="240" w:lineRule="auto"/>
        <w:rPr>
          <w:szCs w:val="24"/>
        </w:rPr>
      </w:pPr>
      <w:r>
        <w:rPr>
          <w:noProof/>
          <w:lang w:eastAsia="en-GB"/>
        </w:rPr>
        <w:lastRenderedPageBreak/>
        <w:drawing>
          <wp:inline distT="0" distB="0" distL="0" distR="0" wp14:anchorId="38D1867C" wp14:editId="59211F95">
            <wp:extent cx="5791200" cy="2247900"/>
            <wp:effectExtent l="0" t="0" r="0" b="0"/>
            <wp:docPr id="19" name="Chart 19" title="Staff that have experienced discrimination at work from their Manager/team leader or other colleagues broken down by ethnicity"/>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72392" w:rsidRDefault="00272392" w:rsidP="00272392">
      <w:pPr>
        <w:spacing w:line="240" w:lineRule="auto"/>
        <w:rPr>
          <w:szCs w:val="24"/>
        </w:rPr>
      </w:pPr>
      <w:r w:rsidRPr="005035AF">
        <w:rPr>
          <w:szCs w:val="24"/>
        </w:rPr>
        <w:t xml:space="preserve">Compared to the previous year, Trust BME staff </w:t>
      </w:r>
      <w:r>
        <w:rPr>
          <w:szCs w:val="24"/>
        </w:rPr>
        <w:t xml:space="preserve">saw </w:t>
      </w:r>
      <w:r w:rsidRPr="005035AF">
        <w:rPr>
          <w:szCs w:val="24"/>
        </w:rPr>
        <w:t>an increase (and white staff a slight decrease</w:t>
      </w:r>
      <w:r>
        <w:rPr>
          <w:szCs w:val="24"/>
        </w:rPr>
        <w:t>)</w:t>
      </w:r>
      <w:r w:rsidRPr="005035AF">
        <w:rPr>
          <w:szCs w:val="24"/>
        </w:rPr>
        <w:t xml:space="preserve"> in stating they have experience</w:t>
      </w:r>
      <w:r>
        <w:rPr>
          <w:szCs w:val="24"/>
        </w:rPr>
        <w:t>d</w:t>
      </w:r>
      <w:r w:rsidRPr="005035AF">
        <w:rPr>
          <w:szCs w:val="24"/>
        </w:rPr>
        <w:t xml:space="preserve"> </w:t>
      </w:r>
      <w:r>
        <w:rPr>
          <w:szCs w:val="24"/>
        </w:rPr>
        <w:t>discrimination</w:t>
      </w:r>
      <w:r w:rsidRPr="005035AF">
        <w:rPr>
          <w:szCs w:val="24"/>
        </w:rPr>
        <w:t xml:space="preserve"> from their manager/team leader or other colleagues. This has led the experience between the two groups to widen. </w:t>
      </w:r>
      <w:r>
        <w:rPr>
          <w:szCs w:val="24"/>
        </w:rPr>
        <w:t xml:space="preserve">The reporting is broadly comparable to </w:t>
      </w:r>
      <w:r w:rsidRPr="005035AF">
        <w:rPr>
          <w:szCs w:val="24"/>
        </w:rPr>
        <w:t xml:space="preserve">the acute </w:t>
      </w:r>
      <w:r>
        <w:rPr>
          <w:szCs w:val="24"/>
        </w:rPr>
        <w:t xml:space="preserve">trust </w:t>
      </w:r>
      <w:r w:rsidRPr="005035AF">
        <w:rPr>
          <w:szCs w:val="24"/>
        </w:rPr>
        <w:t>average</w:t>
      </w:r>
      <w:r>
        <w:rPr>
          <w:szCs w:val="24"/>
        </w:rPr>
        <w:t xml:space="preserve">. </w:t>
      </w:r>
    </w:p>
    <w:p w:rsidR="00272392" w:rsidRDefault="00272392" w:rsidP="00272392">
      <w:pPr>
        <w:spacing w:line="240" w:lineRule="auto"/>
        <w:rPr>
          <w:szCs w:val="24"/>
        </w:rPr>
      </w:pPr>
    </w:p>
    <w:p w:rsidR="00272392" w:rsidRDefault="00272392" w:rsidP="00272392">
      <w:pPr>
        <w:pStyle w:val="Heading2"/>
      </w:pPr>
      <w:bookmarkStart w:id="45" w:name="Indicator_9"/>
      <w:bookmarkStart w:id="46" w:name="_Toc79152377"/>
      <w:r w:rsidRPr="00720F70">
        <w:t>Indicator 9 - compare the difference for white and BME staff: Percentage difference between:</w:t>
      </w:r>
      <w:bookmarkEnd w:id="46"/>
    </w:p>
    <w:p w:rsidR="00272392" w:rsidRDefault="00272392" w:rsidP="00272392">
      <w:pPr>
        <w:pStyle w:val="ListParagraph"/>
        <w:numPr>
          <w:ilvl w:val="0"/>
          <w:numId w:val="4"/>
        </w:numPr>
        <w:spacing w:line="240" w:lineRule="auto"/>
        <w:rPr>
          <w:color w:val="0072C6"/>
          <w:szCs w:val="24"/>
        </w:rPr>
      </w:pPr>
      <w:r w:rsidRPr="00A17C9A">
        <w:rPr>
          <w:color w:val="0072C6"/>
          <w:szCs w:val="24"/>
        </w:rPr>
        <w:t>The organisation’s Board executive membership and its overall workforce</w:t>
      </w:r>
    </w:p>
    <w:p w:rsidR="00272392" w:rsidRDefault="00272392" w:rsidP="00272392">
      <w:pPr>
        <w:spacing w:line="240" w:lineRule="auto"/>
        <w:ind w:left="360"/>
        <w:rPr>
          <w:b/>
          <w:szCs w:val="24"/>
        </w:rPr>
      </w:pPr>
    </w:p>
    <w:p w:rsidR="00272392" w:rsidRPr="00FB218B" w:rsidRDefault="00272392" w:rsidP="00272392">
      <w:pPr>
        <w:pStyle w:val="Heading3"/>
      </w:pPr>
      <w:bookmarkStart w:id="47" w:name="_Toc79152378"/>
      <w:r w:rsidRPr="00FB218B">
        <w:t>Brighton and Sussex University Hospitals NHS Trust</w:t>
      </w:r>
      <w:r>
        <w:t>:</w:t>
      </w:r>
      <w:bookmarkEnd w:id="47"/>
      <w:r>
        <w:br/>
      </w:r>
    </w:p>
    <w:tbl>
      <w:tblPr>
        <w:tblW w:w="10506" w:type="dxa"/>
        <w:jc w:val="center"/>
        <w:tblLook w:val="04A0" w:firstRow="1" w:lastRow="0" w:firstColumn="1" w:lastColumn="0" w:noHBand="0" w:noVBand="1"/>
        <w:tblCaption w:val="Breakdown of workforce and the board by ethnicity"/>
      </w:tblPr>
      <w:tblGrid>
        <w:gridCol w:w="1727"/>
        <w:gridCol w:w="1843"/>
        <w:gridCol w:w="1701"/>
        <w:gridCol w:w="1842"/>
        <w:gridCol w:w="1418"/>
        <w:gridCol w:w="1975"/>
      </w:tblGrid>
      <w:tr w:rsidR="00272392" w:rsidRPr="00720D46" w:rsidTr="00272392">
        <w:trPr>
          <w:cantSplit/>
          <w:trHeight w:val="315"/>
          <w:tblHeader/>
          <w:jc w:val="center"/>
        </w:trPr>
        <w:tc>
          <w:tcPr>
            <w:tcW w:w="1727" w:type="dxa"/>
            <w:tcBorders>
              <w:top w:val="single" w:sz="4" w:space="0" w:color="auto"/>
              <w:left w:val="single" w:sz="4" w:space="0" w:color="auto"/>
              <w:bottom w:val="single" w:sz="4" w:space="0" w:color="auto"/>
              <w:right w:val="nil"/>
            </w:tcBorders>
            <w:shd w:val="clear" w:color="auto" w:fill="auto"/>
            <w:noWrap/>
            <w:vAlign w:val="center"/>
            <w:hideMark/>
          </w:tcPr>
          <w:p w:rsidR="00272392" w:rsidRPr="00720D46" w:rsidRDefault="00272392" w:rsidP="001E0F80">
            <w:pPr>
              <w:spacing w:after="0" w:line="240" w:lineRule="auto"/>
              <w:jc w:val="center"/>
              <w:rPr>
                <w:rFonts w:eastAsia="Times New Roman"/>
                <w:b/>
                <w:bCs/>
                <w:color w:val="000000"/>
                <w:szCs w:val="24"/>
                <w:lang w:eastAsia="en-GB"/>
              </w:rPr>
            </w:pPr>
            <w:r>
              <w:rPr>
                <w:rFonts w:eastAsia="Times New Roman"/>
                <w:b/>
                <w:bCs/>
                <w:color w:val="000000"/>
                <w:szCs w:val="24"/>
                <w:lang w:eastAsia="en-GB"/>
              </w:rPr>
              <w:t>Staff Ethnicity</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392" w:rsidRPr="00720D46" w:rsidRDefault="00272392" w:rsidP="001E0F80">
            <w:pPr>
              <w:spacing w:after="0" w:line="240" w:lineRule="auto"/>
              <w:jc w:val="center"/>
              <w:rPr>
                <w:rFonts w:eastAsia="Times New Roman"/>
                <w:b/>
                <w:color w:val="000000"/>
                <w:lang w:eastAsia="en-GB"/>
              </w:rPr>
            </w:pPr>
            <w:r w:rsidRPr="00720D46">
              <w:rPr>
                <w:rFonts w:eastAsia="Times New Roman"/>
                <w:b/>
                <w:color w:val="000000"/>
                <w:lang w:eastAsia="en-GB"/>
              </w:rPr>
              <w:t>Number in workforce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72392" w:rsidRPr="00720D46" w:rsidRDefault="00272392" w:rsidP="001E0F80">
            <w:pPr>
              <w:spacing w:after="0" w:line="240" w:lineRule="auto"/>
              <w:jc w:val="center"/>
              <w:rPr>
                <w:rFonts w:eastAsia="Times New Roman"/>
                <w:b/>
                <w:color w:val="000000"/>
                <w:lang w:eastAsia="en-GB"/>
              </w:rPr>
            </w:pPr>
            <w:r w:rsidRPr="00720D46">
              <w:rPr>
                <w:rFonts w:eastAsia="Times New Roman"/>
                <w:b/>
                <w:color w:val="000000"/>
                <w:lang w:eastAsia="en-GB"/>
              </w:rPr>
              <w:t>% in workforce</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272392" w:rsidRPr="00720D46" w:rsidRDefault="00272392" w:rsidP="001E0F80">
            <w:pPr>
              <w:spacing w:after="0" w:line="240" w:lineRule="auto"/>
              <w:jc w:val="center"/>
              <w:rPr>
                <w:rFonts w:eastAsia="Times New Roman"/>
                <w:b/>
                <w:color w:val="000000"/>
                <w:lang w:eastAsia="en-GB"/>
              </w:rPr>
            </w:pPr>
            <w:r w:rsidRPr="00720D46">
              <w:rPr>
                <w:rFonts w:eastAsia="Times New Roman"/>
                <w:b/>
                <w:color w:val="000000"/>
                <w:lang w:eastAsia="en-GB"/>
              </w:rPr>
              <w:t>Number on board</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72392" w:rsidRPr="00720D46" w:rsidRDefault="00272392" w:rsidP="001E0F80">
            <w:pPr>
              <w:spacing w:after="0" w:line="240" w:lineRule="auto"/>
              <w:jc w:val="center"/>
              <w:rPr>
                <w:rFonts w:eastAsia="Times New Roman"/>
                <w:b/>
                <w:color w:val="000000"/>
                <w:lang w:eastAsia="en-GB"/>
              </w:rPr>
            </w:pPr>
            <w:r w:rsidRPr="00720D46">
              <w:rPr>
                <w:rFonts w:eastAsia="Times New Roman"/>
                <w:b/>
                <w:color w:val="000000"/>
                <w:lang w:eastAsia="en-GB"/>
              </w:rPr>
              <w:t>% of board</w:t>
            </w:r>
          </w:p>
        </w:tc>
        <w:tc>
          <w:tcPr>
            <w:tcW w:w="1975" w:type="dxa"/>
            <w:tcBorders>
              <w:top w:val="single" w:sz="4" w:space="0" w:color="auto"/>
              <w:left w:val="nil"/>
              <w:bottom w:val="single" w:sz="4" w:space="0" w:color="auto"/>
              <w:right w:val="single" w:sz="4" w:space="0" w:color="auto"/>
            </w:tcBorders>
            <w:shd w:val="clear" w:color="auto" w:fill="4F81BD" w:themeFill="accent1"/>
            <w:noWrap/>
            <w:vAlign w:val="center"/>
            <w:hideMark/>
          </w:tcPr>
          <w:p w:rsidR="00272392" w:rsidRPr="00720D46" w:rsidRDefault="00272392" w:rsidP="001E0F80">
            <w:pPr>
              <w:spacing w:after="0" w:line="240" w:lineRule="auto"/>
              <w:jc w:val="center"/>
              <w:rPr>
                <w:rFonts w:eastAsia="Times New Roman"/>
                <w:b/>
                <w:bCs/>
                <w:color w:val="000000"/>
                <w:lang w:eastAsia="en-GB"/>
              </w:rPr>
            </w:pPr>
            <w:r w:rsidRPr="00720D46">
              <w:rPr>
                <w:rFonts w:eastAsia="Times New Roman"/>
                <w:b/>
                <w:bCs/>
                <w:color w:val="FFFFFF" w:themeColor="background1"/>
                <w:lang w:eastAsia="en-GB"/>
              </w:rPr>
              <w:t>% Difference</w:t>
            </w:r>
          </w:p>
        </w:tc>
      </w:tr>
      <w:tr w:rsidR="00272392" w:rsidRPr="00720D46" w:rsidTr="00272392">
        <w:trPr>
          <w:cantSplit/>
          <w:trHeight w:val="300"/>
          <w:tblHeader/>
          <w:jc w:val="center"/>
        </w:trPr>
        <w:tc>
          <w:tcPr>
            <w:tcW w:w="17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rPr>
                <w:rFonts w:eastAsia="Times New Roman"/>
                <w:b/>
                <w:color w:val="000000"/>
                <w:lang w:eastAsia="en-GB"/>
              </w:rPr>
            </w:pPr>
            <w:r w:rsidRPr="00720D46">
              <w:rPr>
                <w:rFonts w:eastAsia="Times New Roman"/>
                <w:b/>
                <w:color w:val="000000"/>
                <w:lang w:eastAsia="en-GB"/>
              </w:rPr>
              <w:t>White Staff</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6890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77.7%</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11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78.6%</w:t>
            </w:r>
          </w:p>
        </w:tc>
        <w:tc>
          <w:tcPr>
            <w:tcW w:w="1975" w:type="dxa"/>
            <w:tcBorders>
              <w:top w:val="single" w:sz="4" w:space="0" w:color="auto"/>
              <w:left w:val="nil"/>
              <w:bottom w:val="single" w:sz="4" w:space="0" w:color="auto"/>
              <w:right w:val="single" w:sz="4" w:space="0" w:color="auto"/>
            </w:tcBorders>
            <w:shd w:val="clear" w:color="auto" w:fill="auto"/>
            <w:noWrap/>
            <w:vAlign w:val="bottom"/>
          </w:tcPr>
          <w:p w:rsidR="00272392" w:rsidRPr="005F4039" w:rsidRDefault="00272392" w:rsidP="001E0F80">
            <w:pPr>
              <w:spacing w:after="0" w:line="240" w:lineRule="auto"/>
              <w:jc w:val="center"/>
              <w:rPr>
                <w:rFonts w:eastAsia="Times New Roman"/>
                <w:b/>
                <w:bCs/>
                <w:color w:val="FF0000"/>
                <w:lang w:eastAsia="en-GB"/>
              </w:rPr>
            </w:pPr>
            <w:r w:rsidRPr="00E60020">
              <w:rPr>
                <w:rFonts w:eastAsia="Times New Roman"/>
                <w:b/>
                <w:bCs/>
                <w:color w:val="00B050"/>
                <w:lang w:eastAsia="en-GB"/>
              </w:rPr>
              <w:t>+0.9%</w:t>
            </w:r>
          </w:p>
        </w:tc>
      </w:tr>
      <w:tr w:rsidR="00272392" w:rsidRPr="00720D46" w:rsidTr="00272392">
        <w:trPr>
          <w:cantSplit/>
          <w:trHeight w:val="300"/>
          <w:tblHeader/>
          <w:jc w:val="center"/>
        </w:trPr>
        <w:tc>
          <w:tcPr>
            <w:tcW w:w="1727" w:type="dxa"/>
            <w:tcBorders>
              <w:top w:val="nil"/>
              <w:left w:val="single" w:sz="4" w:space="0" w:color="auto"/>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rPr>
                <w:rFonts w:eastAsia="Times New Roman"/>
                <w:b/>
                <w:color w:val="000000"/>
                <w:lang w:eastAsia="en-GB"/>
              </w:rPr>
            </w:pPr>
            <w:r w:rsidRPr="00720D46">
              <w:rPr>
                <w:rFonts w:eastAsia="Times New Roman"/>
                <w:b/>
                <w:color w:val="000000"/>
                <w:lang w:eastAsia="en-GB"/>
              </w:rPr>
              <w:t>BME Staff</w:t>
            </w:r>
          </w:p>
        </w:tc>
        <w:tc>
          <w:tcPr>
            <w:tcW w:w="1843"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1725</w:t>
            </w:r>
          </w:p>
        </w:tc>
        <w:tc>
          <w:tcPr>
            <w:tcW w:w="1701"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19.4%</w:t>
            </w:r>
          </w:p>
        </w:tc>
        <w:tc>
          <w:tcPr>
            <w:tcW w:w="1842"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1</w:t>
            </w:r>
          </w:p>
        </w:tc>
        <w:tc>
          <w:tcPr>
            <w:tcW w:w="1418"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7.1%</w:t>
            </w:r>
          </w:p>
        </w:tc>
        <w:tc>
          <w:tcPr>
            <w:tcW w:w="1975" w:type="dxa"/>
            <w:tcBorders>
              <w:top w:val="nil"/>
              <w:left w:val="nil"/>
              <w:bottom w:val="single" w:sz="4" w:space="0" w:color="auto"/>
              <w:right w:val="single" w:sz="4" w:space="0" w:color="auto"/>
            </w:tcBorders>
            <w:shd w:val="clear" w:color="auto" w:fill="auto"/>
            <w:noWrap/>
            <w:vAlign w:val="bottom"/>
          </w:tcPr>
          <w:p w:rsidR="00272392" w:rsidRPr="00720F70" w:rsidRDefault="00272392" w:rsidP="001E0F80">
            <w:pPr>
              <w:spacing w:after="0" w:line="240" w:lineRule="auto"/>
              <w:jc w:val="center"/>
              <w:rPr>
                <w:rFonts w:eastAsia="Times New Roman"/>
                <w:b/>
                <w:bCs/>
                <w:color w:val="FF0000"/>
                <w:lang w:eastAsia="en-GB"/>
              </w:rPr>
            </w:pPr>
            <w:r>
              <w:rPr>
                <w:rFonts w:eastAsia="Times New Roman"/>
                <w:b/>
                <w:bCs/>
                <w:color w:val="FF0000"/>
                <w:lang w:eastAsia="en-GB"/>
              </w:rPr>
              <w:t>-12.3%</w:t>
            </w:r>
          </w:p>
        </w:tc>
      </w:tr>
      <w:tr w:rsidR="00272392" w:rsidRPr="00720D46" w:rsidTr="00272392">
        <w:trPr>
          <w:cantSplit/>
          <w:trHeight w:val="300"/>
          <w:tblHeader/>
          <w:jc w:val="center"/>
        </w:trPr>
        <w:tc>
          <w:tcPr>
            <w:tcW w:w="1727" w:type="dxa"/>
            <w:tcBorders>
              <w:top w:val="nil"/>
              <w:left w:val="single" w:sz="4" w:space="0" w:color="auto"/>
              <w:bottom w:val="single" w:sz="4" w:space="0" w:color="auto"/>
              <w:right w:val="single" w:sz="4" w:space="0" w:color="auto"/>
            </w:tcBorders>
            <w:shd w:val="clear" w:color="auto" w:fill="auto"/>
            <w:noWrap/>
            <w:vAlign w:val="bottom"/>
            <w:hideMark/>
          </w:tcPr>
          <w:p w:rsidR="00272392" w:rsidRPr="00720D46" w:rsidRDefault="00272392" w:rsidP="001E0F80">
            <w:pPr>
              <w:spacing w:after="0" w:line="240" w:lineRule="auto"/>
              <w:rPr>
                <w:rFonts w:eastAsia="Times New Roman"/>
                <w:b/>
                <w:color w:val="000000"/>
                <w:lang w:eastAsia="en-GB"/>
              </w:rPr>
            </w:pPr>
            <w:r w:rsidRPr="00720D46">
              <w:rPr>
                <w:rFonts w:eastAsia="Times New Roman"/>
                <w:b/>
                <w:color w:val="000000"/>
                <w:lang w:eastAsia="en-GB"/>
              </w:rPr>
              <w:t xml:space="preserve">Unknown </w:t>
            </w:r>
          </w:p>
        </w:tc>
        <w:tc>
          <w:tcPr>
            <w:tcW w:w="1843"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258</w:t>
            </w:r>
          </w:p>
        </w:tc>
        <w:tc>
          <w:tcPr>
            <w:tcW w:w="1701"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2.9%</w:t>
            </w:r>
          </w:p>
        </w:tc>
        <w:tc>
          <w:tcPr>
            <w:tcW w:w="1842"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2</w:t>
            </w:r>
          </w:p>
        </w:tc>
        <w:tc>
          <w:tcPr>
            <w:tcW w:w="1418"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14.3%</w:t>
            </w:r>
          </w:p>
        </w:tc>
        <w:tc>
          <w:tcPr>
            <w:tcW w:w="1975"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b/>
                <w:bCs/>
                <w:color w:val="FF0000"/>
                <w:lang w:eastAsia="en-GB"/>
              </w:rPr>
            </w:pPr>
            <w:r w:rsidRPr="00E60020">
              <w:rPr>
                <w:rFonts w:eastAsia="Times New Roman"/>
                <w:b/>
                <w:bCs/>
                <w:color w:val="00B050"/>
                <w:lang w:eastAsia="en-GB"/>
              </w:rPr>
              <w:t>+</w:t>
            </w:r>
            <w:r>
              <w:rPr>
                <w:rFonts w:eastAsia="Times New Roman"/>
                <w:b/>
                <w:bCs/>
                <w:color w:val="00B050"/>
                <w:lang w:eastAsia="en-GB"/>
              </w:rPr>
              <w:t>11.4%</w:t>
            </w:r>
          </w:p>
        </w:tc>
      </w:tr>
      <w:tr w:rsidR="00272392" w:rsidRPr="00720D46" w:rsidTr="00272392">
        <w:trPr>
          <w:cantSplit/>
          <w:trHeight w:val="300"/>
          <w:tblHeader/>
          <w:jc w:val="center"/>
        </w:trPr>
        <w:tc>
          <w:tcPr>
            <w:tcW w:w="1727" w:type="dxa"/>
            <w:tcBorders>
              <w:top w:val="nil"/>
              <w:left w:val="single" w:sz="4" w:space="0" w:color="auto"/>
              <w:bottom w:val="single" w:sz="4" w:space="0" w:color="auto"/>
              <w:right w:val="single" w:sz="4" w:space="0" w:color="auto"/>
            </w:tcBorders>
            <w:shd w:val="clear" w:color="auto" w:fill="auto"/>
            <w:noWrap/>
            <w:vAlign w:val="bottom"/>
            <w:hideMark/>
          </w:tcPr>
          <w:p w:rsidR="00272392" w:rsidRPr="00720D46" w:rsidRDefault="00272392" w:rsidP="001E0F80">
            <w:pPr>
              <w:spacing w:after="0" w:line="240" w:lineRule="auto"/>
              <w:rPr>
                <w:rFonts w:eastAsia="Times New Roman"/>
                <w:b/>
                <w:color w:val="000000"/>
                <w:lang w:eastAsia="en-GB"/>
              </w:rPr>
            </w:pPr>
            <w:r w:rsidRPr="00720D46">
              <w:rPr>
                <w:rFonts w:eastAsia="Times New Roman"/>
                <w:b/>
                <w:color w:val="000000"/>
                <w:lang w:eastAsia="en-GB"/>
              </w:rPr>
              <w:t>Total</w:t>
            </w:r>
          </w:p>
        </w:tc>
        <w:tc>
          <w:tcPr>
            <w:tcW w:w="1843"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8873</w:t>
            </w:r>
          </w:p>
        </w:tc>
        <w:tc>
          <w:tcPr>
            <w:tcW w:w="1701"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100.0%</w:t>
            </w:r>
          </w:p>
        </w:tc>
        <w:tc>
          <w:tcPr>
            <w:tcW w:w="1842"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14</w:t>
            </w:r>
          </w:p>
        </w:tc>
        <w:tc>
          <w:tcPr>
            <w:tcW w:w="1418"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100.0%</w:t>
            </w:r>
          </w:p>
        </w:tc>
        <w:tc>
          <w:tcPr>
            <w:tcW w:w="1975" w:type="dxa"/>
            <w:tcBorders>
              <w:top w:val="nil"/>
              <w:left w:val="nil"/>
              <w:bottom w:val="single" w:sz="4" w:space="0" w:color="auto"/>
              <w:right w:val="single" w:sz="4" w:space="0" w:color="auto"/>
            </w:tcBorders>
            <w:shd w:val="clear" w:color="000000" w:fill="DCE6F1"/>
            <w:noWrap/>
            <w:vAlign w:val="bottom"/>
            <w:hideMark/>
          </w:tcPr>
          <w:p w:rsidR="00272392" w:rsidRPr="00720D46" w:rsidRDefault="00272392" w:rsidP="001E0F80">
            <w:pPr>
              <w:spacing w:after="0" w:line="240" w:lineRule="auto"/>
              <w:jc w:val="center"/>
              <w:rPr>
                <w:rFonts w:eastAsia="Times New Roman"/>
                <w:b/>
                <w:bCs/>
                <w:color w:val="000000"/>
                <w:lang w:eastAsia="en-GB"/>
              </w:rPr>
            </w:pPr>
            <w:r w:rsidRPr="00720D46">
              <w:rPr>
                <w:rFonts w:eastAsia="Times New Roman"/>
                <w:b/>
                <w:bCs/>
                <w:color w:val="000000"/>
                <w:lang w:eastAsia="en-GB"/>
              </w:rPr>
              <w:t> </w:t>
            </w:r>
          </w:p>
        </w:tc>
      </w:tr>
    </w:tbl>
    <w:p w:rsidR="00272392" w:rsidRDefault="00272392" w:rsidP="00272392">
      <w:pPr>
        <w:rPr>
          <w:b/>
          <w:color w:val="0072C6"/>
        </w:rPr>
      </w:pPr>
    </w:p>
    <w:p w:rsidR="00272392" w:rsidRPr="00FB218B" w:rsidRDefault="00272392" w:rsidP="00272392">
      <w:pPr>
        <w:pStyle w:val="Heading3"/>
      </w:pPr>
      <w:bookmarkStart w:id="48" w:name="_Toc79152379"/>
      <w:bookmarkStart w:id="49" w:name="_GoBack"/>
      <w:bookmarkEnd w:id="49"/>
      <w:r>
        <w:t>Western Sussex NHS Foundation Trust:</w:t>
      </w:r>
      <w:bookmarkEnd w:id="48"/>
      <w:r>
        <w:br/>
      </w:r>
    </w:p>
    <w:tbl>
      <w:tblPr>
        <w:tblW w:w="10365" w:type="dxa"/>
        <w:jc w:val="center"/>
        <w:tblLook w:val="04A0" w:firstRow="1" w:lastRow="0" w:firstColumn="1" w:lastColumn="0" w:noHBand="0" w:noVBand="1"/>
        <w:tblCaption w:val="Breakdown of workforce and the board by ethnicity"/>
      </w:tblPr>
      <w:tblGrid>
        <w:gridCol w:w="1586"/>
        <w:gridCol w:w="1843"/>
        <w:gridCol w:w="1701"/>
        <w:gridCol w:w="1842"/>
        <w:gridCol w:w="1418"/>
        <w:gridCol w:w="1975"/>
      </w:tblGrid>
      <w:tr w:rsidR="00272392" w:rsidRPr="00720D46" w:rsidTr="00272392">
        <w:trPr>
          <w:cantSplit/>
          <w:trHeight w:val="315"/>
          <w:tblHeader/>
          <w:jc w:val="center"/>
        </w:trPr>
        <w:tc>
          <w:tcPr>
            <w:tcW w:w="1586" w:type="dxa"/>
            <w:tcBorders>
              <w:top w:val="single" w:sz="4" w:space="0" w:color="auto"/>
              <w:left w:val="single" w:sz="4" w:space="0" w:color="auto"/>
              <w:bottom w:val="single" w:sz="4" w:space="0" w:color="auto"/>
              <w:right w:val="nil"/>
            </w:tcBorders>
            <w:shd w:val="clear" w:color="auto" w:fill="auto"/>
            <w:noWrap/>
            <w:vAlign w:val="center"/>
            <w:hideMark/>
          </w:tcPr>
          <w:p w:rsidR="00272392" w:rsidRPr="00720D46" w:rsidRDefault="00272392" w:rsidP="001E0F80">
            <w:pPr>
              <w:spacing w:after="0" w:line="240" w:lineRule="auto"/>
              <w:jc w:val="center"/>
              <w:rPr>
                <w:rFonts w:eastAsia="Times New Roman"/>
                <w:b/>
                <w:bCs/>
                <w:color w:val="000000"/>
                <w:szCs w:val="24"/>
                <w:lang w:eastAsia="en-GB"/>
              </w:rPr>
            </w:pPr>
            <w:r>
              <w:rPr>
                <w:rFonts w:eastAsia="Times New Roman"/>
                <w:b/>
                <w:bCs/>
                <w:color w:val="000000"/>
                <w:szCs w:val="24"/>
                <w:lang w:eastAsia="en-GB"/>
              </w:rPr>
              <w:t>Staff Ethnicity</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392" w:rsidRPr="00720D46" w:rsidRDefault="00272392" w:rsidP="001E0F80">
            <w:pPr>
              <w:spacing w:after="0" w:line="240" w:lineRule="auto"/>
              <w:jc w:val="center"/>
              <w:rPr>
                <w:rFonts w:eastAsia="Times New Roman"/>
                <w:b/>
                <w:color w:val="000000"/>
                <w:lang w:eastAsia="en-GB"/>
              </w:rPr>
            </w:pPr>
            <w:r w:rsidRPr="00720D46">
              <w:rPr>
                <w:rFonts w:eastAsia="Times New Roman"/>
                <w:b/>
                <w:color w:val="000000"/>
                <w:lang w:eastAsia="en-GB"/>
              </w:rPr>
              <w:t>Number in workforce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72392" w:rsidRPr="00720D46" w:rsidRDefault="00272392" w:rsidP="001E0F80">
            <w:pPr>
              <w:spacing w:after="0" w:line="240" w:lineRule="auto"/>
              <w:jc w:val="center"/>
              <w:rPr>
                <w:rFonts w:eastAsia="Times New Roman"/>
                <w:b/>
                <w:color w:val="000000"/>
                <w:lang w:eastAsia="en-GB"/>
              </w:rPr>
            </w:pPr>
            <w:r w:rsidRPr="00720D46">
              <w:rPr>
                <w:rFonts w:eastAsia="Times New Roman"/>
                <w:b/>
                <w:color w:val="000000"/>
                <w:lang w:eastAsia="en-GB"/>
              </w:rPr>
              <w:t>% in workforce</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272392" w:rsidRPr="00720D46" w:rsidRDefault="00272392" w:rsidP="001E0F80">
            <w:pPr>
              <w:spacing w:after="0" w:line="240" w:lineRule="auto"/>
              <w:jc w:val="center"/>
              <w:rPr>
                <w:rFonts w:eastAsia="Times New Roman"/>
                <w:b/>
                <w:color w:val="000000"/>
                <w:lang w:eastAsia="en-GB"/>
              </w:rPr>
            </w:pPr>
            <w:r w:rsidRPr="00720D46">
              <w:rPr>
                <w:rFonts w:eastAsia="Times New Roman"/>
                <w:b/>
                <w:color w:val="000000"/>
                <w:lang w:eastAsia="en-GB"/>
              </w:rPr>
              <w:t>Number on board</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72392" w:rsidRPr="00720D46" w:rsidRDefault="00272392" w:rsidP="001E0F80">
            <w:pPr>
              <w:spacing w:after="0" w:line="240" w:lineRule="auto"/>
              <w:jc w:val="center"/>
              <w:rPr>
                <w:rFonts w:eastAsia="Times New Roman"/>
                <w:b/>
                <w:color w:val="000000"/>
                <w:lang w:eastAsia="en-GB"/>
              </w:rPr>
            </w:pPr>
            <w:r w:rsidRPr="00720D46">
              <w:rPr>
                <w:rFonts w:eastAsia="Times New Roman"/>
                <w:b/>
                <w:color w:val="000000"/>
                <w:lang w:eastAsia="en-GB"/>
              </w:rPr>
              <w:t>% of board</w:t>
            </w:r>
          </w:p>
        </w:tc>
        <w:tc>
          <w:tcPr>
            <w:tcW w:w="1975" w:type="dxa"/>
            <w:tcBorders>
              <w:top w:val="single" w:sz="4" w:space="0" w:color="auto"/>
              <w:left w:val="nil"/>
              <w:bottom w:val="single" w:sz="4" w:space="0" w:color="auto"/>
              <w:right w:val="single" w:sz="4" w:space="0" w:color="auto"/>
            </w:tcBorders>
            <w:shd w:val="clear" w:color="auto" w:fill="4F81BD" w:themeFill="accent1"/>
            <w:noWrap/>
            <w:vAlign w:val="center"/>
            <w:hideMark/>
          </w:tcPr>
          <w:p w:rsidR="00272392" w:rsidRPr="00720D46" w:rsidRDefault="00272392" w:rsidP="001E0F80">
            <w:pPr>
              <w:spacing w:after="0" w:line="240" w:lineRule="auto"/>
              <w:jc w:val="center"/>
              <w:rPr>
                <w:rFonts w:eastAsia="Times New Roman"/>
                <w:b/>
                <w:bCs/>
                <w:color w:val="000000"/>
                <w:lang w:eastAsia="en-GB"/>
              </w:rPr>
            </w:pPr>
            <w:r w:rsidRPr="00720D46">
              <w:rPr>
                <w:rFonts w:eastAsia="Times New Roman"/>
                <w:b/>
                <w:bCs/>
                <w:color w:val="FFFFFF" w:themeColor="background1"/>
                <w:lang w:eastAsia="en-GB"/>
              </w:rPr>
              <w:t>% Difference</w:t>
            </w:r>
          </w:p>
        </w:tc>
      </w:tr>
      <w:tr w:rsidR="00272392" w:rsidRPr="00720D46" w:rsidTr="00272392">
        <w:trPr>
          <w:cantSplit/>
          <w:trHeight w:val="300"/>
          <w:tblHeader/>
          <w:jc w:val="center"/>
        </w:trPr>
        <w:tc>
          <w:tcPr>
            <w:tcW w:w="15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rPr>
                <w:rFonts w:eastAsia="Times New Roman"/>
                <w:b/>
                <w:color w:val="000000"/>
                <w:lang w:eastAsia="en-GB"/>
              </w:rPr>
            </w:pPr>
            <w:r w:rsidRPr="00720D46">
              <w:rPr>
                <w:rFonts w:eastAsia="Times New Roman"/>
                <w:b/>
                <w:color w:val="000000"/>
                <w:lang w:eastAsia="en-GB"/>
              </w:rPr>
              <w:t>White Staff</w:t>
            </w:r>
          </w:p>
        </w:tc>
        <w:tc>
          <w:tcPr>
            <w:tcW w:w="1843"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5763</w:t>
            </w:r>
          </w:p>
        </w:tc>
        <w:tc>
          <w:tcPr>
            <w:tcW w:w="1701"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76.6%</w:t>
            </w:r>
          </w:p>
        </w:tc>
        <w:tc>
          <w:tcPr>
            <w:tcW w:w="1842"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11</w:t>
            </w:r>
          </w:p>
        </w:tc>
        <w:tc>
          <w:tcPr>
            <w:tcW w:w="1418"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78.6%</w:t>
            </w:r>
          </w:p>
        </w:tc>
        <w:tc>
          <w:tcPr>
            <w:tcW w:w="1975" w:type="dxa"/>
            <w:tcBorders>
              <w:top w:val="nil"/>
              <w:left w:val="nil"/>
              <w:bottom w:val="single" w:sz="4" w:space="0" w:color="auto"/>
              <w:right w:val="single" w:sz="4" w:space="0" w:color="auto"/>
            </w:tcBorders>
            <w:shd w:val="clear" w:color="auto" w:fill="auto"/>
            <w:noWrap/>
            <w:vAlign w:val="bottom"/>
          </w:tcPr>
          <w:p w:rsidR="00272392" w:rsidRPr="005F4039" w:rsidRDefault="00272392" w:rsidP="001E0F80">
            <w:pPr>
              <w:spacing w:after="0" w:line="240" w:lineRule="auto"/>
              <w:jc w:val="center"/>
              <w:rPr>
                <w:rFonts w:eastAsia="Times New Roman"/>
                <w:b/>
                <w:bCs/>
                <w:color w:val="FF0000"/>
                <w:lang w:eastAsia="en-GB"/>
              </w:rPr>
            </w:pPr>
            <w:r>
              <w:rPr>
                <w:rFonts w:eastAsia="Times New Roman"/>
                <w:b/>
                <w:bCs/>
                <w:color w:val="FF0000"/>
                <w:lang w:eastAsia="en-GB"/>
              </w:rPr>
              <w:t>-2.0%</w:t>
            </w:r>
          </w:p>
        </w:tc>
      </w:tr>
      <w:tr w:rsidR="00272392" w:rsidRPr="00720D46" w:rsidTr="00272392">
        <w:trPr>
          <w:cantSplit/>
          <w:trHeight w:val="300"/>
          <w:tblHeader/>
          <w:jc w:val="center"/>
        </w:trPr>
        <w:tc>
          <w:tcPr>
            <w:tcW w:w="1586" w:type="dxa"/>
            <w:tcBorders>
              <w:top w:val="nil"/>
              <w:left w:val="single" w:sz="4" w:space="0" w:color="auto"/>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rPr>
                <w:rFonts w:eastAsia="Times New Roman"/>
                <w:b/>
                <w:color w:val="000000"/>
                <w:lang w:eastAsia="en-GB"/>
              </w:rPr>
            </w:pPr>
            <w:r w:rsidRPr="00720D46">
              <w:rPr>
                <w:rFonts w:eastAsia="Times New Roman"/>
                <w:b/>
                <w:color w:val="000000"/>
                <w:lang w:eastAsia="en-GB"/>
              </w:rPr>
              <w:t>BME Staff</w:t>
            </w:r>
          </w:p>
        </w:tc>
        <w:tc>
          <w:tcPr>
            <w:tcW w:w="1843"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1359</w:t>
            </w:r>
          </w:p>
        </w:tc>
        <w:tc>
          <w:tcPr>
            <w:tcW w:w="1701"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18.1%</w:t>
            </w:r>
          </w:p>
        </w:tc>
        <w:tc>
          <w:tcPr>
            <w:tcW w:w="1842"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1</w:t>
            </w:r>
          </w:p>
        </w:tc>
        <w:tc>
          <w:tcPr>
            <w:tcW w:w="1418"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7.1%</w:t>
            </w:r>
          </w:p>
        </w:tc>
        <w:tc>
          <w:tcPr>
            <w:tcW w:w="1975" w:type="dxa"/>
            <w:tcBorders>
              <w:top w:val="nil"/>
              <w:left w:val="nil"/>
              <w:bottom w:val="single" w:sz="4" w:space="0" w:color="auto"/>
              <w:right w:val="single" w:sz="4" w:space="0" w:color="auto"/>
            </w:tcBorders>
            <w:shd w:val="clear" w:color="auto" w:fill="auto"/>
            <w:noWrap/>
            <w:vAlign w:val="bottom"/>
          </w:tcPr>
          <w:p w:rsidR="00272392" w:rsidRPr="00720F70" w:rsidRDefault="00272392" w:rsidP="001E0F80">
            <w:pPr>
              <w:spacing w:after="0" w:line="240" w:lineRule="auto"/>
              <w:jc w:val="center"/>
              <w:rPr>
                <w:rFonts w:eastAsia="Times New Roman"/>
                <w:b/>
                <w:bCs/>
                <w:color w:val="FF0000"/>
                <w:lang w:eastAsia="en-GB"/>
              </w:rPr>
            </w:pPr>
            <w:r>
              <w:rPr>
                <w:rFonts w:eastAsia="Times New Roman"/>
                <w:b/>
                <w:bCs/>
                <w:color w:val="FF0000"/>
                <w:lang w:eastAsia="en-GB"/>
              </w:rPr>
              <w:t>-11.0%</w:t>
            </w:r>
          </w:p>
        </w:tc>
      </w:tr>
      <w:tr w:rsidR="00272392" w:rsidRPr="00720D46" w:rsidTr="00272392">
        <w:trPr>
          <w:cantSplit/>
          <w:trHeight w:val="300"/>
          <w:tblHeader/>
          <w:jc w:val="center"/>
        </w:trPr>
        <w:tc>
          <w:tcPr>
            <w:tcW w:w="1586" w:type="dxa"/>
            <w:tcBorders>
              <w:top w:val="nil"/>
              <w:left w:val="single" w:sz="4" w:space="0" w:color="auto"/>
              <w:bottom w:val="single" w:sz="4" w:space="0" w:color="auto"/>
              <w:right w:val="single" w:sz="4" w:space="0" w:color="auto"/>
            </w:tcBorders>
            <w:shd w:val="clear" w:color="auto" w:fill="auto"/>
            <w:noWrap/>
            <w:vAlign w:val="bottom"/>
            <w:hideMark/>
          </w:tcPr>
          <w:p w:rsidR="00272392" w:rsidRPr="00720D46" w:rsidRDefault="00272392" w:rsidP="001E0F80">
            <w:pPr>
              <w:spacing w:after="0" w:line="240" w:lineRule="auto"/>
              <w:rPr>
                <w:rFonts w:eastAsia="Times New Roman"/>
                <w:b/>
                <w:color w:val="000000"/>
                <w:lang w:eastAsia="en-GB"/>
              </w:rPr>
            </w:pPr>
            <w:r w:rsidRPr="00720D46">
              <w:rPr>
                <w:rFonts w:eastAsia="Times New Roman"/>
                <w:b/>
                <w:color w:val="000000"/>
                <w:lang w:eastAsia="en-GB"/>
              </w:rPr>
              <w:t xml:space="preserve">Unknown </w:t>
            </w:r>
          </w:p>
        </w:tc>
        <w:tc>
          <w:tcPr>
            <w:tcW w:w="1843"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397</w:t>
            </w:r>
          </w:p>
        </w:tc>
        <w:tc>
          <w:tcPr>
            <w:tcW w:w="1701"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5.3%</w:t>
            </w:r>
          </w:p>
        </w:tc>
        <w:tc>
          <w:tcPr>
            <w:tcW w:w="1842"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2</w:t>
            </w:r>
          </w:p>
        </w:tc>
        <w:tc>
          <w:tcPr>
            <w:tcW w:w="1418"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14.3%</w:t>
            </w:r>
          </w:p>
        </w:tc>
        <w:tc>
          <w:tcPr>
            <w:tcW w:w="1975"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b/>
                <w:bCs/>
                <w:color w:val="FF0000"/>
                <w:lang w:eastAsia="en-GB"/>
              </w:rPr>
            </w:pPr>
            <w:r w:rsidRPr="00E60020">
              <w:rPr>
                <w:rFonts w:eastAsia="Times New Roman"/>
                <w:b/>
                <w:bCs/>
                <w:color w:val="00B050"/>
                <w:lang w:eastAsia="en-GB"/>
              </w:rPr>
              <w:t>+</w:t>
            </w:r>
            <w:r>
              <w:rPr>
                <w:rFonts w:eastAsia="Times New Roman"/>
                <w:b/>
                <w:bCs/>
                <w:color w:val="00B050"/>
                <w:lang w:eastAsia="en-GB"/>
              </w:rPr>
              <w:t>9.0%</w:t>
            </w:r>
          </w:p>
        </w:tc>
      </w:tr>
      <w:tr w:rsidR="00272392" w:rsidRPr="00720D46" w:rsidTr="00272392">
        <w:trPr>
          <w:cantSplit/>
          <w:trHeight w:val="300"/>
          <w:tblHeader/>
          <w:jc w:val="center"/>
        </w:trPr>
        <w:tc>
          <w:tcPr>
            <w:tcW w:w="1586" w:type="dxa"/>
            <w:tcBorders>
              <w:top w:val="nil"/>
              <w:left w:val="single" w:sz="4" w:space="0" w:color="auto"/>
              <w:bottom w:val="single" w:sz="4" w:space="0" w:color="auto"/>
              <w:right w:val="single" w:sz="4" w:space="0" w:color="auto"/>
            </w:tcBorders>
            <w:shd w:val="clear" w:color="auto" w:fill="auto"/>
            <w:noWrap/>
            <w:vAlign w:val="bottom"/>
            <w:hideMark/>
          </w:tcPr>
          <w:p w:rsidR="00272392" w:rsidRPr="00720D46" w:rsidRDefault="00272392" w:rsidP="001E0F80">
            <w:pPr>
              <w:spacing w:after="0" w:line="240" w:lineRule="auto"/>
              <w:rPr>
                <w:rFonts w:eastAsia="Times New Roman"/>
                <w:b/>
                <w:color w:val="000000"/>
                <w:lang w:eastAsia="en-GB"/>
              </w:rPr>
            </w:pPr>
            <w:r w:rsidRPr="00720D46">
              <w:rPr>
                <w:rFonts w:eastAsia="Times New Roman"/>
                <w:b/>
                <w:color w:val="000000"/>
                <w:lang w:eastAsia="en-GB"/>
              </w:rPr>
              <w:t>Total</w:t>
            </w:r>
          </w:p>
        </w:tc>
        <w:tc>
          <w:tcPr>
            <w:tcW w:w="1843"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7519</w:t>
            </w:r>
          </w:p>
        </w:tc>
        <w:tc>
          <w:tcPr>
            <w:tcW w:w="1701"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100.0</w:t>
            </w:r>
          </w:p>
        </w:tc>
        <w:tc>
          <w:tcPr>
            <w:tcW w:w="1842"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14</w:t>
            </w:r>
          </w:p>
        </w:tc>
        <w:tc>
          <w:tcPr>
            <w:tcW w:w="1418" w:type="dxa"/>
            <w:tcBorders>
              <w:top w:val="nil"/>
              <w:left w:val="nil"/>
              <w:bottom w:val="single" w:sz="4" w:space="0" w:color="auto"/>
              <w:right w:val="single" w:sz="4" w:space="0" w:color="auto"/>
            </w:tcBorders>
            <w:shd w:val="clear" w:color="auto" w:fill="auto"/>
            <w:noWrap/>
            <w:vAlign w:val="bottom"/>
          </w:tcPr>
          <w:p w:rsidR="00272392" w:rsidRPr="00720D46" w:rsidRDefault="00272392" w:rsidP="001E0F80">
            <w:pPr>
              <w:spacing w:after="0" w:line="240" w:lineRule="auto"/>
              <w:jc w:val="center"/>
              <w:rPr>
                <w:rFonts w:eastAsia="Times New Roman"/>
                <w:color w:val="000000"/>
                <w:lang w:eastAsia="en-GB"/>
              </w:rPr>
            </w:pPr>
            <w:r>
              <w:rPr>
                <w:rFonts w:eastAsia="Times New Roman"/>
                <w:color w:val="000000"/>
                <w:lang w:eastAsia="en-GB"/>
              </w:rPr>
              <w:t>100.0%</w:t>
            </w:r>
          </w:p>
        </w:tc>
        <w:tc>
          <w:tcPr>
            <w:tcW w:w="1975" w:type="dxa"/>
            <w:tcBorders>
              <w:top w:val="nil"/>
              <w:left w:val="nil"/>
              <w:bottom w:val="single" w:sz="4" w:space="0" w:color="auto"/>
              <w:right w:val="single" w:sz="4" w:space="0" w:color="auto"/>
            </w:tcBorders>
            <w:shd w:val="clear" w:color="000000" w:fill="DCE6F1"/>
            <w:noWrap/>
            <w:vAlign w:val="bottom"/>
            <w:hideMark/>
          </w:tcPr>
          <w:p w:rsidR="00272392" w:rsidRPr="00720D46" w:rsidRDefault="00272392" w:rsidP="001E0F80">
            <w:pPr>
              <w:spacing w:after="0" w:line="240" w:lineRule="auto"/>
              <w:jc w:val="center"/>
              <w:rPr>
                <w:rFonts w:eastAsia="Times New Roman"/>
                <w:b/>
                <w:bCs/>
                <w:color w:val="000000"/>
                <w:lang w:eastAsia="en-GB"/>
              </w:rPr>
            </w:pPr>
            <w:r w:rsidRPr="00720D46">
              <w:rPr>
                <w:rFonts w:eastAsia="Times New Roman"/>
                <w:b/>
                <w:bCs/>
                <w:color w:val="000000"/>
                <w:lang w:eastAsia="en-GB"/>
              </w:rPr>
              <w:t> </w:t>
            </w:r>
          </w:p>
        </w:tc>
      </w:tr>
      <w:bookmarkEnd w:id="45"/>
      <w:bookmarkEnd w:id="41"/>
    </w:tbl>
    <w:p w:rsidR="0079147F" w:rsidRPr="009F5C37" w:rsidRDefault="0079147F" w:rsidP="0079147F"/>
    <w:bookmarkEnd w:id="29"/>
    <w:bookmarkEnd w:id="25"/>
    <w:sectPr w:rsidR="0079147F" w:rsidRPr="009F5C37" w:rsidSect="00652DE2">
      <w:footerReference w:type="first" r:id="rId3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DE2" w:rsidRDefault="00652DE2" w:rsidP="00652DE2">
      <w:r>
        <w:separator/>
      </w:r>
    </w:p>
  </w:endnote>
  <w:endnote w:type="continuationSeparator" w:id="0">
    <w:p w:rsidR="00652DE2" w:rsidRDefault="00652DE2" w:rsidP="0065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543743"/>
      <w:docPartObj>
        <w:docPartGallery w:val="Page Numbers (Bottom of Page)"/>
        <w:docPartUnique/>
      </w:docPartObj>
    </w:sdtPr>
    <w:sdtEndPr>
      <w:rPr>
        <w:noProof/>
      </w:rPr>
    </w:sdtEndPr>
    <w:sdtContent>
      <w:p w:rsidR="00652DE2" w:rsidRPr="009E4C69" w:rsidRDefault="00652DE2" w:rsidP="00652DE2">
        <w:pPr>
          <w:pStyle w:val="Footer"/>
        </w:pPr>
        <w:r w:rsidRPr="009E4C69">
          <w:fldChar w:fldCharType="begin"/>
        </w:r>
        <w:r w:rsidRPr="009E4C69">
          <w:instrText xml:space="preserve"> PAGE   \* MERGEFORMAT </w:instrText>
        </w:r>
        <w:r w:rsidRPr="009E4C69">
          <w:fldChar w:fldCharType="separate"/>
        </w:r>
        <w:r w:rsidR="00C70070">
          <w:rPr>
            <w:noProof/>
          </w:rPr>
          <w:t>2</w:t>
        </w:r>
        <w:r w:rsidRPr="009E4C69">
          <w:rPr>
            <w:noProof/>
          </w:rPr>
          <w:fldChar w:fldCharType="end"/>
        </w:r>
      </w:p>
    </w:sdtContent>
  </w:sdt>
  <w:p w:rsidR="00652DE2" w:rsidRDefault="00652DE2" w:rsidP="00652D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DE2" w:rsidRDefault="00652DE2" w:rsidP="00652DE2">
    <w:pPr>
      <w:pStyle w:val="Footer"/>
    </w:pPr>
  </w:p>
  <w:p w:rsidR="00652DE2" w:rsidRDefault="00652DE2" w:rsidP="00652D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DE2" w:rsidRDefault="00652DE2" w:rsidP="00652DE2">
    <w:pPr>
      <w:pStyle w:val="Footer"/>
    </w:pPr>
  </w:p>
  <w:p w:rsidR="00652DE2" w:rsidRDefault="00652DE2" w:rsidP="00652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DE2" w:rsidRDefault="00652DE2" w:rsidP="00652DE2">
      <w:r>
        <w:separator/>
      </w:r>
    </w:p>
  </w:footnote>
  <w:footnote w:type="continuationSeparator" w:id="0">
    <w:p w:rsidR="00652DE2" w:rsidRDefault="00652DE2" w:rsidP="00652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DE2" w:rsidRDefault="00652DE2" w:rsidP="00652DE2">
    <w:pPr>
      <w:pStyle w:val="Header"/>
    </w:pPr>
    <w:r>
      <w:rPr>
        <w:noProof/>
        <w:lang w:eastAsia="en-GB"/>
      </w:rPr>
      <w:drawing>
        <wp:anchor distT="0" distB="0" distL="114300" distR="114300" simplePos="0" relativeHeight="251659264" behindDoc="0" locked="0" layoutInCell="1" allowOverlap="1" wp14:anchorId="79C103A1" wp14:editId="7CB51FB6">
          <wp:simplePos x="0" y="0"/>
          <wp:positionH relativeFrom="column">
            <wp:posOffset>4820232</wp:posOffset>
          </wp:positionH>
          <wp:positionV relativeFrom="paragraph">
            <wp:posOffset>-20955</wp:posOffset>
          </wp:positionV>
          <wp:extent cx="1898964" cy="1129117"/>
          <wp:effectExtent l="0" t="0" r="6350" b="0"/>
          <wp:wrapNone/>
          <wp:docPr id="18" name="Picture 18"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98964" cy="112911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7CF"/>
    <w:multiLevelType w:val="hybridMultilevel"/>
    <w:tmpl w:val="0D18A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F42389"/>
    <w:multiLevelType w:val="hybridMultilevel"/>
    <w:tmpl w:val="DECA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BC30AC"/>
    <w:multiLevelType w:val="hybridMultilevel"/>
    <w:tmpl w:val="94C026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53764E"/>
    <w:multiLevelType w:val="hybridMultilevel"/>
    <w:tmpl w:val="CE3A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C17852"/>
    <w:multiLevelType w:val="hybridMultilevel"/>
    <w:tmpl w:val="12EC3840"/>
    <w:lvl w:ilvl="0" w:tplc="6BBEE958">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656BAE"/>
    <w:multiLevelType w:val="hybridMultilevel"/>
    <w:tmpl w:val="A18AD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B323D3"/>
    <w:multiLevelType w:val="hybridMultilevel"/>
    <w:tmpl w:val="1682B940"/>
    <w:lvl w:ilvl="0" w:tplc="3FAE6D12">
      <w:start w:val="1"/>
      <w:numFmt w:val="bullet"/>
      <w:lvlText w:val="•"/>
      <w:lvlJc w:val="left"/>
      <w:pPr>
        <w:tabs>
          <w:tab w:val="num" w:pos="720"/>
        </w:tabs>
        <w:ind w:left="720" w:hanging="360"/>
      </w:pPr>
      <w:rPr>
        <w:rFonts w:ascii="Arial" w:hAnsi="Arial" w:hint="default"/>
      </w:rPr>
    </w:lvl>
    <w:lvl w:ilvl="1" w:tplc="C24A4DE0" w:tentative="1">
      <w:start w:val="1"/>
      <w:numFmt w:val="bullet"/>
      <w:lvlText w:val="•"/>
      <w:lvlJc w:val="left"/>
      <w:pPr>
        <w:tabs>
          <w:tab w:val="num" w:pos="1440"/>
        </w:tabs>
        <w:ind w:left="1440" w:hanging="360"/>
      </w:pPr>
      <w:rPr>
        <w:rFonts w:ascii="Arial" w:hAnsi="Arial" w:hint="default"/>
      </w:rPr>
    </w:lvl>
    <w:lvl w:ilvl="2" w:tplc="E4504BF0">
      <w:start w:val="1"/>
      <w:numFmt w:val="bullet"/>
      <w:lvlText w:val="•"/>
      <w:lvlJc w:val="left"/>
      <w:pPr>
        <w:tabs>
          <w:tab w:val="num" w:pos="2160"/>
        </w:tabs>
        <w:ind w:left="2160" w:hanging="360"/>
      </w:pPr>
      <w:rPr>
        <w:rFonts w:ascii="Arial" w:hAnsi="Arial" w:hint="default"/>
      </w:rPr>
    </w:lvl>
    <w:lvl w:ilvl="3" w:tplc="C67061A2" w:tentative="1">
      <w:start w:val="1"/>
      <w:numFmt w:val="bullet"/>
      <w:lvlText w:val="•"/>
      <w:lvlJc w:val="left"/>
      <w:pPr>
        <w:tabs>
          <w:tab w:val="num" w:pos="2880"/>
        </w:tabs>
        <w:ind w:left="2880" w:hanging="360"/>
      </w:pPr>
      <w:rPr>
        <w:rFonts w:ascii="Arial" w:hAnsi="Arial" w:hint="default"/>
      </w:rPr>
    </w:lvl>
    <w:lvl w:ilvl="4" w:tplc="F18624A2" w:tentative="1">
      <w:start w:val="1"/>
      <w:numFmt w:val="bullet"/>
      <w:lvlText w:val="•"/>
      <w:lvlJc w:val="left"/>
      <w:pPr>
        <w:tabs>
          <w:tab w:val="num" w:pos="3600"/>
        </w:tabs>
        <w:ind w:left="3600" w:hanging="360"/>
      </w:pPr>
      <w:rPr>
        <w:rFonts w:ascii="Arial" w:hAnsi="Arial" w:hint="default"/>
      </w:rPr>
    </w:lvl>
    <w:lvl w:ilvl="5" w:tplc="C13A66D2" w:tentative="1">
      <w:start w:val="1"/>
      <w:numFmt w:val="bullet"/>
      <w:lvlText w:val="•"/>
      <w:lvlJc w:val="left"/>
      <w:pPr>
        <w:tabs>
          <w:tab w:val="num" w:pos="4320"/>
        </w:tabs>
        <w:ind w:left="4320" w:hanging="360"/>
      </w:pPr>
      <w:rPr>
        <w:rFonts w:ascii="Arial" w:hAnsi="Arial" w:hint="default"/>
      </w:rPr>
    </w:lvl>
    <w:lvl w:ilvl="6" w:tplc="06B2579A" w:tentative="1">
      <w:start w:val="1"/>
      <w:numFmt w:val="bullet"/>
      <w:lvlText w:val="•"/>
      <w:lvlJc w:val="left"/>
      <w:pPr>
        <w:tabs>
          <w:tab w:val="num" w:pos="5040"/>
        </w:tabs>
        <w:ind w:left="5040" w:hanging="360"/>
      </w:pPr>
      <w:rPr>
        <w:rFonts w:ascii="Arial" w:hAnsi="Arial" w:hint="default"/>
      </w:rPr>
    </w:lvl>
    <w:lvl w:ilvl="7" w:tplc="4AEA56E2" w:tentative="1">
      <w:start w:val="1"/>
      <w:numFmt w:val="bullet"/>
      <w:lvlText w:val="•"/>
      <w:lvlJc w:val="left"/>
      <w:pPr>
        <w:tabs>
          <w:tab w:val="num" w:pos="5760"/>
        </w:tabs>
        <w:ind w:left="5760" w:hanging="360"/>
      </w:pPr>
      <w:rPr>
        <w:rFonts w:ascii="Arial" w:hAnsi="Arial" w:hint="default"/>
      </w:rPr>
    </w:lvl>
    <w:lvl w:ilvl="8" w:tplc="B83EBF1A" w:tentative="1">
      <w:start w:val="1"/>
      <w:numFmt w:val="bullet"/>
      <w:lvlText w:val="•"/>
      <w:lvlJc w:val="left"/>
      <w:pPr>
        <w:tabs>
          <w:tab w:val="num" w:pos="6480"/>
        </w:tabs>
        <w:ind w:left="6480" w:hanging="360"/>
      </w:pPr>
      <w:rPr>
        <w:rFonts w:ascii="Arial" w:hAnsi="Arial" w:hint="default"/>
      </w:rPr>
    </w:lvl>
  </w:abstractNum>
  <w:abstractNum w:abstractNumId="7">
    <w:nsid w:val="16F726EB"/>
    <w:multiLevelType w:val="hybridMultilevel"/>
    <w:tmpl w:val="6EF052B4"/>
    <w:lvl w:ilvl="0" w:tplc="6A6AE246">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7444771"/>
    <w:multiLevelType w:val="hybridMultilevel"/>
    <w:tmpl w:val="EE98E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BF3FC9"/>
    <w:multiLevelType w:val="hybridMultilevel"/>
    <w:tmpl w:val="A26C7B22"/>
    <w:lvl w:ilvl="0" w:tplc="879AAFC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442E1B"/>
    <w:multiLevelType w:val="hybridMultilevel"/>
    <w:tmpl w:val="6102E3A4"/>
    <w:lvl w:ilvl="0" w:tplc="F81875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2B7328"/>
    <w:multiLevelType w:val="hybridMultilevel"/>
    <w:tmpl w:val="43905972"/>
    <w:lvl w:ilvl="0" w:tplc="879AAFC0">
      <w:start w:val="1"/>
      <w:numFmt w:val="bullet"/>
      <w:lvlText w:val=""/>
      <w:lvlJc w:val="left"/>
      <w:pPr>
        <w:ind w:left="360" w:hanging="360"/>
      </w:pPr>
      <w:rPr>
        <w:rFonts w:ascii="Symbol" w:hAnsi="Symbol"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3E41FB2"/>
    <w:multiLevelType w:val="hybridMultilevel"/>
    <w:tmpl w:val="6C0EE0F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3">
    <w:nsid w:val="242B3209"/>
    <w:multiLevelType w:val="hybridMultilevel"/>
    <w:tmpl w:val="FFF29254"/>
    <w:lvl w:ilvl="0" w:tplc="1FE4AE3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49E0BF0"/>
    <w:multiLevelType w:val="hybridMultilevel"/>
    <w:tmpl w:val="6A4657E0"/>
    <w:lvl w:ilvl="0" w:tplc="847AE54C">
      <w:start w:val="1"/>
      <w:numFmt w:val="bullet"/>
      <w:lvlText w:val="•"/>
      <w:lvlJc w:val="left"/>
      <w:pPr>
        <w:tabs>
          <w:tab w:val="num" w:pos="720"/>
        </w:tabs>
        <w:ind w:left="720" w:hanging="360"/>
      </w:pPr>
      <w:rPr>
        <w:rFonts w:ascii="Arial" w:hAnsi="Arial" w:hint="default"/>
      </w:rPr>
    </w:lvl>
    <w:lvl w:ilvl="1" w:tplc="50BC93FA" w:tentative="1">
      <w:start w:val="1"/>
      <w:numFmt w:val="bullet"/>
      <w:lvlText w:val="•"/>
      <w:lvlJc w:val="left"/>
      <w:pPr>
        <w:tabs>
          <w:tab w:val="num" w:pos="1440"/>
        </w:tabs>
        <w:ind w:left="1440" w:hanging="360"/>
      </w:pPr>
      <w:rPr>
        <w:rFonts w:ascii="Arial" w:hAnsi="Arial" w:hint="default"/>
      </w:rPr>
    </w:lvl>
    <w:lvl w:ilvl="2" w:tplc="7FF0B83E" w:tentative="1">
      <w:start w:val="1"/>
      <w:numFmt w:val="bullet"/>
      <w:lvlText w:val="•"/>
      <w:lvlJc w:val="left"/>
      <w:pPr>
        <w:tabs>
          <w:tab w:val="num" w:pos="2160"/>
        </w:tabs>
        <w:ind w:left="2160" w:hanging="360"/>
      </w:pPr>
      <w:rPr>
        <w:rFonts w:ascii="Arial" w:hAnsi="Arial" w:hint="default"/>
      </w:rPr>
    </w:lvl>
    <w:lvl w:ilvl="3" w:tplc="9514C278" w:tentative="1">
      <w:start w:val="1"/>
      <w:numFmt w:val="bullet"/>
      <w:lvlText w:val="•"/>
      <w:lvlJc w:val="left"/>
      <w:pPr>
        <w:tabs>
          <w:tab w:val="num" w:pos="2880"/>
        </w:tabs>
        <w:ind w:left="2880" w:hanging="360"/>
      </w:pPr>
      <w:rPr>
        <w:rFonts w:ascii="Arial" w:hAnsi="Arial" w:hint="default"/>
      </w:rPr>
    </w:lvl>
    <w:lvl w:ilvl="4" w:tplc="0FC0A986" w:tentative="1">
      <w:start w:val="1"/>
      <w:numFmt w:val="bullet"/>
      <w:lvlText w:val="•"/>
      <w:lvlJc w:val="left"/>
      <w:pPr>
        <w:tabs>
          <w:tab w:val="num" w:pos="3600"/>
        </w:tabs>
        <w:ind w:left="3600" w:hanging="360"/>
      </w:pPr>
      <w:rPr>
        <w:rFonts w:ascii="Arial" w:hAnsi="Arial" w:hint="default"/>
      </w:rPr>
    </w:lvl>
    <w:lvl w:ilvl="5" w:tplc="03DC57F2" w:tentative="1">
      <w:start w:val="1"/>
      <w:numFmt w:val="bullet"/>
      <w:lvlText w:val="•"/>
      <w:lvlJc w:val="left"/>
      <w:pPr>
        <w:tabs>
          <w:tab w:val="num" w:pos="4320"/>
        </w:tabs>
        <w:ind w:left="4320" w:hanging="360"/>
      </w:pPr>
      <w:rPr>
        <w:rFonts w:ascii="Arial" w:hAnsi="Arial" w:hint="default"/>
      </w:rPr>
    </w:lvl>
    <w:lvl w:ilvl="6" w:tplc="33BE8784" w:tentative="1">
      <w:start w:val="1"/>
      <w:numFmt w:val="bullet"/>
      <w:lvlText w:val="•"/>
      <w:lvlJc w:val="left"/>
      <w:pPr>
        <w:tabs>
          <w:tab w:val="num" w:pos="5040"/>
        </w:tabs>
        <w:ind w:left="5040" w:hanging="360"/>
      </w:pPr>
      <w:rPr>
        <w:rFonts w:ascii="Arial" w:hAnsi="Arial" w:hint="default"/>
      </w:rPr>
    </w:lvl>
    <w:lvl w:ilvl="7" w:tplc="3B78E862" w:tentative="1">
      <w:start w:val="1"/>
      <w:numFmt w:val="bullet"/>
      <w:lvlText w:val="•"/>
      <w:lvlJc w:val="left"/>
      <w:pPr>
        <w:tabs>
          <w:tab w:val="num" w:pos="5760"/>
        </w:tabs>
        <w:ind w:left="5760" w:hanging="360"/>
      </w:pPr>
      <w:rPr>
        <w:rFonts w:ascii="Arial" w:hAnsi="Arial" w:hint="default"/>
      </w:rPr>
    </w:lvl>
    <w:lvl w:ilvl="8" w:tplc="861A3DDC" w:tentative="1">
      <w:start w:val="1"/>
      <w:numFmt w:val="bullet"/>
      <w:lvlText w:val="•"/>
      <w:lvlJc w:val="left"/>
      <w:pPr>
        <w:tabs>
          <w:tab w:val="num" w:pos="6480"/>
        </w:tabs>
        <w:ind w:left="6480" w:hanging="360"/>
      </w:pPr>
      <w:rPr>
        <w:rFonts w:ascii="Arial" w:hAnsi="Arial" w:hint="default"/>
      </w:rPr>
    </w:lvl>
  </w:abstractNum>
  <w:abstractNum w:abstractNumId="15">
    <w:nsid w:val="28323A7E"/>
    <w:multiLevelType w:val="hybridMultilevel"/>
    <w:tmpl w:val="5D0CE864"/>
    <w:lvl w:ilvl="0" w:tplc="FF60B984">
      <w:start w:val="1"/>
      <w:numFmt w:val="bullet"/>
      <w:pStyle w:val="ListParagraph"/>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D92150"/>
    <w:multiLevelType w:val="hybridMultilevel"/>
    <w:tmpl w:val="4844CBDC"/>
    <w:lvl w:ilvl="0" w:tplc="879AAFC0">
      <w:start w:val="1"/>
      <w:numFmt w:val="bullet"/>
      <w:lvlText w:val=""/>
      <w:lvlJc w:val="left"/>
      <w:pPr>
        <w:ind w:left="360" w:hanging="360"/>
      </w:pPr>
      <w:rPr>
        <w:rFonts w:ascii="Symbol" w:hAnsi="Symbol"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0E800A1"/>
    <w:multiLevelType w:val="hybridMultilevel"/>
    <w:tmpl w:val="9418BF32"/>
    <w:lvl w:ilvl="0" w:tplc="879AAFC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EF3686"/>
    <w:multiLevelType w:val="hybridMultilevel"/>
    <w:tmpl w:val="F9E2D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ED3EC7"/>
    <w:multiLevelType w:val="multilevel"/>
    <w:tmpl w:val="27F2F2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15D4813"/>
    <w:multiLevelType w:val="hybridMultilevel"/>
    <w:tmpl w:val="9796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F47BF7"/>
    <w:multiLevelType w:val="multilevel"/>
    <w:tmpl w:val="6722F8BA"/>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43E3DCA"/>
    <w:multiLevelType w:val="hybridMultilevel"/>
    <w:tmpl w:val="7C34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A3478AD"/>
    <w:multiLevelType w:val="hybridMultilevel"/>
    <w:tmpl w:val="8C120C78"/>
    <w:lvl w:ilvl="0" w:tplc="A710AFB8">
      <w:start w:val="1"/>
      <w:numFmt w:val="bullet"/>
      <w:lvlText w:val=""/>
      <w:lvlJc w:val="left"/>
      <w:pPr>
        <w:ind w:left="720" w:hanging="360"/>
      </w:pPr>
      <w:rPr>
        <w:rFonts w:ascii="Symbol" w:hAnsi="Symbol" w:hint="default"/>
        <w:color w:val="00B05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BE43E22"/>
    <w:multiLevelType w:val="hybridMultilevel"/>
    <w:tmpl w:val="B5CA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BE0EB5"/>
    <w:multiLevelType w:val="hybridMultilevel"/>
    <w:tmpl w:val="BC50F276"/>
    <w:lvl w:ilvl="0" w:tplc="473295D8">
      <w:start w:val="1"/>
      <w:numFmt w:val="bullet"/>
      <w:lvlText w:val="•"/>
      <w:lvlJc w:val="left"/>
      <w:pPr>
        <w:tabs>
          <w:tab w:val="num" w:pos="720"/>
        </w:tabs>
        <w:ind w:left="720" w:hanging="360"/>
      </w:pPr>
      <w:rPr>
        <w:rFonts w:ascii="Arial" w:hAnsi="Arial" w:hint="default"/>
      </w:rPr>
    </w:lvl>
    <w:lvl w:ilvl="1" w:tplc="29A89E6E">
      <w:start w:val="1"/>
      <w:numFmt w:val="bullet"/>
      <w:lvlText w:val="•"/>
      <w:lvlJc w:val="left"/>
      <w:pPr>
        <w:tabs>
          <w:tab w:val="num" w:pos="1440"/>
        </w:tabs>
        <w:ind w:left="1440" w:hanging="360"/>
      </w:pPr>
      <w:rPr>
        <w:rFonts w:ascii="Arial" w:hAnsi="Arial" w:hint="default"/>
      </w:rPr>
    </w:lvl>
    <w:lvl w:ilvl="2" w:tplc="6368EEE2" w:tentative="1">
      <w:start w:val="1"/>
      <w:numFmt w:val="bullet"/>
      <w:lvlText w:val="•"/>
      <w:lvlJc w:val="left"/>
      <w:pPr>
        <w:tabs>
          <w:tab w:val="num" w:pos="2160"/>
        </w:tabs>
        <w:ind w:left="2160" w:hanging="360"/>
      </w:pPr>
      <w:rPr>
        <w:rFonts w:ascii="Arial" w:hAnsi="Arial" w:hint="default"/>
      </w:rPr>
    </w:lvl>
    <w:lvl w:ilvl="3" w:tplc="10642BC0" w:tentative="1">
      <w:start w:val="1"/>
      <w:numFmt w:val="bullet"/>
      <w:lvlText w:val="•"/>
      <w:lvlJc w:val="left"/>
      <w:pPr>
        <w:tabs>
          <w:tab w:val="num" w:pos="2880"/>
        </w:tabs>
        <w:ind w:left="2880" w:hanging="360"/>
      </w:pPr>
      <w:rPr>
        <w:rFonts w:ascii="Arial" w:hAnsi="Arial" w:hint="default"/>
      </w:rPr>
    </w:lvl>
    <w:lvl w:ilvl="4" w:tplc="B6AC9CD2" w:tentative="1">
      <w:start w:val="1"/>
      <w:numFmt w:val="bullet"/>
      <w:lvlText w:val="•"/>
      <w:lvlJc w:val="left"/>
      <w:pPr>
        <w:tabs>
          <w:tab w:val="num" w:pos="3600"/>
        </w:tabs>
        <w:ind w:left="3600" w:hanging="360"/>
      </w:pPr>
      <w:rPr>
        <w:rFonts w:ascii="Arial" w:hAnsi="Arial" w:hint="default"/>
      </w:rPr>
    </w:lvl>
    <w:lvl w:ilvl="5" w:tplc="D070D12C" w:tentative="1">
      <w:start w:val="1"/>
      <w:numFmt w:val="bullet"/>
      <w:lvlText w:val="•"/>
      <w:lvlJc w:val="left"/>
      <w:pPr>
        <w:tabs>
          <w:tab w:val="num" w:pos="4320"/>
        </w:tabs>
        <w:ind w:left="4320" w:hanging="360"/>
      </w:pPr>
      <w:rPr>
        <w:rFonts w:ascii="Arial" w:hAnsi="Arial" w:hint="default"/>
      </w:rPr>
    </w:lvl>
    <w:lvl w:ilvl="6" w:tplc="178CC58C" w:tentative="1">
      <w:start w:val="1"/>
      <w:numFmt w:val="bullet"/>
      <w:lvlText w:val="•"/>
      <w:lvlJc w:val="left"/>
      <w:pPr>
        <w:tabs>
          <w:tab w:val="num" w:pos="5040"/>
        </w:tabs>
        <w:ind w:left="5040" w:hanging="360"/>
      </w:pPr>
      <w:rPr>
        <w:rFonts w:ascii="Arial" w:hAnsi="Arial" w:hint="default"/>
      </w:rPr>
    </w:lvl>
    <w:lvl w:ilvl="7" w:tplc="FE64FA38" w:tentative="1">
      <w:start w:val="1"/>
      <w:numFmt w:val="bullet"/>
      <w:lvlText w:val="•"/>
      <w:lvlJc w:val="left"/>
      <w:pPr>
        <w:tabs>
          <w:tab w:val="num" w:pos="5760"/>
        </w:tabs>
        <w:ind w:left="5760" w:hanging="360"/>
      </w:pPr>
      <w:rPr>
        <w:rFonts w:ascii="Arial" w:hAnsi="Arial" w:hint="default"/>
      </w:rPr>
    </w:lvl>
    <w:lvl w:ilvl="8" w:tplc="DF14B120" w:tentative="1">
      <w:start w:val="1"/>
      <w:numFmt w:val="bullet"/>
      <w:lvlText w:val="•"/>
      <w:lvlJc w:val="left"/>
      <w:pPr>
        <w:tabs>
          <w:tab w:val="num" w:pos="6480"/>
        </w:tabs>
        <w:ind w:left="6480" w:hanging="360"/>
      </w:pPr>
      <w:rPr>
        <w:rFonts w:ascii="Arial" w:hAnsi="Arial" w:hint="default"/>
      </w:rPr>
    </w:lvl>
  </w:abstractNum>
  <w:abstractNum w:abstractNumId="26">
    <w:nsid w:val="50B572E7"/>
    <w:multiLevelType w:val="hybridMultilevel"/>
    <w:tmpl w:val="A8ECE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E056B7"/>
    <w:multiLevelType w:val="hybridMultilevel"/>
    <w:tmpl w:val="D034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23E4FF6"/>
    <w:multiLevelType w:val="hybridMultilevel"/>
    <w:tmpl w:val="1278F0A0"/>
    <w:lvl w:ilvl="0" w:tplc="521C7E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5346DD8"/>
    <w:multiLevelType w:val="hybridMultilevel"/>
    <w:tmpl w:val="97AC0EF4"/>
    <w:lvl w:ilvl="0" w:tplc="879AAFC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72B6150"/>
    <w:multiLevelType w:val="hybridMultilevel"/>
    <w:tmpl w:val="0D92FD7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1">
    <w:nsid w:val="57EB144A"/>
    <w:multiLevelType w:val="hybridMultilevel"/>
    <w:tmpl w:val="1034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7B6084"/>
    <w:multiLevelType w:val="hybridMultilevel"/>
    <w:tmpl w:val="ECF4DE38"/>
    <w:lvl w:ilvl="0" w:tplc="A92222F8">
      <w:start w:val="1"/>
      <w:numFmt w:val="bullet"/>
      <w:lvlText w:val="•"/>
      <w:lvlJc w:val="left"/>
      <w:pPr>
        <w:tabs>
          <w:tab w:val="num" w:pos="720"/>
        </w:tabs>
        <w:ind w:left="720" w:hanging="360"/>
      </w:pPr>
      <w:rPr>
        <w:rFonts w:ascii="Arial" w:hAnsi="Arial" w:hint="default"/>
      </w:rPr>
    </w:lvl>
    <w:lvl w:ilvl="1" w:tplc="F50C97A6" w:tentative="1">
      <w:start w:val="1"/>
      <w:numFmt w:val="bullet"/>
      <w:lvlText w:val="•"/>
      <w:lvlJc w:val="left"/>
      <w:pPr>
        <w:tabs>
          <w:tab w:val="num" w:pos="1440"/>
        </w:tabs>
        <w:ind w:left="1440" w:hanging="360"/>
      </w:pPr>
      <w:rPr>
        <w:rFonts w:ascii="Arial" w:hAnsi="Arial" w:hint="default"/>
      </w:rPr>
    </w:lvl>
    <w:lvl w:ilvl="2" w:tplc="6310C306" w:tentative="1">
      <w:start w:val="1"/>
      <w:numFmt w:val="bullet"/>
      <w:lvlText w:val="•"/>
      <w:lvlJc w:val="left"/>
      <w:pPr>
        <w:tabs>
          <w:tab w:val="num" w:pos="2160"/>
        </w:tabs>
        <w:ind w:left="2160" w:hanging="360"/>
      </w:pPr>
      <w:rPr>
        <w:rFonts w:ascii="Arial" w:hAnsi="Arial" w:hint="default"/>
      </w:rPr>
    </w:lvl>
    <w:lvl w:ilvl="3" w:tplc="66681108" w:tentative="1">
      <w:start w:val="1"/>
      <w:numFmt w:val="bullet"/>
      <w:lvlText w:val="•"/>
      <w:lvlJc w:val="left"/>
      <w:pPr>
        <w:tabs>
          <w:tab w:val="num" w:pos="2880"/>
        </w:tabs>
        <w:ind w:left="2880" w:hanging="360"/>
      </w:pPr>
      <w:rPr>
        <w:rFonts w:ascii="Arial" w:hAnsi="Arial" w:hint="default"/>
      </w:rPr>
    </w:lvl>
    <w:lvl w:ilvl="4" w:tplc="C4707740" w:tentative="1">
      <w:start w:val="1"/>
      <w:numFmt w:val="bullet"/>
      <w:lvlText w:val="•"/>
      <w:lvlJc w:val="left"/>
      <w:pPr>
        <w:tabs>
          <w:tab w:val="num" w:pos="3600"/>
        </w:tabs>
        <w:ind w:left="3600" w:hanging="360"/>
      </w:pPr>
      <w:rPr>
        <w:rFonts w:ascii="Arial" w:hAnsi="Arial" w:hint="default"/>
      </w:rPr>
    </w:lvl>
    <w:lvl w:ilvl="5" w:tplc="408ED6BC" w:tentative="1">
      <w:start w:val="1"/>
      <w:numFmt w:val="bullet"/>
      <w:lvlText w:val="•"/>
      <w:lvlJc w:val="left"/>
      <w:pPr>
        <w:tabs>
          <w:tab w:val="num" w:pos="4320"/>
        </w:tabs>
        <w:ind w:left="4320" w:hanging="360"/>
      </w:pPr>
      <w:rPr>
        <w:rFonts w:ascii="Arial" w:hAnsi="Arial" w:hint="default"/>
      </w:rPr>
    </w:lvl>
    <w:lvl w:ilvl="6" w:tplc="7F74E616" w:tentative="1">
      <w:start w:val="1"/>
      <w:numFmt w:val="bullet"/>
      <w:lvlText w:val="•"/>
      <w:lvlJc w:val="left"/>
      <w:pPr>
        <w:tabs>
          <w:tab w:val="num" w:pos="5040"/>
        </w:tabs>
        <w:ind w:left="5040" w:hanging="360"/>
      </w:pPr>
      <w:rPr>
        <w:rFonts w:ascii="Arial" w:hAnsi="Arial" w:hint="default"/>
      </w:rPr>
    </w:lvl>
    <w:lvl w:ilvl="7" w:tplc="6D3E85B8" w:tentative="1">
      <w:start w:val="1"/>
      <w:numFmt w:val="bullet"/>
      <w:lvlText w:val="•"/>
      <w:lvlJc w:val="left"/>
      <w:pPr>
        <w:tabs>
          <w:tab w:val="num" w:pos="5760"/>
        </w:tabs>
        <w:ind w:left="5760" w:hanging="360"/>
      </w:pPr>
      <w:rPr>
        <w:rFonts w:ascii="Arial" w:hAnsi="Arial" w:hint="default"/>
      </w:rPr>
    </w:lvl>
    <w:lvl w:ilvl="8" w:tplc="67BC197A" w:tentative="1">
      <w:start w:val="1"/>
      <w:numFmt w:val="bullet"/>
      <w:lvlText w:val="•"/>
      <w:lvlJc w:val="left"/>
      <w:pPr>
        <w:tabs>
          <w:tab w:val="num" w:pos="6480"/>
        </w:tabs>
        <w:ind w:left="6480" w:hanging="360"/>
      </w:pPr>
      <w:rPr>
        <w:rFonts w:ascii="Arial" w:hAnsi="Arial" w:hint="default"/>
      </w:rPr>
    </w:lvl>
  </w:abstractNum>
  <w:abstractNum w:abstractNumId="33">
    <w:nsid w:val="5F4C404C"/>
    <w:multiLevelType w:val="hybridMultilevel"/>
    <w:tmpl w:val="D0E2E33E"/>
    <w:lvl w:ilvl="0" w:tplc="543E3C1A">
      <w:start w:val="1"/>
      <w:numFmt w:val="bullet"/>
      <w:lvlText w:val=""/>
      <w:lvlJc w:val="left"/>
      <w:pPr>
        <w:ind w:left="720" w:hanging="360"/>
      </w:pPr>
      <w:rPr>
        <w:rFonts w:ascii="Symbol" w:hAnsi="Symbol" w:hint="default"/>
        <w:color w:val="7030A0"/>
      </w:rPr>
    </w:lvl>
    <w:lvl w:ilvl="1" w:tplc="C17C28CC">
      <w:start w:val="1"/>
      <w:numFmt w:val="bullet"/>
      <w:lvlText w:val="o"/>
      <w:lvlJc w:val="left"/>
      <w:pPr>
        <w:ind w:left="1440" w:hanging="360"/>
      </w:pPr>
      <w:rPr>
        <w:rFonts w:ascii="Courier New" w:hAnsi="Courier New" w:cs="Courier New"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6813B64"/>
    <w:multiLevelType w:val="hybridMultilevel"/>
    <w:tmpl w:val="6B32B632"/>
    <w:lvl w:ilvl="0" w:tplc="0B786C38">
      <w:start w:val="1"/>
      <w:numFmt w:val="bullet"/>
      <w:lvlText w:val="•"/>
      <w:lvlJc w:val="left"/>
      <w:pPr>
        <w:tabs>
          <w:tab w:val="num" w:pos="720"/>
        </w:tabs>
        <w:ind w:left="720" w:hanging="360"/>
      </w:pPr>
      <w:rPr>
        <w:rFonts w:ascii="Arial" w:hAnsi="Arial" w:hint="default"/>
      </w:rPr>
    </w:lvl>
    <w:lvl w:ilvl="1" w:tplc="25EE7EF0">
      <w:start w:val="1"/>
      <w:numFmt w:val="bullet"/>
      <w:lvlText w:val="•"/>
      <w:lvlJc w:val="left"/>
      <w:pPr>
        <w:tabs>
          <w:tab w:val="num" w:pos="1440"/>
        </w:tabs>
        <w:ind w:left="1440" w:hanging="360"/>
      </w:pPr>
      <w:rPr>
        <w:rFonts w:ascii="Arial" w:hAnsi="Arial" w:hint="default"/>
      </w:rPr>
    </w:lvl>
    <w:lvl w:ilvl="2" w:tplc="1EB0C370" w:tentative="1">
      <w:start w:val="1"/>
      <w:numFmt w:val="bullet"/>
      <w:lvlText w:val="•"/>
      <w:lvlJc w:val="left"/>
      <w:pPr>
        <w:tabs>
          <w:tab w:val="num" w:pos="2160"/>
        </w:tabs>
        <w:ind w:left="2160" w:hanging="360"/>
      </w:pPr>
      <w:rPr>
        <w:rFonts w:ascii="Arial" w:hAnsi="Arial" w:hint="default"/>
      </w:rPr>
    </w:lvl>
    <w:lvl w:ilvl="3" w:tplc="2A624B46" w:tentative="1">
      <w:start w:val="1"/>
      <w:numFmt w:val="bullet"/>
      <w:lvlText w:val="•"/>
      <w:lvlJc w:val="left"/>
      <w:pPr>
        <w:tabs>
          <w:tab w:val="num" w:pos="2880"/>
        </w:tabs>
        <w:ind w:left="2880" w:hanging="360"/>
      </w:pPr>
      <w:rPr>
        <w:rFonts w:ascii="Arial" w:hAnsi="Arial" w:hint="default"/>
      </w:rPr>
    </w:lvl>
    <w:lvl w:ilvl="4" w:tplc="17C42582" w:tentative="1">
      <w:start w:val="1"/>
      <w:numFmt w:val="bullet"/>
      <w:lvlText w:val="•"/>
      <w:lvlJc w:val="left"/>
      <w:pPr>
        <w:tabs>
          <w:tab w:val="num" w:pos="3600"/>
        </w:tabs>
        <w:ind w:left="3600" w:hanging="360"/>
      </w:pPr>
      <w:rPr>
        <w:rFonts w:ascii="Arial" w:hAnsi="Arial" w:hint="default"/>
      </w:rPr>
    </w:lvl>
    <w:lvl w:ilvl="5" w:tplc="61686BE6" w:tentative="1">
      <w:start w:val="1"/>
      <w:numFmt w:val="bullet"/>
      <w:lvlText w:val="•"/>
      <w:lvlJc w:val="left"/>
      <w:pPr>
        <w:tabs>
          <w:tab w:val="num" w:pos="4320"/>
        </w:tabs>
        <w:ind w:left="4320" w:hanging="360"/>
      </w:pPr>
      <w:rPr>
        <w:rFonts w:ascii="Arial" w:hAnsi="Arial" w:hint="default"/>
      </w:rPr>
    </w:lvl>
    <w:lvl w:ilvl="6" w:tplc="D5780C4E" w:tentative="1">
      <w:start w:val="1"/>
      <w:numFmt w:val="bullet"/>
      <w:lvlText w:val="•"/>
      <w:lvlJc w:val="left"/>
      <w:pPr>
        <w:tabs>
          <w:tab w:val="num" w:pos="5040"/>
        </w:tabs>
        <w:ind w:left="5040" w:hanging="360"/>
      </w:pPr>
      <w:rPr>
        <w:rFonts w:ascii="Arial" w:hAnsi="Arial" w:hint="default"/>
      </w:rPr>
    </w:lvl>
    <w:lvl w:ilvl="7" w:tplc="708662F4" w:tentative="1">
      <w:start w:val="1"/>
      <w:numFmt w:val="bullet"/>
      <w:lvlText w:val="•"/>
      <w:lvlJc w:val="left"/>
      <w:pPr>
        <w:tabs>
          <w:tab w:val="num" w:pos="5760"/>
        </w:tabs>
        <w:ind w:left="5760" w:hanging="360"/>
      </w:pPr>
      <w:rPr>
        <w:rFonts w:ascii="Arial" w:hAnsi="Arial" w:hint="default"/>
      </w:rPr>
    </w:lvl>
    <w:lvl w:ilvl="8" w:tplc="CA12A674" w:tentative="1">
      <w:start w:val="1"/>
      <w:numFmt w:val="bullet"/>
      <w:lvlText w:val="•"/>
      <w:lvlJc w:val="left"/>
      <w:pPr>
        <w:tabs>
          <w:tab w:val="num" w:pos="6480"/>
        </w:tabs>
        <w:ind w:left="6480" w:hanging="360"/>
      </w:pPr>
      <w:rPr>
        <w:rFonts w:ascii="Arial" w:hAnsi="Arial" w:hint="default"/>
      </w:rPr>
    </w:lvl>
  </w:abstractNum>
  <w:abstractNum w:abstractNumId="35">
    <w:nsid w:val="688D441A"/>
    <w:multiLevelType w:val="hybridMultilevel"/>
    <w:tmpl w:val="4162C52C"/>
    <w:lvl w:ilvl="0" w:tplc="BE7E8CFE">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AA15EA9"/>
    <w:multiLevelType w:val="hybridMultilevel"/>
    <w:tmpl w:val="6A441338"/>
    <w:lvl w:ilvl="0" w:tplc="879AAFC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A63B9D"/>
    <w:multiLevelType w:val="multilevel"/>
    <w:tmpl w:val="25A8148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70485612"/>
    <w:multiLevelType w:val="multilevel"/>
    <w:tmpl w:val="12C8D4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765C6817"/>
    <w:multiLevelType w:val="hybridMultilevel"/>
    <w:tmpl w:val="00F40F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9A1861"/>
    <w:multiLevelType w:val="hybridMultilevel"/>
    <w:tmpl w:val="6A3261DE"/>
    <w:lvl w:ilvl="0" w:tplc="371C9D34">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3"/>
  </w:num>
  <w:num w:numId="3">
    <w:abstractNumId w:val="38"/>
  </w:num>
  <w:num w:numId="4">
    <w:abstractNumId w:val="28"/>
  </w:num>
  <w:num w:numId="5">
    <w:abstractNumId w:val="10"/>
  </w:num>
  <w:num w:numId="6">
    <w:abstractNumId w:val="30"/>
  </w:num>
  <w:num w:numId="7">
    <w:abstractNumId w:val="8"/>
  </w:num>
  <w:num w:numId="8">
    <w:abstractNumId w:val="18"/>
  </w:num>
  <w:num w:numId="9">
    <w:abstractNumId w:val="40"/>
  </w:num>
  <w:num w:numId="10">
    <w:abstractNumId w:val="7"/>
  </w:num>
  <w:num w:numId="11">
    <w:abstractNumId w:val="26"/>
  </w:num>
  <w:num w:numId="12">
    <w:abstractNumId w:val="34"/>
  </w:num>
  <w:num w:numId="13">
    <w:abstractNumId w:val="25"/>
  </w:num>
  <w:num w:numId="14">
    <w:abstractNumId w:val="14"/>
  </w:num>
  <w:num w:numId="15">
    <w:abstractNumId w:val="0"/>
  </w:num>
  <w:num w:numId="16">
    <w:abstractNumId w:val="32"/>
  </w:num>
  <w:num w:numId="17">
    <w:abstractNumId w:val="6"/>
  </w:num>
  <w:num w:numId="18">
    <w:abstractNumId w:val="24"/>
  </w:num>
  <w:num w:numId="19">
    <w:abstractNumId w:val="4"/>
  </w:num>
  <w:num w:numId="20">
    <w:abstractNumId w:val="20"/>
  </w:num>
  <w:num w:numId="21">
    <w:abstractNumId w:val="23"/>
  </w:num>
  <w:num w:numId="22">
    <w:abstractNumId w:val="5"/>
  </w:num>
  <w:num w:numId="23">
    <w:abstractNumId w:val="27"/>
  </w:num>
  <w:num w:numId="24">
    <w:abstractNumId w:val="22"/>
  </w:num>
  <w:num w:numId="25">
    <w:abstractNumId w:val="39"/>
  </w:num>
  <w:num w:numId="26">
    <w:abstractNumId w:val="37"/>
  </w:num>
  <w:num w:numId="27">
    <w:abstractNumId w:val="33"/>
  </w:num>
  <w:num w:numId="28">
    <w:abstractNumId w:val="3"/>
  </w:num>
  <w:num w:numId="29">
    <w:abstractNumId w:val="35"/>
  </w:num>
  <w:num w:numId="30">
    <w:abstractNumId w:val="19"/>
  </w:num>
  <w:num w:numId="31">
    <w:abstractNumId w:val="17"/>
  </w:num>
  <w:num w:numId="32">
    <w:abstractNumId w:val="16"/>
  </w:num>
  <w:num w:numId="33">
    <w:abstractNumId w:val="36"/>
  </w:num>
  <w:num w:numId="34">
    <w:abstractNumId w:val="29"/>
  </w:num>
  <w:num w:numId="35">
    <w:abstractNumId w:val="11"/>
  </w:num>
  <w:num w:numId="36">
    <w:abstractNumId w:val="9"/>
  </w:num>
  <w:num w:numId="37">
    <w:abstractNumId w:val="15"/>
  </w:num>
  <w:num w:numId="38">
    <w:abstractNumId w:val="12"/>
  </w:num>
  <w:num w:numId="39">
    <w:abstractNumId w:val="2"/>
  </w:num>
  <w:num w:numId="40">
    <w:abstractNumId w:val="31"/>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I3MDcxs7Q0MrcwMLZU0lEKTi0uzszPAykwqgUAZ7NaSCwAAAA="/>
  </w:docVars>
  <w:rsids>
    <w:rsidRoot w:val="00652DE2"/>
    <w:rsid w:val="0016460D"/>
    <w:rsid w:val="001B16CA"/>
    <w:rsid w:val="00214DCD"/>
    <w:rsid w:val="00272392"/>
    <w:rsid w:val="002B260B"/>
    <w:rsid w:val="002B31A8"/>
    <w:rsid w:val="002D3ED5"/>
    <w:rsid w:val="002E4BCD"/>
    <w:rsid w:val="003344CF"/>
    <w:rsid w:val="00410511"/>
    <w:rsid w:val="004C63D6"/>
    <w:rsid w:val="0056304B"/>
    <w:rsid w:val="005F0264"/>
    <w:rsid w:val="0061633E"/>
    <w:rsid w:val="00652DE2"/>
    <w:rsid w:val="00674167"/>
    <w:rsid w:val="00684D3B"/>
    <w:rsid w:val="006F6C62"/>
    <w:rsid w:val="0079147F"/>
    <w:rsid w:val="007A344D"/>
    <w:rsid w:val="007B2836"/>
    <w:rsid w:val="00810ADF"/>
    <w:rsid w:val="008145A4"/>
    <w:rsid w:val="008C7EE1"/>
    <w:rsid w:val="00935BD1"/>
    <w:rsid w:val="00950ED9"/>
    <w:rsid w:val="009935BD"/>
    <w:rsid w:val="009C4B8C"/>
    <w:rsid w:val="009C6335"/>
    <w:rsid w:val="009F4136"/>
    <w:rsid w:val="00A702A0"/>
    <w:rsid w:val="00A97DB7"/>
    <w:rsid w:val="00BE14BF"/>
    <w:rsid w:val="00C21D45"/>
    <w:rsid w:val="00C70070"/>
    <w:rsid w:val="00C740BF"/>
    <w:rsid w:val="00CB55AA"/>
    <w:rsid w:val="00CF4848"/>
    <w:rsid w:val="00D325B7"/>
    <w:rsid w:val="00D77FCE"/>
    <w:rsid w:val="00D93EAB"/>
    <w:rsid w:val="00E26CDB"/>
    <w:rsid w:val="00E62321"/>
    <w:rsid w:val="00E87505"/>
    <w:rsid w:val="00ED03AA"/>
    <w:rsid w:val="00EE2C3C"/>
    <w:rsid w:val="00F67923"/>
    <w:rsid w:val="00F73272"/>
    <w:rsid w:val="00FC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52DE2"/>
    <w:pPr>
      <w:widowControl/>
    </w:pPr>
    <w:rPr>
      <w:rFonts w:ascii="Arial" w:hAnsi="Arial" w:cs="Arial"/>
      <w:sz w:val="24"/>
    </w:rPr>
  </w:style>
  <w:style w:type="paragraph" w:styleId="Heading1">
    <w:name w:val="heading 1"/>
    <w:basedOn w:val="Normal"/>
    <w:next w:val="Normal"/>
    <w:link w:val="Heading1Char"/>
    <w:uiPriority w:val="9"/>
    <w:qFormat/>
    <w:rsid w:val="00652DE2"/>
    <w:pPr>
      <w:keepNext/>
      <w:keepLines/>
      <w:spacing w:before="480" w:after="0"/>
      <w:outlineLvl w:val="0"/>
    </w:pPr>
    <w:rPr>
      <w:rFonts w:eastAsiaTheme="majorEastAsia" w:cstheme="majorBidi"/>
      <w:b/>
      <w:bCs/>
      <w:color w:val="0070C0"/>
      <w:sz w:val="40"/>
      <w:szCs w:val="28"/>
    </w:rPr>
  </w:style>
  <w:style w:type="paragraph" w:styleId="Heading2">
    <w:name w:val="heading 2"/>
    <w:basedOn w:val="Normal"/>
    <w:next w:val="Normal"/>
    <w:link w:val="Heading2Char"/>
    <w:uiPriority w:val="9"/>
    <w:unhideWhenUsed/>
    <w:qFormat/>
    <w:rsid w:val="009935BD"/>
    <w:pPr>
      <w:keepNext/>
      <w:keepLines/>
      <w:spacing w:before="200" w:after="0"/>
      <w:outlineLvl w:val="1"/>
    </w:pPr>
    <w:rPr>
      <w:rFonts w:eastAsiaTheme="majorEastAsia" w:cstheme="majorBidi"/>
      <w:b/>
      <w:bCs/>
      <w:color w:val="0070C0"/>
      <w:sz w:val="28"/>
      <w:szCs w:val="28"/>
    </w:rPr>
  </w:style>
  <w:style w:type="paragraph" w:styleId="Heading3">
    <w:name w:val="heading 3"/>
    <w:basedOn w:val="Normal"/>
    <w:next w:val="Normal"/>
    <w:link w:val="Heading3Char"/>
    <w:uiPriority w:val="9"/>
    <w:unhideWhenUsed/>
    <w:qFormat/>
    <w:rsid w:val="00810ADF"/>
    <w:pPr>
      <w:keepNext/>
      <w:keepLines/>
      <w:spacing w:before="200" w:after="0"/>
      <w:outlineLvl w:val="2"/>
    </w:pPr>
    <w:rPr>
      <w:rFonts w:eastAsiaTheme="majorEastAsia"/>
      <w:b/>
      <w:bC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DE2"/>
    <w:rPr>
      <w:rFonts w:ascii="Arial" w:eastAsiaTheme="majorEastAsia" w:hAnsi="Arial" w:cstheme="majorBidi"/>
      <w:b/>
      <w:bCs/>
      <w:color w:val="0070C0"/>
      <w:sz w:val="40"/>
      <w:szCs w:val="28"/>
    </w:rPr>
  </w:style>
  <w:style w:type="character" w:customStyle="1" w:styleId="Heading2Char">
    <w:name w:val="Heading 2 Char"/>
    <w:basedOn w:val="DefaultParagraphFont"/>
    <w:link w:val="Heading2"/>
    <w:uiPriority w:val="9"/>
    <w:rsid w:val="009935BD"/>
    <w:rPr>
      <w:rFonts w:ascii="Arial" w:eastAsiaTheme="majorEastAsia" w:hAnsi="Arial" w:cstheme="majorBidi"/>
      <w:b/>
      <w:bCs/>
      <w:color w:val="0070C0"/>
      <w:sz w:val="28"/>
      <w:szCs w:val="28"/>
    </w:rPr>
  </w:style>
  <w:style w:type="character" w:customStyle="1" w:styleId="Heading3Char">
    <w:name w:val="Heading 3 Char"/>
    <w:basedOn w:val="DefaultParagraphFont"/>
    <w:link w:val="Heading3"/>
    <w:uiPriority w:val="9"/>
    <w:rsid w:val="00810ADF"/>
    <w:rPr>
      <w:rFonts w:ascii="Arial" w:eastAsiaTheme="majorEastAsia" w:hAnsi="Arial" w:cs="Arial"/>
      <w:b/>
      <w:bCs/>
      <w:color w:val="0070C0"/>
      <w:sz w:val="24"/>
    </w:rPr>
  </w:style>
  <w:style w:type="paragraph" w:styleId="Header">
    <w:name w:val="header"/>
    <w:basedOn w:val="Normal"/>
    <w:link w:val="HeaderChar"/>
    <w:uiPriority w:val="99"/>
    <w:unhideWhenUsed/>
    <w:rsid w:val="0065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DE2"/>
  </w:style>
  <w:style w:type="paragraph" w:styleId="Footer">
    <w:name w:val="footer"/>
    <w:basedOn w:val="Normal"/>
    <w:link w:val="FooterChar"/>
    <w:uiPriority w:val="99"/>
    <w:unhideWhenUsed/>
    <w:rsid w:val="0065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DE2"/>
  </w:style>
  <w:style w:type="paragraph" w:styleId="BalloonText">
    <w:name w:val="Balloon Text"/>
    <w:basedOn w:val="Normal"/>
    <w:link w:val="BalloonTextChar"/>
    <w:uiPriority w:val="99"/>
    <w:semiHidden/>
    <w:unhideWhenUsed/>
    <w:rsid w:val="00652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DE2"/>
    <w:rPr>
      <w:rFonts w:ascii="Tahoma" w:hAnsi="Tahoma" w:cs="Tahoma"/>
      <w:sz w:val="16"/>
      <w:szCs w:val="16"/>
    </w:rPr>
  </w:style>
  <w:style w:type="table" w:styleId="TableGrid">
    <w:name w:val="Table Grid"/>
    <w:basedOn w:val="TableNormal"/>
    <w:uiPriority w:val="59"/>
    <w:rsid w:val="00652DE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5BD"/>
    <w:pPr>
      <w:numPr>
        <w:numId w:val="37"/>
      </w:numPr>
      <w:contextualSpacing/>
    </w:pPr>
  </w:style>
  <w:style w:type="paragraph" w:customStyle="1" w:styleId="Default">
    <w:name w:val="Default"/>
    <w:rsid w:val="00652DE2"/>
    <w:pPr>
      <w:widowControl/>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652DE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DE2"/>
    <w:rPr>
      <w:sz w:val="16"/>
      <w:szCs w:val="16"/>
    </w:rPr>
  </w:style>
  <w:style w:type="paragraph" w:styleId="CommentText">
    <w:name w:val="annotation text"/>
    <w:basedOn w:val="Normal"/>
    <w:link w:val="CommentTextChar"/>
    <w:uiPriority w:val="99"/>
    <w:semiHidden/>
    <w:unhideWhenUsed/>
    <w:rsid w:val="00652DE2"/>
    <w:pPr>
      <w:spacing w:line="240" w:lineRule="auto"/>
    </w:pPr>
    <w:rPr>
      <w:sz w:val="20"/>
      <w:szCs w:val="20"/>
    </w:rPr>
  </w:style>
  <w:style w:type="character" w:customStyle="1" w:styleId="CommentTextChar">
    <w:name w:val="Comment Text Char"/>
    <w:basedOn w:val="DefaultParagraphFont"/>
    <w:link w:val="CommentText"/>
    <w:uiPriority w:val="99"/>
    <w:semiHidden/>
    <w:rsid w:val="00652DE2"/>
    <w:rPr>
      <w:sz w:val="20"/>
      <w:szCs w:val="20"/>
    </w:rPr>
  </w:style>
  <w:style w:type="character" w:customStyle="1" w:styleId="CommentSubjectChar">
    <w:name w:val="Comment Subject Char"/>
    <w:basedOn w:val="CommentTextChar"/>
    <w:link w:val="CommentSubject"/>
    <w:uiPriority w:val="99"/>
    <w:semiHidden/>
    <w:rsid w:val="00652DE2"/>
    <w:rPr>
      <w:b/>
      <w:bCs/>
      <w:sz w:val="20"/>
      <w:szCs w:val="20"/>
    </w:rPr>
  </w:style>
  <w:style w:type="paragraph" w:styleId="CommentSubject">
    <w:name w:val="annotation subject"/>
    <w:basedOn w:val="CommentText"/>
    <w:next w:val="CommentText"/>
    <w:link w:val="CommentSubjectChar"/>
    <w:uiPriority w:val="99"/>
    <w:semiHidden/>
    <w:unhideWhenUsed/>
    <w:rsid w:val="00652DE2"/>
    <w:rPr>
      <w:b/>
      <w:bCs/>
    </w:rPr>
  </w:style>
  <w:style w:type="character" w:styleId="Hyperlink">
    <w:name w:val="Hyperlink"/>
    <w:basedOn w:val="DefaultParagraphFont"/>
    <w:uiPriority w:val="99"/>
    <w:unhideWhenUsed/>
    <w:rsid w:val="00652DE2"/>
    <w:rPr>
      <w:color w:val="0000FF" w:themeColor="hyperlink"/>
      <w:u w:val="single"/>
    </w:rPr>
  </w:style>
  <w:style w:type="paragraph" w:customStyle="1" w:styleId="Reporttitle">
    <w:name w:val="Report title"/>
    <w:basedOn w:val="Normal"/>
    <w:link w:val="ReporttitleChar"/>
    <w:qFormat/>
    <w:rsid w:val="009935BD"/>
    <w:pPr>
      <w:spacing w:before="120" w:after="120" w:line="240" w:lineRule="auto"/>
    </w:pPr>
    <w:rPr>
      <w:rFonts w:eastAsiaTheme="minorEastAsia"/>
      <w:b/>
      <w:bCs/>
      <w:color w:val="005EB8"/>
      <w:sz w:val="72"/>
      <w:szCs w:val="96"/>
    </w:rPr>
  </w:style>
  <w:style w:type="character" w:customStyle="1" w:styleId="ReporttitleChar">
    <w:name w:val="Report title Char"/>
    <w:basedOn w:val="DefaultParagraphFont"/>
    <w:link w:val="Reporttitle"/>
    <w:rsid w:val="009935BD"/>
    <w:rPr>
      <w:rFonts w:ascii="Arial" w:eastAsiaTheme="minorEastAsia" w:hAnsi="Arial" w:cs="Arial"/>
      <w:b/>
      <w:bCs/>
      <w:color w:val="005EB8"/>
      <w:sz w:val="72"/>
      <w:szCs w:val="96"/>
    </w:rPr>
  </w:style>
  <w:style w:type="paragraph" w:customStyle="1" w:styleId="Reportsubtitle">
    <w:name w:val="Report sub title"/>
    <w:basedOn w:val="Normal"/>
    <w:link w:val="ReportsubtitleChar"/>
    <w:qFormat/>
    <w:rsid w:val="00810ADF"/>
    <w:pPr>
      <w:spacing w:before="120" w:after="120"/>
    </w:pPr>
    <w:rPr>
      <w:rFonts w:eastAsiaTheme="minorEastAsia"/>
      <w:color w:val="000000" w:themeColor="text1"/>
      <w:sz w:val="44"/>
      <w:szCs w:val="44"/>
    </w:rPr>
  </w:style>
  <w:style w:type="character" w:customStyle="1" w:styleId="ReportsubtitleChar">
    <w:name w:val="Report sub title Char"/>
    <w:basedOn w:val="DefaultParagraphFont"/>
    <w:link w:val="Reportsubtitle"/>
    <w:rsid w:val="00810ADF"/>
    <w:rPr>
      <w:rFonts w:ascii="Arial" w:eastAsiaTheme="minorEastAsia" w:hAnsi="Arial" w:cs="Arial"/>
      <w:color w:val="000000" w:themeColor="text1"/>
      <w:sz w:val="44"/>
      <w:szCs w:val="44"/>
    </w:rPr>
  </w:style>
  <w:style w:type="paragraph" w:styleId="TOCHeading">
    <w:name w:val="TOC Heading"/>
    <w:basedOn w:val="Heading1"/>
    <w:next w:val="Normal"/>
    <w:uiPriority w:val="39"/>
    <w:semiHidden/>
    <w:unhideWhenUsed/>
    <w:qFormat/>
    <w:rsid w:val="00674167"/>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674167"/>
    <w:pPr>
      <w:spacing w:after="100"/>
    </w:pPr>
  </w:style>
  <w:style w:type="paragraph" w:styleId="TOC2">
    <w:name w:val="toc 2"/>
    <w:basedOn w:val="Normal"/>
    <w:next w:val="Normal"/>
    <w:autoRedefine/>
    <w:uiPriority w:val="39"/>
    <w:unhideWhenUsed/>
    <w:rsid w:val="00674167"/>
    <w:pPr>
      <w:spacing w:after="100"/>
      <w:ind w:left="240"/>
    </w:pPr>
  </w:style>
  <w:style w:type="paragraph" w:styleId="TOC3">
    <w:name w:val="toc 3"/>
    <w:basedOn w:val="Normal"/>
    <w:next w:val="Normal"/>
    <w:autoRedefine/>
    <w:uiPriority w:val="39"/>
    <w:unhideWhenUsed/>
    <w:rsid w:val="00674167"/>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52DE2"/>
    <w:pPr>
      <w:widowControl/>
    </w:pPr>
    <w:rPr>
      <w:rFonts w:ascii="Arial" w:hAnsi="Arial" w:cs="Arial"/>
      <w:sz w:val="24"/>
    </w:rPr>
  </w:style>
  <w:style w:type="paragraph" w:styleId="Heading1">
    <w:name w:val="heading 1"/>
    <w:basedOn w:val="Normal"/>
    <w:next w:val="Normal"/>
    <w:link w:val="Heading1Char"/>
    <w:uiPriority w:val="9"/>
    <w:qFormat/>
    <w:rsid w:val="00652DE2"/>
    <w:pPr>
      <w:keepNext/>
      <w:keepLines/>
      <w:spacing w:before="480" w:after="0"/>
      <w:outlineLvl w:val="0"/>
    </w:pPr>
    <w:rPr>
      <w:rFonts w:eastAsiaTheme="majorEastAsia" w:cstheme="majorBidi"/>
      <w:b/>
      <w:bCs/>
      <w:color w:val="0070C0"/>
      <w:sz w:val="40"/>
      <w:szCs w:val="28"/>
    </w:rPr>
  </w:style>
  <w:style w:type="paragraph" w:styleId="Heading2">
    <w:name w:val="heading 2"/>
    <w:basedOn w:val="Normal"/>
    <w:next w:val="Normal"/>
    <w:link w:val="Heading2Char"/>
    <w:uiPriority w:val="9"/>
    <w:unhideWhenUsed/>
    <w:qFormat/>
    <w:rsid w:val="009935BD"/>
    <w:pPr>
      <w:keepNext/>
      <w:keepLines/>
      <w:spacing w:before="200" w:after="0"/>
      <w:outlineLvl w:val="1"/>
    </w:pPr>
    <w:rPr>
      <w:rFonts w:eastAsiaTheme="majorEastAsia" w:cstheme="majorBidi"/>
      <w:b/>
      <w:bCs/>
      <w:color w:val="0070C0"/>
      <w:sz w:val="28"/>
      <w:szCs w:val="28"/>
    </w:rPr>
  </w:style>
  <w:style w:type="paragraph" w:styleId="Heading3">
    <w:name w:val="heading 3"/>
    <w:basedOn w:val="Normal"/>
    <w:next w:val="Normal"/>
    <w:link w:val="Heading3Char"/>
    <w:uiPriority w:val="9"/>
    <w:unhideWhenUsed/>
    <w:qFormat/>
    <w:rsid w:val="00810ADF"/>
    <w:pPr>
      <w:keepNext/>
      <w:keepLines/>
      <w:spacing w:before="200" w:after="0"/>
      <w:outlineLvl w:val="2"/>
    </w:pPr>
    <w:rPr>
      <w:rFonts w:eastAsiaTheme="majorEastAsia"/>
      <w:b/>
      <w:bC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DE2"/>
    <w:rPr>
      <w:rFonts w:ascii="Arial" w:eastAsiaTheme="majorEastAsia" w:hAnsi="Arial" w:cstheme="majorBidi"/>
      <w:b/>
      <w:bCs/>
      <w:color w:val="0070C0"/>
      <w:sz w:val="40"/>
      <w:szCs w:val="28"/>
    </w:rPr>
  </w:style>
  <w:style w:type="character" w:customStyle="1" w:styleId="Heading2Char">
    <w:name w:val="Heading 2 Char"/>
    <w:basedOn w:val="DefaultParagraphFont"/>
    <w:link w:val="Heading2"/>
    <w:uiPriority w:val="9"/>
    <w:rsid w:val="009935BD"/>
    <w:rPr>
      <w:rFonts w:ascii="Arial" w:eastAsiaTheme="majorEastAsia" w:hAnsi="Arial" w:cstheme="majorBidi"/>
      <w:b/>
      <w:bCs/>
      <w:color w:val="0070C0"/>
      <w:sz w:val="28"/>
      <w:szCs w:val="28"/>
    </w:rPr>
  </w:style>
  <w:style w:type="character" w:customStyle="1" w:styleId="Heading3Char">
    <w:name w:val="Heading 3 Char"/>
    <w:basedOn w:val="DefaultParagraphFont"/>
    <w:link w:val="Heading3"/>
    <w:uiPriority w:val="9"/>
    <w:rsid w:val="00810ADF"/>
    <w:rPr>
      <w:rFonts w:ascii="Arial" w:eastAsiaTheme="majorEastAsia" w:hAnsi="Arial" w:cs="Arial"/>
      <w:b/>
      <w:bCs/>
      <w:color w:val="0070C0"/>
      <w:sz w:val="24"/>
    </w:rPr>
  </w:style>
  <w:style w:type="paragraph" w:styleId="Header">
    <w:name w:val="header"/>
    <w:basedOn w:val="Normal"/>
    <w:link w:val="HeaderChar"/>
    <w:uiPriority w:val="99"/>
    <w:unhideWhenUsed/>
    <w:rsid w:val="0065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DE2"/>
  </w:style>
  <w:style w:type="paragraph" w:styleId="Footer">
    <w:name w:val="footer"/>
    <w:basedOn w:val="Normal"/>
    <w:link w:val="FooterChar"/>
    <w:uiPriority w:val="99"/>
    <w:unhideWhenUsed/>
    <w:rsid w:val="0065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DE2"/>
  </w:style>
  <w:style w:type="paragraph" w:styleId="BalloonText">
    <w:name w:val="Balloon Text"/>
    <w:basedOn w:val="Normal"/>
    <w:link w:val="BalloonTextChar"/>
    <w:uiPriority w:val="99"/>
    <w:semiHidden/>
    <w:unhideWhenUsed/>
    <w:rsid w:val="00652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DE2"/>
    <w:rPr>
      <w:rFonts w:ascii="Tahoma" w:hAnsi="Tahoma" w:cs="Tahoma"/>
      <w:sz w:val="16"/>
      <w:szCs w:val="16"/>
    </w:rPr>
  </w:style>
  <w:style w:type="table" w:styleId="TableGrid">
    <w:name w:val="Table Grid"/>
    <w:basedOn w:val="TableNormal"/>
    <w:uiPriority w:val="59"/>
    <w:rsid w:val="00652DE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5BD"/>
    <w:pPr>
      <w:numPr>
        <w:numId w:val="37"/>
      </w:numPr>
      <w:contextualSpacing/>
    </w:pPr>
  </w:style>
  <w:style w:type="paragraph" w:customStyle="1" w:styleId="Default">
    <w:name w:val="Default"/>
    <w:rsid w:val="00652DE2"/>
    <w:pPr>
      <w:widowControl/>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652DE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DE2"/>
    <w:rPr>
      <w:sz w:val="16"/>
      <w:szCs w:val="16"/>
    </w:rPr>
  </w:style>
  <w:style w:type="paragraph" w:styleId="CommentText">
    <w:name w:val="annotation text"/>
    <w:basedOn w:val="Normal"/>
    <w:link w:val="CommentTextChar"/>
    <w:uiPriority w:val="99"/>
    <w:semiHidden/>
    <w:unhideWhenUsed/>
    <w:rsid w:val="00652DE2"/>
    <w:pPr>
      <w:spacing w:line="240" w:lineRule="auto"/>
    </w:pPr>
    <w:rPr>
      <w:sz w:val="20"/>
      <w:szCs w:val="20"/>
    </w:rPr>
  </w:style>
  <w:style w:type="character" w:customStyle="1" w:styleId="CommentTextChar">
    <w:name w:val="Comment Text Char"/>
    <w:basedOn w:val="DefaultParagraphFont"/>
    <w:link w:val="CommentText"/>
    <w:uiPriority w:val="99"/>
    <w:semiHidden/>
    <w:rsid w:val="00652DE2"/>
    <w:rPr>
      <w:sz w:val="20"/>
      <w:szCs w:val="20"/>
    </w:rPr>
  </w:style>
  <w:style w:type="character" w:customStyle="1" w:styleId="CommentSubjectChar">
    <w:name w:val="Comment Subject Char"/>
    <w:basedOn w:val="CommentTextChar"/>
    <w:link w:val="CommentSubject"/>
    <w:uiPriority w:val="99"/>
    <w:semiHidden/>
    <w:rsid w:val="00652DE2"/>
    <w:rPr>
      <w:b/>
      <w:bCs/>
      <w:sz w:val="20"/>
      <w:szCs w:val="20"/>
    </w:rPr>
  </w:style>
  <w:style w:type="paragraph" w:styleId="CommentSubject">
    <w:name w:val="annotation subject"/>
    <w:basedOn w:val="CommentText"/>
    <w:next w:val="CommentText"/>
    <w:link w:val="CommentSubjectChar"/>
    <w:uiPriority w:val="99"/>
    <w:semiHidden/>
    <w:unhideWhenUsed/>
    <w:rsid w:val="00652DE2"/>
    <w:rPr>
      <w:b/>
      <w:bCs/>
    </w:rPr>
  </w:style>
  <w:style w:type="character" w:styleId="Hyperlink">
    <w:name w:val="Hyperlink"/>
    <w:basedOn w:val="DefaultParagraphFont"/>
    <w:uiPriority w:val="99"/>
    <w:unhideWhenUsed/>
    <w:rsid w:val="00652DE2"/>
    <w:rPr>
      <w:color w:val="0000FF" w:themeColor="hyperlink"/>
      <w:u w:val="single"/>
    </w:rPr>
  </w:style>
  <w:style w:type="paragraph" w:customStyle="1" w:styleId="Reporttitle">
    <w:name w:val="Report title"/>
    <w:basedOn w:val="Normal"/>
    <w:link w:val="ReporttitleChar"/>
    <w:qFormat/>
    <w:rsid w:val="009935BD"/>
    <w:pPr>
      <w:spacing w:before="120" w:after="120" w:line="240" w:lineRule="auto"/>
    </w:pPr>
    <w:rPr>
      <w:rFonts w:eastAsiaTheme="minorEastAsia"/>
      <w:b/>
      <w:bCs/>
      <w:color w:val="005EB8"/>
      <w:sz w:val="72"/>
      <w:szCs w:val="96"/>
    </w:rPr>
  </w:style>
  <w:style w:type="character" w:customStyle="1" w:styleId="ReporttitleChar">
    <w:name w:val="Report title Char"/>
    <w:basedOn w:val="DefaultParagraphFont"/>
    <w:link w:val="Reporttitle"/>
    <w:rsid w:val="009935BD"/>
    <w:rPr>
      <w:rFonts w:ascii="Arial" w:eastAsiaTheme="minorEastAsia" w:hAnsi="Arial" w:cs="Arial"/>
      <w:b/>
      <w:bCs/>
      <w:color w:val="005EB8"/>
      <w:sz w:val="72"/>
      <w:szCs w:val="96"/>
    </w:rPr>
  </w:style>
  <w:style w:type="paragraph" w:customStyle="1" w:styleId="Reportsubtitle">
    <w:name w:val="Report sub title"/>
    <w:basedOn w:val="Normal"/>
    <w:link w:val="ReportsubtitleChar"/>
    <w:qFormat/>
    <w:rsid w:val="00810ADF"/>
    <w:pPr>
      <w:spacing w:before="120" w:after="120"/>
    </w:pPr>
    <w:rPr>
      <w:rFonts w:eastAsiaTheme="minorEastAsia"/>
      <w:color w:val="000000" w:themeColor="text1"/>
      <w:sz w:val="44"/>
      <w:szCs w:val="44"/>
    </w:rPr>
  </w:style>
  <w:style w:type="character" w:customStyle="1" w:styleId="ReportsubtitleChar">
    <w:name w:val="Report sub title Char"/>
    <w:basedOn w:val="DefaultParagraphFont"/>
    <w:link w:val="Reportsubtitle"/>
    <w:rsid w:val="00810ADF"/>
    <w:rPr>
      <w:rFonts w:ascii="Arial" w:eastAsiaTheme="minorEastAsia" w:hAnsi="Arial" w:cs="Arial"/>
      <w:color w:val="000000" w:themeColor="text1"/>
      <w:sz w:val="44"/>
      <w:szCs w:val="44"/>
    </w:rPr>
  </w:style>
  <w:style w:type="paragraph" w:styleId="TOCHeading">
    <w:name w:val="TOC Heading"/>
    <w:basedOn w:val="Heading1"/>
    <w:next w:val="Normal"/>
    <w:uiPriority w:val="39"/>
    <w:semiHidden/>
    <w:unhideWhenUsed/>
    <w:qFormat/>
    <w:rsid w:val="00674167"/>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674167"/>
    <w:pPr>
      <w:spacing w:after="100"/>
    </w:pPr>
  </w:style>
  <w:style w:type="paragraph" w:styleId="TOC2">
    <w:name w:val="toc 2"/>
    <w:basedOn w:val="Normal"/>
    <w:next w:val="Normal"/>
    <w:autoRedefine/>
    <w:uiPriority w:val="39"/>
    <w:unhideWhenUsed/>
    <w:rsid w:val="00674167"/>
    <w:pPr>
      <w:spacing w:after="100"/>
      <w:ind w:left="240"/>
    </w:pPr>
  </w:style>
  <w:style w:type="paragraph" w:styleId="TOC3">
    <w:name w:val="toc 3"/>
    <w:basedOn w:val="Normal"/>
    <w:next w:val="Normal"/>
    <w:autoRedefine/>
    <w:uiPriority w:val="39"/>
    <w:unhideWhenUsed/>
    <w:rsid w:val="0067416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hart" Target="charts/chart12.xm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10" Type="http://schemas.openxmlformats.org/officeDocument/2006/relationships/footer" Target="footer1.xml"/><Relationship Id="rId19" Type="http://schemas.openxmlformats.org/officeDocument/2006/relationships/chart" Target="charts/chart7.xml"/><Relationship Id="rId31" Type="http://schemas.openxmlformats.org/officeDocument/2006/relationships/chart" Target="charts/chart1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bsuh.nhs.uk\Go\Shared\QA\Inclusion\Reports\WRES\WRES%202021%20Submission\Data\ESR%20Dat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bsuh.nhs.uk\go\shared\QA\Inclusion\Reports\WRES\WRES%202021%20Submission\Data\CPD.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bsuh.nhs.uk\go\shared\QA\Inclusion\Reports\WRES\WRES%202021%20Submission\Data\WSHFT%20WRES%20ESR%20Data.xlsb"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bsuh.nhs.uk\Go\Shared\QA\Inclusion\Reports\WRES\WRES%202021%20Submission\Data\Indicator%205-8.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bsuh.nhs.uk\Go\Shared\QA\Inclusion\Reports\WRES\WRES%202021%20Submission\Data\Indicator%205-8%20-%20West.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bsuh.nhs.uk\go\shared\QA\Inclusion\Reports\WRES\WRES%202021%20Submission\Data\Indicator%205-8.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bsuh.nhs.uk\go\shared\QA\Inclusion\Reports\WRES\WRES%202021%20Submission\Data\Indicator%205-8%20-%20West.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bsuh.nhs.uk\Go\Shared\QA\Inclusion\Reports\WRES\WRES%202021%20Submission\Data\Indicator%205-8.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bsuh.nhs.uk\Go\Shared\QA\Inclusion\Reports\WRES\WRES%202021%20Submission\Data\Indicator%205-8%20-%20West.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bsuh.nhs.uk\Go\Shared\QA\Inclusion\Reports\WRES\WRES%202021%20Submission\Data\Indicator%205-8.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bsuh.nhs.uk\Go\Shared\QA\Inclusion\Reports\WRES\WRES%202021%20Submission\Data\Indicator%205-8%20-%20Wes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bsuh.nhs.uk\Go\Shared\QA\Inclusion\Reports\WRES\WRES%202021%20Submission\Data\ESR%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bsuh.nhs.uk\go\shared\QA\Inclusion\Reports\WRES\WRES%202021%20Submission\Data\WSHFT%20WRES%20ESR%20Data.xlsb"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bsuh.nhs.uk\go\shared\QA\Inclusion\Reports\WRES\WRES%202021%20Submission\Data\WSHFT%20WRES%20ESR%20Data.xlsb"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bsuh.nhs.uk\go\shared\QA\Inclusion\Reports\WRES\WRES%202021%20Submission\Data\Recruitment%20Non-Med%20(BSU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bsuh.nhs.uk\go\shared\QA\Inclusion\Reports\WRES\WRES%202021%20Submission\Data\Recruitment%20Non-Med%20(WSHF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bsuh.nhs.uk\Go\Shared\QA\Inclusion\Reports\WRES\WRES%202021%20Submission\Data\ER%20Data%2020-2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bsuh.nhs.uk\go\shared\QA\Inclusion\Reports\WRES\WRES%202021%20Submission\Data\WSHFT%20WRES%20ESR%20Data.xlsb" TargetMode="Externa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32544938968947E-2"/>
          <c:y val="3.7519394638367773E-2"/>
          <c:w val="0.872710514607136"/>
          <c:h val="0.55907046787750059"/>
        </c:manualLayout>
      </c:layout>
      <c:barChart>
        <c:barDir val="col"/>
        <c:grouping val="clustered"/>
        <c:varyColors val="0"/>
        <c:ser>
          <c:idx val="0"/>
          <c:order val="0"/>
          <c:tx>
            <c:strRef>
              <c:f>NC!$B$39</c:f>
              <c:strCache>
                <c:ptCount val="1"/>
                <c:pt idx="0">
                  <c:v>BME 2019</c:v>
                </c:pt>
              </c:strCache>
            </c:strRef>
          </c:tx>
          <c:invertIfNegative val="0"/>
          <c:cat>
            <c:strRef>
              <c:f>NC!$A$40:$A$53</c:f>
              <c:strCache>
                <c:ptCount val="14"/>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pt idx="13">
                  <c:v>Local Payscale</c:v>
                </c:pt>
              </c:strCache>
            </c:strRef>
          </c:cat>
          <c:val>
            <c:numRef>
              <c:f>NC!$B$40:$B$53</c:f>
              <c:numCache>
                <c:formatCode>General</c:formatCode>
                <c:ptCount val="14"/>
                <c:pt idx="0">
                  <c:v>92</c:v>
                </c:pt>
                <c:pt idx="1">
                  <c:v>33</c:v>
                </c:pt>
                <c:pt idx="2">
                  <c:v>67</c:v>
                </c:pt>
                <c:pt idx="3">
                  <c:v>30</c:v>
                </c:pt>
                <c:pt idx="4">
                  <c:v>15</c:v>
                </c:pt>
                <c:pt idx="5">
                  <c:v>8</c:v>
                </c:pt>
                <c:pt idx="6">
                  <c:v>8</c:v>
                </c:pt>
                <c:pt idx="7">
                  <c:v>4</c:v>
                </c:pt>
                <c:pt idx="8">
                  <c:v>3</c:v>
                </c:pt>
                <c:pt idx="9">
                  <c:v>2</c:v>
                </c:pt>
                <c:pt idx="11">
                  <c:v>1</c:v>
                </c:pt>
              </c:numCache>
            </c:numRef>
          </c:val>
          <c:extLst xmlns:c16r2="http://schemas.microsoft.com/office/drawing/2015/06/chart">
            <c:ext xmlns:c16="http://schemas.microsoft.com/office/drawing/2014/chart" uri="{C3380CC4-5D6E-409C-BE32-E72D297353CC}">
              <c16:uniqueId val="{00000000-786F-4F87-93B4-E02AC09465EF}"/>
            </c:ext>
          </c:extLst>
        </c:ser>
        <c:ser>
          <c:idx val="1"/>
          <c:order val="1"/>
          <c:tx>
            <c:strRef>
              <c:f>NC!$C$39</c:f>
              <c:strCache>
                <c:ptCount val="1"/>
                <c:pt idx="0">
                  <c:v>BME 2020</c:v>
                </c:pt>
              </c:strCache>
            </c:strRef>
          </c:tx>
          <c:invertIfNegative val="0"/>
          <c:cat>
            <c:strRef>
              <c:f>NC!$A$40:$A$53</c:f>
              <c:strCache>
                <c:ptCount val="14"/>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pt idx="13">
                  <c:v>Local Payscale</c:v>
                </c:pt>
              </c:strCache>
            </c:strRef>
          </c:cat>
          <c:val>
            <c:numRef>
              <c:f>NC!$C$40:$C$53</c:f>
              <c:numCache>
                <c:formatCode>General</c:formatCode>
                <c:ptCount val="14"/>
                <c:pt idx="0">
                  <c:v>81</c:v>
                </c:pt>
                <c:pt idx="1">
                  <c:v>53</c:v>
                </c:pt>
                <c:pt idx="2">
                  <c:v>44</c:v>
                </c:pt>
                <c:pt idx="3">
                  <c:v>18</c:v>
                </c:pt>
                <c:pt idx="4">
                  <c:v>19</c:v>
                </c:pt>
                <c:pt idx="5">
                  <c:v>8</c:v>
                </c:pt>
                <c:pt idx="6">
                  <c:v>9</c:v>
                </c:pt>
                <c:pt idx="7">
                  <c:v>6</c:v>
                </c:pt>
                <c:pt idx="8">
                  <c:v>3</c:v>
                </c:pt>
                <c:pt idx="9">
                  <c:v>1</c:v>
                </c:pt>
                <c:pt idx="10">
                  <c:v>2</c:v>
                </c:pt>
                <c:pt idx="11">
                  <c:v>1</c:v>
                </c:pt>
                <c:pt idx="12">
                  <c:v>0</c:v>
                </c:pt>
                <c:pt idx="13">
                  <c:v>0</c:v>
                </c:pt>
              </c:numCache>
            </c:numRef>
          </c:val>
          <c:extLst xmlns:c16r2="http://schemas.microsoft.com/office/drawing/2015/06/chart">
            <c:ext xmlns:c16="http://schemas.microsoft.com/office/drawing/2014/chart" uri="{C3380CC4-5D6E-409C-BE32-E72D297353CC}">
              <c16:uniqueId val="{00000001-786F-4F87-93B4-E02AC09465EF}"/>
            </c:ext>
          </c:extLst>
        </c:ser>
        <c:ser>
          <c:idx val="2"/>
          <c:order val="2"/>
          <c:tx>
            <c:strRef>
              <c:f>NC!$D$39</c:f>
              <c:strCache>
                <c:ptCount val="1"/>
                <c:pt idx="0">
                  <c:v>BME 2021</c:v>
                </c:pt>
              </c:strCache>
            </c:strRef>
          </c:tx>
          <c:invertIfNegative val="0"/>
          <c:cat>
            <c:strRef>
              <c:f>NC!$A$40:$A$53</c:f>
              <c:strCache>
                <c:ptCount val="14"/>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pt idx="13">
                  <c:v>Local Payscale</c:v>
                </c:pt>
              </c:strCache>
            </c:strRef>
          </c:cat>
          <c:val>
            <c:numRef>
              <c:f>NC!$D$40:$D$53</c:f>
              <c:numCache>
                <c:formatCode>General</c:formatCode>
                <c:ptCount val="14"/>
                <c:pt idx="0">
                  <c:v>23</c:v>
                </c:pt>
                <c:pt idx="1">
                  <c:v>110</c:v>
                </c:pt>
                <c:pt idx="2">
                  <c:v>55</c:v>
                </c:pt>
                <c:pt idx="3">
                  <c:v>18</c:v>
                </c:pt>
                <c:pt idx="4">
                  <c:v>17</c:v>
                </c:pt>
                <c:pt idx="5">
                  <c:v>8</c:v>
                </c:pt>
                <c:pt idx="6">
                  <c:v>8</c:v>
                </c:pt>
                <c:pt idx="7">
                  <c:v>8</c:v>
                </c:pt>
                <c:pt idx="8">
                  <c:v>3</c:v>
                </c:pt>
                <c:pt idx="9">
                  <c:v>2</c:v>
                </c:pt>
                <c:pt idx="10">
                  <c:v>2</c:v>
                </c:pt>
                <c:pt idx="11">
                  <c:v>1</c:v>
                </c:pt>
                <c:pt idx="12">
                  <c:v>0</c:v>
                </c:pt>
                <c:pt idx="13">
                  <c:v>0</c:v>
                </c:pt>
              </c:numCache>
            </c:numRef>
          </c:val>
          <c:extLst xmlns:c16r2="http://schemas.microsoft.com/office/drawing/2015/06/chart">
            <c:ext xmlns:c16="http://schemas.microsoft.com/office/drawing/2014/chart" uri="{C3380CC4-5D6E-409C-BE32-E72D297353CC}">
              <c16:uniqueId val="{00000002-786F-4F87-93B4-E02AC09465EF}"/>
            </c:ext>
          </c:extLst>
        </c:ser>
        <c:dLbls>
          <c:showLegendKey val="0"/>
          <c:showVal val="0"/>
          <c:showCatName val="0"/>
          <c:showSerName val="0"/>
          <c:showPercent val="0"/>
          <c:showBubbleSize val="0"/>
        </c:dLbls>
        <c:gapWidth val="150"/>
        <c:axId val="136065536"/>
        <c:axId val="606449600"/>
      </c:barChart>
      <c:catAx>
        <c:axId val="136065536"/>
        <c:scaling>
          <c:orientation val="minMax"/>
        </c:scaling>
        <c:delete val="0"/>
        <c:axPos val="b"/>
        <c:numFmt formatCode="General" sourceLinked="0"/>
        <c:majorTickMark val="out"/>
        <c:minorTickMark val="none"/>
        <c:tickLblPos val="nextTo"/>
        <c:crossAx val="606449600"/>
        <c:crosses val="autoZero"/>
        <c:auto val="1"/>
        <c:lblAlgn val="ctr"/>
        <c:lblOffset val="100"/>
        <c:noMultiLvlLbl val="0"/>
      </c:catAx>
      <c:valAx>
        <c:axId val="606449600"/>
        <c:scaling>
          <c:orientation val="minMax"/>
        </c:scaling>
        <c:delete val="0"/>
        <c:axPos val="l"/>
        <c:numFmt formatCode="General" sourceLinked="1"/>
        <c:majorTickMark val="out"/>
        <c:minorTickMark val="none"/>
        <c:tickLblPos val="nextTo"/>
        <c:crossAx val="136065536"/>
        <c:crosses val="autoZero"/>
        <c:crossBetween val="between"/>
      </c:valAx>
      <c:spPr>
        <a:noFill/>
        <a:ln w="25400">
          <a:noFill/>
        </a:ln>
      </c:spPr>
    </c:plotArea>
    <c:legend>
      <c:legendPos val="r"/>
      <c:layout>
        <c:manualLayout>
          <c:xMode val="edge"/>
          <c:yMode val="edge"/>
          <c:x val="0.83724916241098191"/>
          <c:y val="0.12991877069107141"/>
          <c:w val="0.14200003431235186"/>
          <c:h val="0.28712224005482245"/>
        </c:manualLayout>
      </c:layout>
      <c:overlay val="0"/>
    </c:legend>
    <c:plotVisOnly val="1"/>
    <c:dispBlanksAs val="gap"/>
    <c:showDLblsOverMax val="0"/>
  </c:chart>
  <c:spPr>
    <a:ln>
      <a:noFill/>
    </a:ln>
  </c:spPr>
  <c:txPr>
    <a:bodyPr/>
    <a:lstStyle/>
    <a:p>
      <a:pPr>
        <a:defRPr sz="11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'Ethnic origin with apprenticesh'!$A$39</c:f>
              <c:strCache>
                <c:ptCount val="1"/>
                <c:pt idx="0">
                  <c:v>White Staff</c:v>
                </c:pt>
              </c:strCache>
            </c:strRef>
          </c:tx>
          <c:spPr>
            <a:solidFill>
              <a:schemeClr val="accent2"/>
            </a:solidFill>
          </c:spPr>
          <c:invertIfNegative val="0"/>
          <c:cat>
            <c:strRef>
              <c:f>'Ethnic origin with apprenticesh'!$B$38:$D$38</c:f>
              <c:strCache>
                <c:ptCount val="3"/>
                <c:pt idx="0">
                  <c:v>2019 Report</c:v>
                </c:pt>
                <c:pt idx="1">
                  <c:v>2020 Report</c:v>
                </c:pt>
                <c:pt idx="2">
                  <c:v>2021 Report</c:v>
                </c:pt>
              </c:strCache>
            </c:strRef>
          </c:cat>
          <c:val>
            <c:numRef>
              <c:f>'Ethnic origin with apprenticesh'!$B$39:$D$39</c:f>
              <c:numCache>
                <c:formatCode>General</c:formatCode>
                <c:ptCount val="3"/>
                <c:pt idx="0">
                  <c:v>0.75</c:v>
                </c:pt>
                <c:pt idx="1">
                  <c:v>1.37</c:v>
                </c:pt>
                <c:pt idx="2">
                  <c:v>1.07</c:v>
                </c:pt>
              </c:numCache>
            </c:numRef>
          </c:val>
          <c:extLst xmlns:c16r2="http://schemas.microsoft.com/office/drawing/2015/06/chart">
            <c:ext xmlns:c16="http://schemas.microsoft.com/office/drawing/2014/chart" uri="{C3380CC4-5D6E-409C-BE32-E72D297353CC}">
              <c16:uniqueId val="{00000000-E16D-4DEA-B81B-6F8B3C091223}"/>
            </c:ext>
          </c:extLst>
        </c:ser>
        <c:dLbls>
          <c:showLegendKey val="0"/>
          <c:showVal val="0"/>
          <c:showCatName val="0"/>
          <c:showSerName val="0"/>
          <c:showPercent val="0"/>
          <c:showBubbleSize val="0"/>
        </c:dLbls>
        <c:gapWidth val="150"/>
        <c:axId val="668244480"/>
        <c:axId val="667742144"/>
      </c:barChart>
      <c:lineChart>
        <c:grouping val="standard"/>
        <c:varyColors val="0"/>
        <c:ser>
          <c:idx val="1"/>
          <c:order val="1"/>
          <c:tx>
            <c:strRef>
              <c:f>'Ethnic origin with apprenticesh'!$A$40</c:f>
              <c:strCache>
                <c:ptCount val="1"/>
                <c:pt idx="0">
                  <c:v>BME Staff</c:v>
                </c:pt>
              </c:strCache>
            </c:strRef>
          </c:tx>
          <c:spPr>
            <a:ln>
              <a:solidFill>
                <a:schemeClr val="accent1"/>
              </a:solidFill>
            </a:ln>
          </c:spPr>
          <c:marker>
            <c:symbol val="none"/>
          </c:marker>
          <c:cat>
            <c:strRef>
              <c:f>'Ethnic origin with apprenticesh'!$B$38:$D$38</c:f>
              <c:strCache>
                <c:ptCount val="3"/>
                <c:pt idx="0">
                  <c:v>2019 Report</c:v>
                </c:pt>
                <c:pt idx="1">
                  <c:v>2020 Report</c:v>
                </c:pt>
                <c:pt idx="2">
                  <c:v>2021 Report</c:v>
                </c:pt>
              </c:strCache>
            </c:strRef>
          </c:cat>
          <c:val>
            <c:numRef>
              <c:f>'Ethnic origin with apprenticesh'!$B$40:$D$40</c:f>
              <c:numCache>
                <c:formatCode>General</c:formatCode>
                <c:ptCount val="3"/>
                <c:pt idx="0">
                  <c:v>1</c:v>
                </c:pt>
                <c:pt idx="1">
                  <c:v>1</c:v>
                </c:pt>
                <c:pt idx="2">
                  <c:v>1</c:v>
                </c:pt>
              </c:numCache>
            </c:numRef>
          </c:val>
          <c:smooth val="0"/>
          <c:extLst xmlns:c16r2="http://schemas.microsoft.com/office/drawing/2015/06/chart">
            <c:ext xmlns:c16="http://schemas.microsoft.com/office/drawing/2014/chart" uri="{C3380CC4-5D6E-409C-BE32-E72D297353CC}">
              <c16:uniqueId val="{00000001-E16D-4DEA-B81B-6F8B3C091223}"/>
            </c:ext>
          </c:extLst>
        </c:ser>
        <c:ser>
          <c:idx val="2"/>
          <c:order val="2"/>
          <c:tx>
            <c:strRef>
              <c:f>'Ethnic origin with apprenticesh'!$A$41</c:f>
              <c:strCache>
                <c:ptCount val="1"/>
                <c:pt idx="0">
                  <c:v>Upper line - rule of 4/5ths</c:v>
                </c:pt>
              </c:strCache>
            </c:strRef>
          </c:tx>
          <c:spPr>
            <a:ln>
              <a:prstDash val="sysDash"/>
            </a:ln>
          </c:spPr>
          <c:marker>
            <c:symbol val="none"/>
          </c:marker>
          <c:cat>
            <c:strRef>
              <c:f>'Ethnic origin with apprenticesh'!$B$38:$D$38</c:f>
              <c:strCache>
                <c:ptCount val="3"/>
                <c:pt idx="0">
                  <c:v>2019 Report</c:v>
                </c:pt>
                <c:pt idx="1">
                  <c:v>2020 Report</c:v>
                </c:pt>
                <c:pt idx="2">
                  <c:v>2021 Report</c:v>
                </c:pt>
              </c:strCache>
            </c:strRef>
          </c:cat>
          <c:val>
            <c:numRef>
              <c:f>'Ethnic origin with apprenticesh'!$B$41:$D$41</c:f>
              <c:numCache>
                <c:formatCode>General</c:formatCode>
                <c:ptCount val="3"/>
                <c:pt idx="0">
                  <c:v>1.2</c:v>
                </c:pt>
                <c:pt idx="1">
                  <c:v>1.2</c:v>
                </c:pt>
                <c:pt idx="2">
                  <c:v>1.2</c:v>
                </c:pt>
              </c:numCache>
            </c:numRef>
          </c:val>
          <c:smooth val="0"/>
          <c:extLst xmlns:c16r2="http://schemas.microsoft.com/office/drawing/2015/06/chart">
            <c:ext xmlns:c16="http://schemas.microsoft.com/office/drawing/2014/chart" uri="{C3380CC4-5D6E-409C-BE32-E72D297353CC}">
              <c16:uniqueId val="{00000002-E16D-4DEA-B81B-6F8B3C091223}"/>
            </c:ext>
          </c:extLst>
        </c:ser>
        <c:ser>
          <c:idx val="3"/>
          <c:order val="3"/>
          <c:tx>
            <c:strRef>
              <c:f>'Ethnic origin with apprenticesh'!$A$42</c:f>
              <c:strCache>
                <c:ptCount val="1"/>
                <c:pt idx="0">
                  <c:v>Lower line - rule of 4/5ths</c:v>
                </c:pt>
              </c:strCache>
            </c:strRef>
          </c:tx>
          <c:spPr>
            <a:ln>
              <a:prstDash val="sysDot"/>
            </a:ln>
          </c:spPr>
          <c:marker>
            <c:symbol val="none"/>
          </c:marker>
          <c:cat>
            <c:strRef>
              <c:f>'Ethnic origin with apprenticesh'!$B$38:$D$38</c:f>
              <c:strCache>
                <c:ptCount val="3"/>
                <c:pt idx="0">
                  <c:v>2019 Report</c:v>
                </c:pt>
                <c:pt idx="1">
                  <c:v>2020 Report</c:v>
                </c:pt>
                <c:pt idx="2">
                  <c:v>2021 Report</c:v>
                </c:pt>
              </c:strCache>
            </c:strRef>
          </c:cat>
          <c:val>
            <c:numRef>
              <c:f>'Ethnic origin with apprenticesh'!$B$42:$D$42</c:f>
              <c:numCache>
                <c:formatCode>General</c:formatCode>
                <c:ptCount val="3"/>
                <c:pt idx="0">
                  <c:v>0.8</c:v>
                </c:pt>
                <c:pt idx="1">
                  <c:v>0.8</c:v>
                </c:pt>
                <c:pt idx="2">
                  <c:v>0.8</c:v>
                </c:pt>
              </c:numCache>
            </c:numRef>
          </c:val>
          <c:smooth val="0"/>
          <c:extLst xmlns:c16r2="http://schemas.microsoft.com/office/drawing/2015/06/chart">
            <c:ext xmlns:c16="http://schemas.microsoft.com/office/drawing/2014/chart" uri="{C3380CC4-5D6E-409C-BE32-E72D297353CC}">
              <c16:uniqueId val="{00000003-E16D-4DEA-B81B-6F8B3C091223}"/>
            </c:ext>
          </c:extLst>
        </c:ser>
        <c:dLbls>
          <c:showLegendKey val="0"/>
          <c:showVal val="0"/>
          <c:showCatName val="0"/>
          <c:showSerName val="0"/>
          <c:showPercent val="0"/>
          <c:showBubbleSize val="0"/>
        </c:dLbls>
        <c:marker val="1"/>
        <c:smooth val="0"/>
        <c:axId val="668244480"/>
        <c:axId val="667742144"/>
      </c:lineChart>
      <c:catAx>
        <c:axId val="668244480"/>
        <c:scaling>
          <c:orientation val="minMax"/>
        </c:scaling>
        <c:delete val="0"/>
        <c:axPos val="b"/>
        <c:numFmt formatCode="General" sourceLinked="0"/>
        <c:majorTickMark val="out"/>
        <c:minorTickMark val="none"/>
        <c:tickLblPos val="nextTo"/>
        <c:crossAx val="667742144"/>
        <c:crosses val="autoZero"/>
        <c:auto val="1"/>
        <c:lblAlgn val="ctr"/>
        <c:lblOffset val="100"/>
        <c:noMultiLvlLbl val="0"/>
      </c:catAx>
      <c:valAx>
        <c:axId val="667742144"/>
        <c:scaling>
          <c:orientation val="minMax"/>
        </c:scaling>
        <c:delete val="0"/>
        <c:axPos val="l"/>
        <c:numFmt formatCode="General" sourceLinked="1"/>
        <c:majorTickMark val="out"/>
        <c:minorTickMark val="none"/>
        <c:tickLblPos val="nextTo"/>
        <c:crossAx val="668244480"/>
        <c:crosses val="autoZero"/>
        <c:crossBetween val="between"/>
      </c:valAx>
    </c:plotArea>
    <c:legend>
      <c:legendPos val="r"/>
      <c:overlay val="0"/>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028741355179357E-2"/>
          <c:y val="5.4726368159203981E-2"/>
          <c:w val="0.71365530905768448"/>
          <c:h val="0.8273048145101265"/>
        </c:manualLayout>
      </c:layout>
      <c:barChart>
        <c:barDir val="col"/>
        <c:grouping val="clustered"/>
        <c:varyColors val="0"/>
        <c:ser>
          <c:idx val="0"/>
          <c:order val="0"/>
          <c:tx>
            <c:strRef>
              <c:f>'Ind 4'!$A$2</c:f>
              <c:strCache>
                <c:ptCount val="1"/>
                <c:pt idx="0">
                  <c:v>White Staff</c:v>
                </c:pt>
              </c:strCache>
            </c:strRef>
          </c:tx>
          <c:spPr>
            <a:solidFill>
              <a:schemeClr val="accent2"/>
            </a:solidFill>
          </c:spPr>
          <c:invertIfNegative val="0"/>
          <c:cat>
            <c:strRef>
              <c:f>'Ind 4'!$B$1:$D$1</c:f>
              <c:strCache>
                <c:ptCount val="3"/>
                <c:pt idx="0">
                  <c:v>2019 Report</c:v>
                </c:pt>
                <c:pt idx="1">
                  <c:v>2020 Report</c:v>
                </c:pt>
                <c:pt idx="2">
                  <c:v>2021 Report</c:v>
                </c:pt>
              </c:strCache>
            </c:strRef>
          </c:cat>
          <c:val>
            <c:numRef>
              <c:f>'Ind 4'!$B$2:$D$2</c:f>
              <c:numCache>
                <c:formatCode>General</c:formatCode>
                <c:ptCount val="3"/>
                <c:pt idx="0">
                  <c:v>0.9</c:v>
                </c:pt>
                <c:pt idx="1">
                  <c:v>1</c:v>
                </c:pt>
                <c:pt idx="2">
                  <c:v>1.07</c:v>
                </c:pt>
              </c:numCache>
            </c:numRef>
          </c:val>
          <c:extLst xmlns:c16r2="http://schemas.microsoft.com/office/drawing/2015/06/chart">
            <c:ext xmlns:c16="http://schemas.microsoft.com/office/drawing/2014/chart" uri="{C3380CC4-5D6E-409C-BE32-E72D297353CC}">
              <c16:uniqueId val="{00000000-F368-4755-BF77-A6CD9E013107}"/>
            </c:ext>
          </c:extLst>
        </c:ser>
        <c:dLbls>
          <c:showLegendKey val="0"/>
          <c:showVal val="0"/>
          <c:showCatName val="0"/>
          <c:showSerName val="0"/>
          <c:showPercent val="0"/>
          <c:showBubbleSize val="0"/>
        </c:dLbls>
        <c:gapWidth val="150"/>
        <c:axId val="668239360"/>
        <c:axId val="667744448"/>
      </c:barChart>
      <c:lineChart>
        <c:grouping val="standard"/>
        <c:varyColors val="0"/>
        <c:ser>
          <c:idx val="1"/>
          <c:order val="1"/>
          <c:tx>
            <c:strRef>
              <c:f>'Ind 4'!$A$3</c:f>
              <c:strCache>
                <c:ptCount val="1"/>
                <c:pt idx="0">
                  <c:v>BME Staff</c:v>
                </c:pt>
              </c:strCache>
            </c:strRef>
          </c:tx>
          <c:spPr>
            <a:ln>
              <a:solidFill>
                <a:schemeClr val="accent1"/>
              </a:solidFill>
            </a:ln>
          </c:spPr>
          <c:marker>
            <c:symbol val="none"/>
          </c:marker>
          <c:cat>
            <c:strRef>
              <c:f>'Ind 4'!$B$1:$D$1</c:f>
              <c:strCache>
                <c:ptCount val="3"/>
                <c:pt idx="0">
                  <c:v>2019 Report</c:v>
                </c:pt>
                <c:pt idx="1">
                  <c:v>2020 Report</c:v>
                </c:pt>
                <c:pt idx="2">
                  <c:v>2021 Report</c:v>
                </c:pt>
              </c:strCache>
            </c:strRef>
          </c:cat>
          <c:val>
            <c:numRef>
              <c:f>'Ind 4'!$B$3:$D$3</c:f>
              <c:numCache>
                <c:formatCode>General</c:formatCode>
                <c:ptCount val="3"/>
                <c:pt idx="0">
                  <c:v>1</c:v>
                </c:pt>
                <c:pt idx="1">
                  <c:v>1</c:v>
                </c:pt>
                <c:pt idx="2">
                  <c:v>1</c:v>
                </c:pt>
              </c:numCache>
            </c:numRef>
          </c:val>
          <c:smooth val="0"/>
          <c:extLst xmlns:c16r2="http://schemas.microsoft.com/office/drawing/2015/06/chart">
            <c:ext xmlns:c16="http://schemas.microsoft.com/office/drawing/2014/chart" uri="{C3380CC4-5D6E-409C-BE32-E72D297353CC}">
              <c16:uniqueId val="{00000001-F368-4755-BF77-A6CD9E013107}"/>
            </c:ext>
          </c:extLst>
        </c:ser>
        <c:ser>
          <c:idx val="2"/>
          <c:order val="2"/>
          <c:tx>
            <c:strRef>
              <c:f>'Ind 4'!$A$4</c:f>
              <c:strCache>
                <c:ptCount val="1"/>
                <c:pt idx="0">
                  <c:v>Upper line - rule of 4/5ths</c:v>
                </c:pt>
              </c:strCache>
            </c:strRef>
          </c:tx>
          <c:spPr>
            <a:ln>
              <a:solidFill>
                <a:schemeClr val="accent3"/>
              </a:solidFill>
              <a:prstDash val="sysDash"/>
            </a:ln>
          </c:spPr>
          <c:marker>
            <c:symbol val="none"/>
          </c:marker>
          <c:cat>
            <c:strRef>
              <c:f>'Ind 4'!$B$1:$D$1</c:f>
              <c:strCache>
                <c:ptCount val="3"/>
                <c:pt idx="0">
                  <c:v>2019 Report</c:v>
                </c:pt>
                <c:pt idx="1">
                  <c:v>2020 Report</c:v>
                </c:pt>
                <c:pt idx="2">
                  <c:v>2021 Report</c:v>
                </c:pt>
              </c:strCache>
            </c:strRef>
          </c:cat>
          <c:val>
            <c:numRef>
              <c:f>'Ind 4'!$B$4:$D$4</c:f>
              <c:numCache>
                <c:formatCode>General</c:formatCode>
                <c:ptCount val="3"/>
                <c:pt idx="0">
                  <c:v>1.2</c:v>
                </c:pt>
                <c:pt idx="1">
                  <c:v>1.2</c:v>
                </c:pt>
                <c:pt idx="2">
                  <c:v>1.2</c:v>
                </c:pt>
              </c:numCache>
            </c:numRef>
          </c:val>
          <c:smooth val="0"/>
          <c:extLst xmlns:c16r2="http://schemas.microsoft.com/office/drawing/2015/06/chart">
            <c:ext xmlns:c16="http://schemas.microsoft.com/office/drawing/2014/chart" uri="{C3380CC4-5D6E-409C-BE32-E72D297353CC}">
              <c16:uniqueId val="{00000002-F368-4755-BF77-A6CD9E013107}"/>
            </c:ext>
          </c:extLst>
        </c:ser>
        <c:ser>
          <c:idx val="3"/>
          <c:order val="3"/>
          <c:tx>
            <c:strRef>
              <c:f>'Ind 4'!$A$5</c:f>
              <c:strCache>
                <c:ptCount val="1"/>
                <c:pt idx="0">
                  <c:v>Lower line - rule of 4/5ths</c:v>
                </c:pt>
              </c:strCache>
            </c:strRef>
          </c:tx>
          <c:spPr>
            <a:ln>
              <a:prstDash val="sysDot"/>
            </a:ln>
          </c:spPr>
          <c:marker>
            <c:symbol val="none"/>
          </c:marker>
          <c:cat>
            <c:strRef>
              <c:f>'Ind 4'!$B$1:$D$1</c:f>
              <c:strCache>
                <c:ptCount val="3"/>
                <c:pt idx="0">
                  <c:v>2019 Report</c:v>
                </c:pt>
                <c:pt idx="1">
                  <c:v>2020 Report</c:v>
                </c:pt>
                <c:pt idx="2">
                  <c:v>2021 Report</c:v>
                </c:pt>
              </c:strCache>
            </c:strRef>
          </c:cat>
          <c:val>
            <c:numRef>
              <c:f>'Ind 4'!$B$5:$D$5</c:f>
              <c:numCache>
                <c:formatCode>General</c:formatCode>
                <c:ptCount val="3"/>
                <c:pt idx="0">
                  <c:v>0.8</c:v>
                </c:pt>
                <c:pt idx="1">
                  <c:v>0.8</c:v>
                </c:pt>
                <c:pt idx="2">
                  <c:v>0.8</c:v>
                </c:pt>
              </c:numCache>
            </c:numRef>
          </c:val>
          <c:smooth val="0"/>
          <c:extLst xmlns:c16r2="http://schemas.microsoft.com/office/drawing/2015/06/chart">
            <c:ext xmlns:c16="http://schemas.microsoft.com/office/drawing/2014/chart" uri="{C3380CC4-5D6E-409C-BE32-E72D297353CC}">
              <c16:uniqueId val="{00000003-F368-4755-BF77-A6CD9E013107}"/>
            </c:ext>
          </c:extLst>
        </c:ser>
        <c:dLbls>
          <c:showLegendKey val="0"/>
          <c:showVal val="0"/>
          <c:showCatName val="0"/>
          <c:showSerName val="0"/>
          <c:showPercent val="0"/>
          <c:showBubbleSize val="0"/>
        </c:dLbls>
        <c:marker val="1"/>
        <c:smooth val="0"/>
        <c:axId val="668239360"/>
        <c:axId val="667744448"/>
      </c:lineChart>
      <c:catAx>
        <c:axId val="668239360"/>
        <c:scaling>
          <c:orientation val="minMax"/>
        </c:scaling>
        <c:delete val="0"/>
        <c:axPos val="b"/>
        <c:numFmt formatCode="General" sourceLinked="0"/>
        <c:majorTickMark val="out"/>
        <c:minorTickMark val="none"/>
        <c:tickLblPos val="nextTo"/>
        <c:crossAx val="667744448"/>
        <c:crosses val="autoZero"/>
        <c:auto val="1"/>
        <c:lblAlgn val="ctr"/>
        <c:lblOffset val="100"/>
        <c:noMultiLvlLbl val="0"/>
      </c:catAx>
      <c:valAx>
        <c:axId val="667744448"/>
        <c:scaling>
          <c:orientation val="minMax"/>
        </c:scaling>
        <c:delete val="0"/>
        <c:axPos val="l"/>
        <c:numFmt formatCode="General" sourceLinked="1"/>
        <c:majorTickMark val="out"/>
        <c:minorTickMark val="none"/>
        <c:tickLblPos val="nextTo"/>
        <c:crossAx val="668239360"/>
        <c:crosses val="autoZero"/>
        <c:crossBetween val="between"/>
      </c:valAx>
    </c:plotArea>
    <c:legend>
      <c:legendPos val="r"/>
      <c:layout>
        <c:manualLayout>
          <c:xMode val="edge"/>
          <c:yMode val="edge"/>
          <c:x val="0.77668405041286392"/>
          <c:y val="0.20583852391585386"/>
          <c:w val="0.21027813993915689"/>
          <c:h val="0.62314882281505857"/>
        </c:manualLayout>
      </c:layout>
      <c:overlay val="0"/>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872066105201301E-2"/>
          <c:y val="4.3264503441494594E-2"/>
          <c:w val="0.64204573520594332"/>
          <c:h val="0.86347401265107349"/>
        </c:manualLayout>
      </c:layout>
      <c:lineChart>
        <c:grouping val="standard"/>
        <c:varyColors val="0"/>
        <c:ser>
          <c:idx val="0"/>
          <c:order val="0"/>
          <c:tx>
            <c:strRef>
              <c:f>'Indicator 5'!$C$1</c:f>
              <c:strCache>
                <c:ptCount val="1"/>
                <c:pt idx="0">
                  <c:v>BSUH white staff</c:v>
                </c:pt>
              </c:strCache>
            </c:strRef>
          </c:tx>
          <c:marker>
            <c:symbol val="none"/>
          </c:marker>
          <c:cat>
            <c:numRef>
              <c:f>'Indicator 5'!$A$2:$A$4</c:f>
              <c:numCache>
                <c:formatCode>General</c:formatCode>
                <c:ptCount val="3"/>
                <c:pt idx="0">
                  <c:v>2018</c:v>
                </c:pt>
                <c:pt idx="1">
                  <c:v>2019</c:v>
                </c:pt>
                <c:pt idx="2">
                  <c:v>2020</c:v>
                </c:pt>
              </c:numCache>
            </c:numRef>
          </c:cat>
          <c:val>
            <c:numRef>
              <c:f>'Indicator 5'!$C$2:$C$4</c:f>
              <c:numCache>
                <c:formatCode>0.0%</c:formatCode>
                <c:ptCount val="3"/>
                <c:pt idx="0">
                  <c:v>0.30499999999999999</c:v>
                </c:pt>
                <c:pt idx="1">
                  <c:v>0.315</c:v>
                </c:pt>
                <c:pt idx="2">
                  <c:v>0.307</c:v>
                </c:pt>
              </c:numCache>
            </c:numRef>
          </c:val>
          <c:smooth val="0"/>
          <c:extLst xmlns:c16r2="http://schemas.microsoft.com/office/drawing/2015/06/chart">
            <c:ext xmlns:c16="http://schemas.microsoft.com/office/drawing/2014/chart" uri="{C3380CC4-5D6E-409C-BE32-E72D297353CC}">
              <c16:uniqueId val="{00000000-1F66-4FDF-879A-DDA26E88C801}"/>
            </c:ext>
          </c:extLst>
        </c:ser>
        <c:ser>
          <c:idx val="1"/>
          <c:order val="1"/>
          <c:tx>
            <c:strRef>
              <c:f>'Indicator 5'!$F$1</c:f>
              <c:strCache>
                <c:ptCount val="1"/>
                <c:pt idx="0">
                  <c:v>Acute average (white staff)</c:v>
                </c:pt>
              </c:strCache>
            </c:strRef>
          </c:tx>
          <c:spPr>
            <a:ln>
              <a:solidFill>
                <a:schemeClr val="accent1">
                  <a:lumMod val="60000"/>
                  <a:lumOff val="40000"/>
                </a:schemeClr>
              </a:solidFill>
              <a:prstDash val="sysDash"/>
            </a:ln>
          </c:spPr>
          <c:marker>
            <c:symbol val="none"/>
          </c:marker>
          <c:cat>
            <c:numRef>
              <c:f>'Indicator 5'!$A$2:$A$4</c:f>
              <c:numCache>
                <c:formatCode>General</c:formatCode>
                <c:ptCount val="3"/>
                <c:pt idx="0">
                  <c:v>2018</c:v>
                </c:pt>
                <c:pt idx="1">
                  <c:v>2019</c:v>
                </c:pt>
                <c:pt idx="2">
                  <c:v>2020</c:v>
                </c:pt>
              </c:numCache>
            </c:numRef>
          </c:cat>
          <c:val>
            <c:numRef>
              <c:f>'Indicator 5'!$F$2:$F$4</c:f>
              <c:numCache>
                <c:formatCode>0.0%</c:formatCode>
                <c:ptCount val="3"/>
                <c:pt idx="0">
                  <c:v>0.27</c:v>
                </c:pt>
                <c:pt idx="1">
                  <c:v>0.27600000000000002</c:v>
                </c:pt>
                <c:pt idx="2">
                  <c:v>0.254</c:v>
                </c:pt>
              </c:numCache>
            </c:numRef>
          </c:val>
          <c:smooth val="0"/>
          <c:extLst xmlns:c16r2="http://schemas.microsoft.com/office/drawing/2015/06/chart">
            <c:ext xmlns:c16="http://schemas.microsoft.com/office/drawing/2014/chart" uri="{C3380CC4-5D6E-409C-BE32-E72D297353CC}">
              <c16:uniqueId val="{00000001-1F66-4FDF-879A-DDA26E88C801}"/>
            </c:ext>
          </c:extLst>
        </c:ser>
        <c:ser>
          <c:idx val="2"/>
          <c:order val="2"/>
          <c:tx>
            <c:strRef>
              <c:f>'Indicator 5'!$B$1</c:f>
              <c:strCache>
                <c:ptCount val="1"/>
                <c:pt idx="0">
                  <c:v>BSUH BME staff</c:v>
                </c:pt>
              </c:strCache>
            </c:strRef>
          </c:tx>
          <c:marker>
            <c:symbol val="none"/>
          </c:marker>
          <c:cat>
            <c:numRef>
              <c:f>'Indicator 5'!$A$2:$A$4</c:f>
              <c:numCache>
                <c:formatCode>General</c:formatCode>
                <c:ptCount val="3"/>
                <c:pt idx="0">
                  <c:v>2018</c:v>
                </c:pt>
                <c:pt idx="1">
                  <c:v>2019</c:v>
                </c:pt>
                <c:pt idx="2">
                  <c:v>2020</c:v>
                </c:pt>
              </c:numCache>
            </c:numRef>
          </c:cat>
          <c:val>
            <c:numRef>
              <c:f>'Indicator 5'!$B$2:$B$4</c:f>
              <c:numCache>
                <c:formatCode>0.0%</c:formatCode>
                <c:ptCount val="3"/>
                <c:pt idx="0">
                  <c:v>0.35</c:v>
                </c:pt>
                <c:pt idx="1">
                  <c:v>0.38100000000000001</c:v>
                </c:pt>
                <c:pt idx="2">
                  <c:v>0.33700000000000002</c:v>
                </c:pt>
              </c:numCache>
            </c:numRef>
          </c:val>
          <c:smooth val="0"/>
          <c:extLst xmlns:c16r2="http://schemas.microsoft.com/office/drawing/2015/06/chart">
            <c:ext xmlns:c16="http://schemas.microsoft.com/office/drawing/2014/chart" uri="{C3380CC4-5D6E-409C-BE32-E72D297353CC}">
              <c16:uniqueId val="{00000002-1F66-4FDF-879A-DDA26E88C801}"/>
            </c:ext>
          </c:extLst>
        </c:ser>
        <c:ser>
          <c:idx val="3"/>
          <c:order val="3"/>
          <c:tx>
            <c:strRef>
              <c:f>'Indicator 5'!$E$1</c:f>
              <c:strCache>
                <c:ptCount val="1"/>
                <c:pt idx="0">
                  <c:v>Acute Average (BME staff)</c:v>
                </c:pt>
              </c:strCache>
            </c:strRef>
          </c:tx>
          <c:spPr>
            <a:ln>
              <a:solidFill>
                <a:schemeClr val="accent3">
                  <a:lumMod val="60000"/>
                  <a:lumOff val="40000"/>
                </a:schemeClr>
              </a:solidFill>
              <a:prstDash val="sysDot"/>
            </a:ln>
          </c:spPr>
          <c:marker>
            <c:symbol val="none"/>
          </c:marker>
          <c:cat>
            <c:numRef>
              <c:f>'Indicator 5'!$A$2:$A$4</c:f>
              <c:numCache>
                <c:formatCode>General</c:formatCode>
                <c:ptCount val="3"/>
                <c:pt idx="0">
                  <c:v>2018</c:v>
                </c:pt>
                <c:pt idx="1">
                  <c:v>2019</c:v>
                </c:pt>
                <c:pt idx="2">
                  <c:v>2020</c:v>
                </c:pt>
              </c:numCache>
            </c:numRef>
          </c:cat>
          <c:val>
            <c:numRef>
              <c:f>'Indicator 5'!$E$2:$E$4</c:f>
              <c:numCache>
                <c:formatCode>0.0%</c:formatCode>
                <c:ptCount val="3"/>
                <c:pt idx="0">
                  <c:v>0.28899999999999998</c:v>
                </c:pt>
                <c:pt idx="1">
                  <c:v>0.29499999999999998</c:v>
                </c:pt>
                <c:pt idx="2">
                  <c:v>0.28000000000000003</c:v>
                </c:pt>
              </c:numCache>
            </c:numRef>
          </c:val>
          <c:smooth val="0"/>
          <c:extLst xmlns:c16r2="http://schemas.microsoft.com/office/drawing/2015/06/chart">
            <c:ext xmlns:c16="http://schemas.microsoft.com/office/drawing/2014/chart" uri="{C3380CC4-5D6E-409C-BE32-E72D297353CC}">
              <c16:uniqueId val="{00000003-1F66-4FDF-879A-DDA26E88C801}"/>
            </c:ext>
          </c:extLst>
        </c:ser>
        <c:dLbls>
          <c:showLegendKey val="0"/>
          <c:showVal val="0"/>
          <c:showCatName val="0"/>
          <c:showSerName val="0"/>
          <c:showPercent val="0"/>
          <c:showBubbleSize val="0"/>
        </c:dLbls>
        <c:marker val="1"/>
        <c:smooth val="0"/>
        <c:axId val="668238336"/>
        <c:axId val="668164096"/>
      </c:lineChart>
      <c:catAx>
        <c:axId val="668238336"/>
        <c:scaling>
          <c:orientation val="minMax"/>
        </c:scaling>
        <c:delete val="0"/>
        <c:axPos val="b"/>
        <c:numFmt formatCode="General"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668164096"/>
        <c:crosses val="autoZero"/>
        <c:auto val="1"/>
        <c:lblAlgn val="ctr"/>
        <c:lblOffset val="100"/>
        <c:noMultiLvlLbl val="0"/>
      </c:catAx>
      <c:valAx>
        <c:axId val="668164096"/>
        <c:scaling>
          <c:orientation val="minMax"/>
          <c:min val="0.2"/>
        </c:scaling>
        <c:delete val="0"/>
        <c:axPos val="l"/>
        <c:numFmt formatCode="0.0%"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668238336"/>
        <c:crosses val="autoZero"/>
        <c:crossBetween val="between"/>
      </c:valAx>
    </c:plotArea>
    <c:legend>
      <c:legendPos val="r"/>
      <c:overlay val="0"/>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705763779527564E-2"/>
          <c:y val="5.0925925925925923E-2"/>
          <c:w val="0.60555556955380574"/>
          <c:h val="0.83929753572470112"/>
        </c:manualLayout>
      </c:layout>
      <c:lineChart>
        <c:grouping val="standard"/>
        <c:varyColors val="0"/>
        <c:ser>
          <c:idx val="0"/>
          <c:order val="0"/>
          <c:tx>
            <c:strRef>
              <c:f>'Indicator 5'!$C$1</c:f>
              <c:strCache>
                <c:ptCount val="1"/>
                <c:pt idx="0">
                  <c:v>WSHFT white staff</c:v>
                </c:pt>
              </c:strCache>
            </c:strRef>
          </c:tx>
          <c:marker>
            <c:symbol val="none"/>
          </c:marker>
          <c:cat>
            <c:numRef>
              <c:f>'Indicator 5'!$A$2:$A$4</c:f>
              <c:numCache>
                <c:formatCode>General</c:formatCode>
                <c:ptCount val="3"/>
                <c:pt idx="0">
                  <c:v>2018</c:v>
                </c:pt>
                <c:pt idx="1">
                  <c:v>2019</c:v>
                </c:pt>
                <c:pt idx="2">
                  <c:v>2020</c:v>
                </c:pt>
              </c:numCache>
            </c:numRef>
          </c:cat>
          <c:val>
            <c:numRef>
              <c:f>'Indicator 5'!$C$2:$C$4</c:f>
              <c:numCache>
                <c:formatCode>0.0%</c:formatCode>
                <c:ptCount val="3"/>
                <c:pt idx="0">
                  <c:v>0.29199999999999998</c:v>
                </c:pt>
                <c:pt idx="1">
                  <c:v>0.27600000000000002</c:v>
                </c:pt>
                <c:pt idx="2">
                  <c:v>0.28000000000000003</c:v>
                </c:pt>
              </c:numCache>
            </c:numRef>
          </c:val>
          <c:smooth val="0"/>
          <c:extLst xmlns:c16r2="http://schemas.microsoft.com/office/drawing/2015/06/chart">
            <c:ext xmlns:c16="http://schemas.microsoft.com/office/drawing/2014/chart" uri="{C3380CC4-5D6E-409C-BE32-E72D297353CC}">
              <c16:uniqueId val="{00000000-8626-4F61-B89D-189D3C493452}"/>
            </c:ext>
          </c:extLst>
        </c:ser>
        <c:ser>
          <c:idx val="1"/>
          <c:order val="1"/>
          <c:tx>
            <c:strRef>
              <c:f>'Indicator 5'!$F$1</c:f>
              <c:strCache>
                <c:ptCount val="1"/>
                <c:pt idx="0">
                  <c:v>Acute average (white staff)</c:v>
                </c:pt>
              </c:strCache>
            </c:strRef>
          </c:tx>
          <c:spPr>
            <a:ln>
              <a:solidFill>
                <a:schemeClr val="accent1">
                  <a:lumMod val="60000"/>
                  <a:lumOff val="40000"/>
                </a:schemeClr>
              </a:solidFill>
              <a:prstDash val="sysDash"/>
            </a:ln>
          </c:spPr>
          <c:marker>
            <c:symbol val="none"/>
          </c:marker>
          <c:cat>
            <c:numRef>
              <c:f>'Indicator 5'!$A$2:$A$4</c:f>
              <c:numCache>
                <c:formatCode>General</c:formatCode>
                <c:ptCount val="3"/>
                <c:pt idx="0">
                  <c:v>2018</c:v>
                </c:pt>
                <c:pt idx="1">
                  <c:v>2019</c:v>
                </c:pt>
                <c:pt idx="2">
                  <c:v>2020</c:v>
                </c:pt>
              </c:numCache>
            </c:numRef>
          </c:cat>
          <c:val>
            <c:numRef>
              <c:f>'Indicator 5'!$F$2:$F$4</c:f>
              <c:numCache>
                <c:formatCode>0.0%</c:formatCode>
                <c:ptCount val="3"/>
                <c:pt idx="0">
                  <c:v>0.27</c:v>
                </c:pt>
                <c:pt idx="1">
                  <c:v>0.27600000000000002</c:v>
                </c:pt>
                <c:pt idx="2">
                  <c:v>0.254</c:v>
                </c:pt>
              </c:numCache>
            </c:numRef>
          </c:val>
          <c:smooth val="0"/>
          <c:extLst xmlns:c16r2="http://schemas.microsoft.com/office/drawing/2015/06/chart">
            <c:ext xmlns:c16="http://schemas.microsoft.com/office/drawing/2014/chart" uri="{C3380CC4-5D6E-409C-BE32-E72D297353CC}">
              <c16:uniqueId val="{00000001-8626-4F61-B89D-189D3C493452}"/>
            </c:ext>
          </c:extLst>
        </c:ser>
        <c:ser>
          <c:idx val="2"/>
          <c:order val="2"/>
          <c:tx>
            <c:strRef>
              <c:f>'Indicator 5'!$B$1</c:f>
              <c:strCache>
                <c:ptCount val="1"/>
                <c:pt idx="0">
                  <c:v>WSHFT BME staff</c:v>
                </c:pt>
              </c:strCache>
            </c:strRef>
          </c:tx>
          <c:marker>
            <c:symbol val="none"/>
          </c:marker>
          <c:cat>
            <c:numRef>
              <c:f>'Indicator 5'!$A$2:$A$4</c:f>
              <c:numCache>
                <c:formatCode>General</c:formatCode>
                <c:ptCount val="3"/>
                <c:pt idx="0">
                  <c:v>2018</c:v>
                </c:pt>
                <c:pt idx="1">
                  <c:v>2019</c:v>
                </c:pt>
                <c:pt idx="2">
                  <c:v>2020</c:v>
                </c:pt>
              </c:numCache>
            </c:numRef>
          </c:cat>
          <c:val>
            <c:numRef>
              <c:f>'Indicator 5'!$B$2:$B$4</c:f>
              <c:numCache>
                <c:formatCode>0.0%</c:formatCode>
                <c:ptCount val="3"/>
                <c:pt idx="0">
                  <c:v>0.36099999999999999</c:v>
                </c:pt>
                <c:pt idx="1">
                  <c:v>0.378</c:v>
                </c:pt>
                <c:pt idx="2">
                  <c:v>0.33500000000000002</c:v>
                </c:pt>
              </c:numCache>
            </c:numRef>
          </c:val>
          <c:smooth val="0"/>
          <c:extLst xmlns:c16r2="http://schemas.microsoft.com/office/drawing/2015/06/chart">
            <c:ext xmlns:c16="http://schemas.microsoft.com/office/drawing/2014/chart" uri="{C3380CC4-5D6E-409C-BE32-E72D297353CC}">
              <c16:uniqueId val="{00000002-8626-4F61-B89D-189D3C493452}"/>
            </c:ext>
          </c:extLst>
        </c:ser>
        <c:ser>
          <c:idx val="3"/>
          <c:order val="3"/>
          <c:tx>
            <c:strRef>
              <c:f>'Indicator 5'!$E$1</c:f>
              <c:strCache>
                <c:ptCount val="1"/>
                <c:pt idx="0">
                  <c:v>Acute Average (BME staff)</c:v>
                </c:pt>
              </c:strCache>
            </c:strRef>
          </c:tx>
          <c:spPr>
            <a:ln>
              <a:solidFill>
                <a:schemeClr val="accent3">
                  <a:lumMod val="60000"/>
                  <a:lumOff val="40000"/>
                </a:schemeClr>
              </a:solidFill>
              <a:prstDash val="sysDot"/>
            </a:ln>
          </c:spPr>
          <c:marker>
            <c:symbol val="none"/>
          </c:marker>
          <c:cat>
            <c:numRef>
              <c:f>'Indicator 5'!$A$2:$A$4</c:f>
              <c:numCache>
                <c:formatCode>General</c:formatCode>
                <c:ptCount val="3"/>
                <c:pt idx="0">
                  <c:v>2018</c:v>
                </c:pt>
                <c:pt idx="1">
                  <c:v>2019</c:v>
                </c:pt>
                <c:pt idx="2">
                  <c:v>2020</c:v>
                </c:pt>
              </c:numCache>
            </c:numRef>
          </c:cat>
          <c:val>
            <c:numRef>
              <c:f>'Indicator 5'!$E$2:$E$4</c:f>
              <c:numCache>
                <c:formatCode>0.0%</c:formatCode>
                <c:ptCount val="3"/>
                <c:pt idx="0">
                  <c:v>0.28899999999999998</c:v>
                </c:pt>
                <c:pt idx="1">
                  <c:v>0.29499999999999998</c:v>
                </c:pt>
                <c:pt idx="2">
                  <c:v>0.28000000000000003</c:v>
                </c:pt>
              </c:numCache>
            </c:numRef>
          </c:val>
          <c:smooth val="0"/>
          <c:extLst xmlns:c16r2="http://schemas.microsoft.com/office/drawing/2015/06/chart">
            <c:ext xmlns:c16="http://schemas.microsoft.com/office/drawing/2014/chart" uri="{C3380CC4-5D6E-409C-BE32-E72D297353CC}">
              <c16:uniqueId val="{00000003-8626-4F61-B89D-189D3C493452}"/>
            </c:ext>
          </c:extLst>
        </c:ser>
        <c:dLbls>
          <c:showLegendKey val="0"/>
          <c:showVal val="0"/>
          <c:showCatName val="0"/>
          <c:showSerName val="0"/>
          <c:showPercent val="0"/>
          <c:showBubbleSize val="0"/>
        </c:dLbls>
        <c:marker val="1"/>
        <c:smooth val="0"/>
        <c:axId val="668238848"/>
        <c:axId val="668165824"/>
      </c:lineChart>
      <c:catAx>
        <c:axId val="668238848"/>
        <c:scaling>
          <c:orientation val="minMax"/>
        </c:scaling>
        <c:delete val="0"/>
        <c:axPos val="b"/>
        <c:numFmt formatCode="General"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668165824"/>
        <c:crosses val="autoZero"/>
        <c:auto val="1"/>
        <c:lblAlgn val="ctr"/>
        <c:lblOffset val="100"/>
        <c:noMultiLvlLbl val="0"/>
      </c:catAx>
      <c:valAx>
        <c:axId val="668165824"/>
        <c:scaling>
          <c:orientation val="minMax"/>
          <c:min val="0.2"/>
        </c:scaling>
        <c:delete val="0"/>
        <c:axPos val="l"/>
        <c:numFmt formatCode="0.0%"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668238848"/>
        <c:crosses val="autoZero"/>
        <c:crossBetween val="between"/>
      </c:valAx>
    </c:plotArea>
    <c:legend>
      <c:legendPos val="r"/>
      <c:layout>
        <c:manualLayout>
          <c:xMode val="edge"/>
          <c:yMode val="edge"/>
          <c:x val="0.65346133333333334"/>
          <c:y val="0.15682195975503063"/>
          <c:w val="0.33373866666666668"/>
          <c:h val="0.64005978419364251"/>
        </c:manualLayout>
      </c:layout>
      <c:overlay val="0"/>
      <c:txPr>
        <a:bodyPr/>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'Indicator 6'!$C$1</c:f>
              <c:strCache>
                <c:ptCount val="1"/>
                <c:pt idx="0">
                  <c:v>BSUH white staff</c:v>
                </c:pt>
              </c:strCache>
            </c:strRef>
          </c:tx>
          <c:marker>
            <c:symbol val="none"/>
          </c:marker>
          <c:cat>
            <c:numRef>
              <c:f>'Indicator 6'!$A$2:$A$4</c:f>
              <c:numCache>
                <c:formatCode>General</c:formatCode>
                <c:ptCount val="3"/>
                <c:pt idx="0">
                  <c:v>2018</c:v>
                </c:pt>
                <c:pt idx="1">
                  <c:v>2019</c:v>
                </c:pt>
                <c:pt idx="2">
                  <c:v>2020</c:v>
                </c:pt>
              </c:numCache>
            </c:numRef>
          </c:cat>
          <c:val>
            <c:numRef>
              <c:f>'Indicator 6'!$C$2:$C$4</c:f>
              <c:numCache>
                <c:formatCode>0.0%</c:formatCode>
                <c:ptCount val="3"/>
                <c:pt idx="0">
                  <c:v>0.26300000000000001</c:v>
                </c:pt>
                <c:pt idx="1">
                  <c:v>0.247</c:v>
                </c:pt>
                <c:pt idx="2">
                  <c:v>0.254</c:v>
                </c:pt>
              </c:numCache>
            </c:numRef>
          </c:val>
          <c:smooth val="0"/>
          <c:extLst xmlns:c16r2="http://schemas.microsoft.com/office/drawing/2015/06/chart">
            <c:ext xmlns:c16="http://schemas.microsoft.com/office/drawing/2014/chart" uri="{C3380CC4-5D6E-409C-BE32-E72D297353CC}">
              <c16:uniqueId val="{00000000-4C54-4FE4-A431-CA4AA28CFF82}"/>
            </c:ext>
          </c:extLst>
        </c:ser>
        <c:ser>
          <c:idx val="1"/>
          <c:order val="1"/>
          <c:tx>
            <c:strRef>
              <c:f>'Indicator 6'!$F$1</c:f>
              <c:strCache>
                <c:ptCount val="1"/>
                <c:pt idx="0">
                  <c:v>Acute average (white staff)</c:v>
                </c:pt>
              </c:strCache>
            </c:strRef>
          </c:tx>
          <c:spPr>
            <a:ln>
              <a:solidFill>
                <a:schemeClr val="accent1"/>
              </a:solidFill>
              <a:prstDash val="sysDash"/>
            </a:ln>
          </c:spPr>
          <c:marker>
            <c:symbol val="none"/>
          </c:marker>
          <c:cat>
            <c:numRef>
              <c:f>'Indicator 6'!$A$2:$A$4</c:f>
              <c:numCache>
                <c:formatCode>General</c:formatCode>
                <c:ptCount val="3"/>
                <c:pt idx="0">
                  <c:v>2018</c:v>
                </c:pt>
                <c:pt idx="1">
                  <c:v>2019</c:v>
                </c:pt>
                <c:pt idx="2">
                  <c:v>2020</c:v>
                </c:pt>
              </c:numCache>
            </c:numRef>
          </c:cat>
          <c:val>
            <c:numRef>
              <c:f>'Indicator 6'!$F$2:$F$4</c:f>
              <c:numCache>
                <c:formatCode>0.0%</c:formatCode>
                <c:ptCount val="3"/>
                <c:pt idx="0">
                  <c:v>0.249</c:v>
                </c:pt>
                <c:pt idx="1">
                  <c:v>0.245</c:v>
                </c:pt>
                <c:pt idx="2">
                  <c:v>0.24399999999999999</c:v>
                </c:pt>
              </c:numCache>
            </c:numRef>
          </c:val>
          <c:smooth val="0"/>
          <c:extLst xmlns:c16r2="http://schemas.microsoft.com/office/drawing/2015/06/chart">
            <c:ext xmlns:c16="http://schemas.microsoft.com/office/drawing/2014/chart" uri="{C3380CC4-5D6E-409C-BE32-E72D297353CC}">
              <c16:uniqueId val="{00000001-4C54-4FE4-A431-CA4AA28CFF82}"/>
            </c:ext>
          </c:extLst>
        </c:ser>
        <c:ser>
          <c:idx val="2"/>
          <c:order val="2"/>
          <c:tx>
            <c:strRef>
              <c:f>'Indicator 6'!$B$1</c:f>
              <c:strCache>
                <c:ptCount val="1"/>
                <c:pt idx="0">
                  <c:v>BSUH BME staff</c:v>
                </c:pt>
              </c:strCache>
            </c:strRef>
          </c:tx>
          <c:marker>
            <c:symbol val="none"/>
          </c:marker>
          <c:cat>
            <c:numRef>
              <c:f>'Indicator 6'!$A$2:$A$4</c:f>
              <c:numCache>
                <c:formatCode>General</c:formatCode>
                <c:ptCount val="3"/>
                <c:pt idx="0">
                  <c:v>2018</c:v>
                </c:pt>
                <c:pt idx="1">
                  <c:v>2019</c:v>
                </c:pt>
                <c:pt idx="2">
                  <c:v>2020</c:v>
                </c:pt>
              </c:numCache>
            </c:numRef>
          </c:cat>
          <c:val>
            <c:numRef>
              <c:f>'Indicator 6'!$B$2:$B$4</c:f>
              <c:numCache>
                <c:formatCode>0.0%</c:formatCode>
                <c:ptCount val="3"/>
                <c:pt idx="0">
                  <c:v>0.30399999999999999</c:v>
                </c:pt>
                <c:pt idx="1">
                  <c:v>0.253</c:v>
                </c:pt>
                <c:pt idx="2">
                  <c:v>0.26800000000000002</c:v>
                </c:pt>
              </c:numCache>
            </c:numRef>
          </c:val>
          <c:smooth val="0"/>
          <c:extLst xmlns:c16r2="http://schemas.microsoft.com/office/drawing/2015/06/chart">
            <c:ext xmlns:c16="http://schemas.microsoft.com/office/drawing/2014/chart" uri="{C3380CC4-5D6E-409C-BE32-E72D297353CC}">
              <c16:uniqueId val="{00000002-4C54-4FE4-A431-CA4AA28CFF82}"/>
            </c:ext>
          </c:extLst>
        </c:ser>
        <c:ser>
          <c:idx val="3"/>
          <c:order val="3"/>
          <c:tx>
            <c:strRef>
              <c:f>'Indicator 6'!$E$1</c:f>
              <c:strCache>
                <c:ptCount val="1"/>
                <c:pt idx="0">
                  <c:v>Acute Average (BME staff)</c:v>
                </c:pt>
              </c:strCache>
            </c:strRef>
          </c:tx>
          <c:spPr>
            <a:ln>
              <a:solidFill>
                <a:schemeClr val="accent3"/>
              </a:solidFill>
              <a:prstDash val="sysDot"/>
            </a:ln>
          </c:spPr>
          <c:marker>
            <c:symbol val="none"/>
          </c:marker>
          <c:cat>
            <c:numRef>
              <c:f>'Indicator 6'!$A$2:$A$4</c:f>
              <c:numCache>
                <c:formatCode>General</c:formatCode>
                <c:ptCount val="3"/>
                <c:pt idx="0">
                  <c:v>2018</c:v>
                </c:pt>
                <c:pt idx="1">
                  <c:v>2019</c:v>
                </c:pt>
                <c:pt idx="2">
                  <c:v>2020</c:v>
                </c:pt>
              </c:numCache>
            </c:numRef>
          </c:cat>
          <c:val>
            <c:numRef>
              <c:f>'Indicator 6'!$E$2:$E$4</c:f>
              <c:numCache>
                <c:formatCode>0.0%</c:formatCode>
                <c:ptCount val="3"/>
                <c:pt idx="0">
                  <c:v>0.28699999999999998</c:v>
                </c:pt>
                <c:pt idx="1">
                  <c:v>0.28599999999999998</c:v>
                </c:pt>
                <c:pt idx="2">
                  <c:v>0.29099999999999998</c:v>
                </c:pt>
              </c:numCache>
            </c:numRef>
          </c:val>
          <c:smooth val="0"/>
          <c:extLst xmlns:c16r2="http://schemas.microsoft.com/office/drawing/2015/06/chart">
            <c:ext xmlns:c16="http://schemas.microsoft.com/office/drawing/2014/chart" uri="{C3380CC4-5D6E-409C-BE32-E72D297353CC}">
              <c16:uniqueId val="{00000003-4C54-4FE4-A431-CA4AA28CFF82}"/>
            </c:ext>
          </c:extLst>
        </c:ser>
        <c:dLbls>
          <c:showLegendKey val="0"/>
          <c:showVal val="0"/>
          <c:showCatName val="0"/>
          <c:showSerName val="0"/>
          <c:showPercent val="0"/>
          <c:showBubbleSize val="0"/>
        </c:dLbls>
        <c:marker val="1"/>
        <c:smooth val="0"/>
        <c:axId val="668240896"/>
        <c:axId val="668167552"/>
      </c:lineChart>
      <c:catAx>
        <c:axId val="668240896"/>
        <c:scaling>
          <c:orientation val="minMax"/>
        </c:scaling>
        <c:delete val="0"/>
        <c:axPos val="b"/>
        <c:numFmt formatCode="General"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668167552"/>
        <c:crosses val="autoZero"/>
        <c:auto val="1"/>
        <c:lblAlgn val="ctr"/>
        <c:lblOffset val="100"/>
        <c:noMultiLvlLbl val="0"/>
      </c:catAx>
      <c:valAx>
        <c:axId val="668167552"/>
        <c:scaling>
          <c:orientation val="minMax"/>
          <c:min val="0.2"/>
        </c:scaling>
        <c:delete val="0"/>
        <c:axPos val="l"/>
        <c:numFmt formatCode="0.0%"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668240896"/>
        <c:crosses val="autoZero"/>
        <c:crossBetween val="between"/>
      </c:valAx>
    </c:plotArea>
    <c:legend>
      <c:legendPos val="r"/>
      <c:overlay val="0"/>
      <c:txPr>
        <a:bodyPr/>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'Indicator 6'!$C$1</c:f>
              <c:strCache>
                <c:ptCount val="1"/>
                <c:pt idx="0">
                  <c:v>WSHFT white staff</c:v>
                </c:pt>
              </c:strCache>
            </c:strRef>
          </c:tx>
          <c:marker>
            <c:symbol val="none"/>
          </c:marker>
          <c:cat>
            <c:numRef>
              <c:f>'Indicator 6'!$A$2:$A$4</c:f>
              <c:numCache>
                <c:formatCode>General</c:formatCode>
                <c:ptCount val="3"/>
                <c:pt idx="0">
                  <c:v>2018</c:v>
                </c:pt>
                <c:pt idx="1">
                  <c:v>2019</c:v>
                </c:pt>
                <c:pt idx="2">
                  <c:v>2020</c:v>
                </c:pt>
              </c:numCache>
            </c:numRef>
          </c:cat>
          <c:val>
            <c:numRef>
              <c:f>'Indicator 6'!$C$2:$C$4</c:f>
              <c:numCache>
                <c:formatCode>0.0%</c:formatCode>
                <c:ptCount val="3"/>
                <c:pt idx="0">
                  <c:v>0.22900000000000001</c:v>
                </c:pt>
                <c:pt idx="1">
                  <c:v>0.24</c:v>
                </c:pt>
                <c:pt idx="2">
                  <c:v>0.245</c:v>
                </c:pt>
              </c:numCache>
            </c:numRef>
          </c:val>
          <c:smooth val="0"/>
          <c:extLst xmlns:c16r2="http://schemas.microsoft.com/office/drawing/2015/06/chart">
            <c:ext xmlns:c16="http://schemas.microsoft.com/office/drawing/2014/chart" uri="{C3380CC4-5D6E-409C-BE32-E72D297353CC}">
              <c16:uniqueId val="{00000000-ECB2-4056-B77E-D15112308A0C}"/>
            </c:ext>
          </c:extLst>
        </c:ser>
        <c:ser>
          <c:idx val="1"/>
          <c:order val="1"/>
          <c:tx>
            <c:strRef>
              <c:f>'Indicator 6'!$F$1</c:f>
              <c:strCache>
                <c:ptCount val="1"/>
                <c:pt idx="0">
                  <c:v>Acute average (white staff)</c:v>
                </c:pt>
              </c:strCache>
            </c:strRef>
          </c:tx>
          <c:spPr>
            <a:ln>
              <a:solidFill>
                <a:schemeClr val="accent1">
                  <a:lumMod val="60000"/>
                  <a:lumOff val="40000"/>
                </a:schemeClr>
              </a:solidFill>
              <a:prstDash val="sysDash"/>
            </a:ln>
          </c:spPr>
          <c:marker>
            <c:symbol val="none"/>
          </c:marker>
          <c:cat>
            <c:numRef>
              <c:f>'Indicator 6'!$A$2:$A$4</c:f>
              <c:numCache>
                <c:formatCode>General</c:formatCode>
                <c:ptCount val="3"/>
                <c:pt idx="0">
                  <c:v>2018</c:v>
                </c:pt>
                <c:pt idx="1">
                  <c:v>2019</c:v>
                </c:pt>
                <c:pt idx="2">
                  <c:v>2020</c:v>
                </c:pt>
              </c:numCache>
            </c:numRef>
          </c:cat>
          <c:val>
            <c:numRef>
              <c:f>'Indicator 6'!$F$2:$F$4</c:f>
              <c:numCache>
                <c:formatCode>0.0%</c:formatCode>
                <c:ptCount val="3"/>
                <c:pt idx="0">
                  <c:v>0.249</c:v>
                </c:pt>
                <c:pt idx="1">
                  <c:v>0.245</c:v>
                </c:pt>
                <c:pt idx="2">
                  <c:v>0.24399999999999999</c:v>
                </c:pt>
              </c:numCache>
            </c:numRef>
          </c:val>
          <c:smooth val="0"/>
          <c:extLst xmlns:c16r2="http://schemas.microsoft.com/office/drawing/2015/06/chart">
            <c:ext xmlns:c16="http://schemas.microsoft.com/office/drawing/2014/chart" uri="{C3380CC4-5D6E-409C-BE32-E72D297353CC}">
              <c16:uniqueId val="{00000001-ECB2-4056-B77E-D15112308A0C}"/>
            </c:ext>
          </c:extLst>
        </c:ser>
        <c:ser>
          <c:idx val="2"/>
          <c:order val="2"/>
          <c:tx>
            <c:strRef>
              <c:f>'Indicator 6'!$B$1</c:f>
              <c:strCache>
                <c:ptCount val="1"/>
                <c:pt idx="0">
                  <c:v>WSHFT BME staff</c:v>
                </c:pt>
              </c:strCache>
            </c:strRef>
          </c:tx>
          <c:marker>
            <c:symbol val="none"/>
          </c:marker>
          <c:cat>
            <c:numRef>
              <c:f>'Indicator 6'!$A$2:$A$4</c:f>
              <c:numCache>
                <c:formatCode>General</c:formatCode>
                <c:ptCount val="3"/>
                <c:pt idx="0">
                  <c:v>2018</c:v>
                </c:pt>
                <c:pt idx="1">
                  <c:v>2019</c:v>
                </c:pt>
                <c:pt idx="2">
                  <c:v>2020</c:v>
                </c:pt>
              </c:numCache>
            </c:numRef>
          </c:cat>
          <c:val>
            <c:numRef>
              <c:f>'Indicator 6'!$B$2:$B$4</c:f>
              <c:numCache>
                <c:formatCode>0.0%</c:formatCode>
                <c:ptCount val="3"/>
                <c:pt idx="0">
                  <c:v>0.249</c:v>
                </c:pt>
                <c:pt idx="1">
                  <c:v>0.249</c:v>
                </c:pt>
                <c:pt idx="2">
                  <c:v>0.24199999999999999</c:v>
                </c:pt>
              </c:numCache>
            </c:numRef>
          </c:val>
          <c:smooth val="0"/>
          <c:extLst xmlns:c16r2="http://schemas.microsoft.com/office/drawing/2015/06/chart">
            <c:ext xmlns:c16="http://schemas.microsoft.com/office/drawing/2014/chart" uri="{C3380CC4-5D6E-409C-BE32-E72D297353CC}">
              <c16:uniqueId val="{00000002-ECB2-4056-B77E-D15112308A0C}"/>
            </c:ext>
          </c:extLst>
        </c:ser>
        <c:ser>
          <c:idx val="3"/>
          <c:order val="3"/>
          <c:tx>
            <c:strRef>
              <c:f>'Indicator 6'!$E$1</c:f>
              <c:strCache>
                <c:ptCount val="1"/>
                <c:pt idx="0">
                  <c:v>Acute Average (BME staff)</c:v>
                </c:pt>
              </c:strCache>
            </c:strRef>
          </c:tx>
          <c:spPr>
            <a:ln>
              <a:solidFill>
                <a:schemeClr val="accent3">
                  <a:lumMod val="60000"/>
                  <a:lumOff val="40000"/>
                </a:schemeClr>
              </a:solidFill>
              <a:prstDash val="sysDot"/>
            </a:ln>
          </c:spPr>
          <c:marker>
            <c:symbol val="none"/>
          </c:marker>
          <c:cat>
            <c:numRef>
              <c:f>'Indicator 6'!$A$2:$A$4</c:f>
              <c:numCache>
                <c:formatCode>General</c:formatCode>
                <c:ptCount val="3"/>
                <c:pt idx="0">
                  <c:v>2018</c:v>
                </c:pt>
                <c:pt idx="1">
                  <c:v>2019</c:v>
                </c:pt>
                <c:pt idx="2">
                  <c:v>2020</c:v>
                </c:pt>
              </c:numCache>
            </c:numRef>
          </c:cat>
          <c:val>
            <c:numRef>
              <c:f>'Indicator 6'!$E$2:$E$4</c:f>
              <c:numCache>
                <c:formatCode>0.0%</c:formatCode>
                <c:ptCount val="3"/>
                <c:pt idx="0">
                  <c:v>0.28699999999999998</c:v>
                </c:pt>
                <c:pt idx="1">
                  <c:v>0.28599999999999998</c:v>
                </c:pt>
                <c:pt idx="2">
                  <c:v>0.29099999999999998</c:v>
                </c:pt>
              </c:numCache>
            </c:numRef>
          </c:val>
          <c:smooth val="0"/>
          <c:extLst xmlns:c16r2="http://schemas.microsoft.com/office/drawing/2015/06/chart">
            <c:ext xmlns:c16="http://schemas.microsoft.com/office/drawing/2014/chart" uri="{C3380CC4-5D6E-409C-BE32-E72D297353CC}">
              <c16:uniqueId val="{00000003-ECB2-4056-B77E-D15112308A0C}"/>
            </c:ext>
          </c:extLst>
        </c:ser>
        <c:dLbls>
          <c:showLegendKey val="0"/>
          <c:showVal val="0"/>
          <c:showCatName val="0"/>
          <c:showSerName val="0"/>
          <c:showPercent val="0"/>
          <c:showBubbleSize val="0"/>
        </c:dLbls>
        <c:marker val="1"/>
        <c:smooth val="0"/>
        <c:axId val="668241408"/>
        <c:axId val="668169280"/>
      </c:lineChart>
      <c:catAx>
        <c:axId val="668241408"/>
        <c:scaling>
          <c:orientation val="minMax"/>
        </c:scaling>
        <c:delete val="0"/>
        <c:axPos val="b"/>
        <c:numFmt formatCode="General"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668169280"/>
        <c:crosses val="autoZero"/>
        <c:auto val="1"/>
        <c:lblAlgn val="ctr"/>
        <c:lblOffset val="100"/>
        <c:noMultiLvlLbl val="0"/>
      </c:catAx>
      <c:valAx>
        <c:axId val="668169280"/>
        <c:scaling>
          <c:orientation val="minMax"/>
          <c:min val="0.2"/>
        </c:scaling>
        <c:delete val="0"/>
        <c:axPos val="l"/>
        <c:numFmt formatCode="0.0%"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668241408"/>
        <c:crosses val="autoZero"/>
        <c:crossBetween val="between"/>
      </c:valAx>
    </c:plotArea>
    <c:legend>
      <c:legendPos val="r"/>
      <c:layout>
        <c:manualLayout>
          <c:xMode val="edge"/>
          <c:yMode val="edge"/>
          <c:x val="0.64166666666666672"/>
          <c:y val="0.13771799358413531"/>
          <c:w val="0.34166666666666667"/>
          <c:h val="0.62271216097987747"/>
        </c:manualLayout>
      </c:layout>
      <c:overlay val="0"/>
      <c:txPr>
        <a:bodyPr/>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'Indicator 7'!$C$1</c:f>
              <c:strCache>
                <c:ptCount val="1"/>
                <c:pt idx="0">
                  <c:v>BSUH white staff</c:v>
                </c:pt>
              </c:strCache>
            </c:strRef>
          </c:tx>
          <c:marker>
            <c:symbol val="none"/>
          </c:marker>
          <c:cat>
            <c:numRef>
              <c:f>'Indicator 7'!$A$2:$A$4</c:f>
              <c:numCache>
                <c:formatCode>General</c:formatCode>
                <c:ptCount val="3"/>
                <c:pt idx="0">
                  <c:v>2018</c:v>
                </c:pt>
                <c:pt idx="1">
                  <c:v>2019</c:v>
                </c:pt>
                <c:pt idx="2">
                  <c:v>2020</c:v>
                </c:pt>
              </c:numCache>
            </c:numRef>
          </c:cat>
          <c:val>
            <c:numRef>
              <c:f>'Indicator 7'!$C$2:$C$4</c:f>
              <c:numCache>
                <c:formatCode>0.0%</c:formatCode>
                <c:ptCount val="3"/>
                <c:pt idx="0">
                  <c:v>0.876</c:v>
                </c:pt>
                <c:pt idx="1">
                  <c:v>0.875</c:v>
                </c:pt>
                <c:pt idx="2">
                  <c:v>0.85699999999999998</c:v>
                </c:pt>
              </c:numCache>
            </c:numRef>
          </c:val>
          <c:smooth val="0"/>
          <c:extLst xmlns:c16r2="http://schemas.microsoft.com/office/drawing/2015/06/chart">
            <c:ext xmlns:c16="http://schemas.microsoft.com/office/drawing/2014/chart" uri="{C3380CC4-5D6E-409C-BE32-E72D297353CC}">
              <c16:uniqueId val="{00000000-4940-439B-80B8-E893700DD432}"/>
            </c:ext>
          </c:extLst>
        </c:ser>
        <c:ser>
          <c:idx val="1"/>
          <c:order val="1"/>
          <c:tx>
            <c:strRef>
              <c:f>'Indicator 7'!$F$1</c:f>
              <c:strCache>
                <c:ptCount val="1"/>
                <c:pt idx="0">
                  <c:v>Acute average (white staff)</c:v>
                </c:pt>
              </c:strCache>
            </c:strRef>
          </c:tx>
          <c:spPr>
            <a:ln>
              <a:solidFill>
                <a:schemeClr val="accent1">
                  <a:lumMod val="40000"/>
                  <a:lumOff val="60000"/>
                </a:schemeClr>
              </a:solidFill>
              <a:prstDash val="sysDash"/>
            </a:ln>
          </c:spPr>
          <c:marker>
            <c:symbol val="none"/>
          </c:marker>
          <c:cat>
            <c:numRef>
              <c:f>'Indicator 7'!$A$2:$A$4</c:f>
              <c:numCache>
                <c:formatCode>General</c:formatCode>
                <c:ptCount val="3"/>
                <c:pt idx="0">
                  <c:v>2018</c:v>
                </c:pt>
                <c:pt idx="1">
                  <c:v>2019</c:v>
                </c:pt>
                <c:pt idx="2">
                  <c:v>2020</c:v>
                </c:pt>
              </c:numCache>
            </c:numRef>
          </c:cat>
          <c:val>
            <c:numRef>
              <c:f>'Indicator 7'!$F$2:$F$4</c:f>
              <c:numCache>
                <c:formatCode>0.0%</c:formatCode>
                <c:ptCount val="3"/>
                <c:pt idx="0">
                  <c:v>0.86799999999999999</c:v>
                </c:pt>
                <c:pt idx="1">
                  <c:v>0.872</c:v>
                </c:pt>
                <c:pt idx="2">
                  <c:v>0.877</c:v>
                </c:pt>
              </c:numCache>
            </c:numRef>
          </c:val>
          <c:smooth val="0"/>
          <c:extLst xmlns:c16r2="http://schemas.microsoft.com/office/drawing/2015/06/chart">
            <c:ext xmlns:c16="http://schemas.microsoft.com/office/drawing/2014/chart" uri="{C3380CC4-5D6E-409C-BE32-E72D297353CC}">
              <c16:uniqueId val="{00000001-4940-439B-80B8-E893700DD432}"/>
            </c:ext>
          </c:extLst>
        </c:ser>
        <c:ser>
          <c:idx val="2"/>
          <c:order val="2"/>
          <c:tx>
            <c:strRef>
              <c:f>'Indicator 7'!$B$1</c:f>
              <c:strCache>
                <c:ptCount val="1"/>
                <c:pt idx="0">
                  <c:v>BSUH BME staff</c:v>
                </c:pt>
              </c:strCache>
            </c:strRef>
          </c:tx>
          <c:marker>
            <c:symbol val="none"/>
          </c:marker>
          <c:cat>
            <c:numRef>
              <c:f>'Indicator 7'!$A$2:$A$4</c:f>
              <c:numCache>
                <c:formatCode>General</c:formatCode>
                <c:ptCount val="3"/>
                <c:pt idx="0">
                  <c:v>2018</c:v>
                </c:pt>
                <c:pt idx="1">
                  <c:v>2019</c:v>
                </c:pt>
                <c:pt idx="2">
                  <c:v>2020</c:v>
                </c:pt>
              </c:numCache>
            </c:numRef>
          </c:cat>
          <c:val>
            <c:numRef>
              <c:f>'Indicator 7'!$B$2:$B$4</c:f>
              <c:numCache>
                <c:formatCode>0.0%</c:formatCode>
                <c:ptCount val="3"/>
                <c:pt idx="0">
                  <c:v>0.72299999999999998</c:v>
                </c:pt>
                <c:pt idx="1">
                  <c:v>0.74099999999999999</c:v>
                </c:pt>
                <c:pt idx="2">
                  <c:v>0.71599999999999997</c:v>
                </c:pt>
              </c:numCache>
            </c:numRef>
          </c:val>
          <c:smooth val="0"/>
          <c:extLst xmlns:c16r2="http://schemas.microsoft.com/office/drawing/2015/06/chart">
            <c:ext xmlns:c16="http://schemas.microsoft.com/office/drawing/2014/chart" uri="{C3380CC4-5D6E-409C-BE32-E72D297353CC}">
              <c16:uniqueId val="{00000002-4940-439B-80B8-E893700DD432}"/>
            </c:ext>
          </c:extLst>
        </c:ser>
        <c:ser>
          <c:idx val="3"/>
          <c:order val="3"/>
          <c:tx>
            <c:strRef>
              <c:f>'Indicator 7'!$E$1</c:f>
              <c:strCache>
                <c:ptCount val="1"/>
                <c:pt idx="0">
                  <c:v>Acute Average (BME staff)</c:v>
                </c:pt>
              </c:strCache>
            </c:strRef>
          </c:tx>
          <c:spPr>
            <a:ln>
              <a:solidFill>
                <a:schemeClr val="accent3">
                  <a:lumMod val="60000"/>
                  <a:lumOff val="40000"/>
                </a:schemeClr>
              </a:solidFill>
              <a:prstDash val="sysDot"/>
            </a:ln>
          </c:spPr>
          <c:marker>
            <c:symbol val="none"/>
          </c:marker>
          <c:cat>
            <c:numRef>
              <c:f>'Indicator 7'!$A$2:$A$4</c:f>
              <c:numCache>
                <c:formatCode>General</c:formatCode>
                <c:ptCount val="3"/>
                <c:pt idx="0">
                  <c:v>2018</c:v>
                </c:pt>
                <c:pt idx="1">
                  <c:v>2019</c:v>
                </c:pt>
                <c:pt idx="2">
                  <c:v>2020</c:v>
                </c:pt>
              </c:numCache>
            </c:numRef>
          </c:cat>
          <c:val>
            <c:numRef>
              <c:f>'Indicator 7'!$E$2:$E$4</c:f>
              <c:numCache>
                <c:formatCode>0.0%</c:formatCode>
                <c:ptCount val="3"/>
                <c:pt idx="0">
                  <c:v>0.73099999999999998</c:v>
                </c:pt>
                <c:pt idx="1">
                  <c:v>0.74099999999999999</c:v>
                </c:pt>
                <c:pt idx="2">
                  <c:v>0.72499999999999998</c:v>
                </c:pt>
              </c:numCache>
            </c:numRef>
          </c:val>
          <c:smooth val="0"/>
          <c:extLst xmlns:c16r2="http://schemas.microsoft.com/office/drawing/2015/06/chart">
            <c:ext xmlns:c16="http://schemas.microsoft.com/office/drawing/2014/chart" uri="{C3380CC4-5D6E-409C-BE32-E72D297353CC}">
              <c16:uniqueId val="{00000003-4940-439B-80B8-E893700DD432}"/>
            </c:ext>
          </c:extLst>
        </c:ser>
        <c:dLbls>
          <c:showLegendKey val="0"/>
          <c:showVal val="0"/>
          <c:showCatName val="0"/>
          <c:showSerName val="0"/>
          <c:showPercent val="0"/>
          <c:showBubbleSize val="0"/>
        </c:dLbls>
        <c:marker val="1"/>
        <c:smooth val="0"/>
        <c:axId val="668242944"/>
        <c:axId val="668171008"/>
      </c:lineChart>
      <c:catAx>
        <c:axId val="668242944"/>
        <c:scaling>
          <c:orientation val="minMax"/>
        </c:scaling>
        <c:delete val="0"/>
        <c:axPos val="b"/>
        <c:numFmt formatCode="General"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668171008"/>
        <c:crosses val="autoZero"/>
        <c:auto val="1"/>
        <c:lblAlgn val="ctr"/>
        <c:lblOffset val="100"/>
        <c:noMultiLvlLbl val="0"/>
      </c:catAx>
      <c:valAx>
        <c:axId val="668171008"/>
        <c:scaling>
          <c:orientation val="minMax"/>
          <c:min val="0.65000000000000013"/>
        </c:scaling>
        <c:delete val="0"/>
        <c:axPos val="l"/>
        <c:numFmt formatCode="0.0%"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668242944"/>
        <c:crosses val="autoZero"/>
        <c:crossBetween val="between"/>
      </c:valAx>
    </c:plotArea>
    <c:legend>
      <c:legendPos val="r"/>
      <c:overlay val="0"/>
      <c:txPr>
        <a:bodyPr/>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'Indicator 7'!$C$1</c:f>
              <c:strCache>
                <c:ptCount val="1"/>
                <c:pt idx="0">
                  <c:v>WSHFT white staff</c:v>
                </c:pt>
              </c:strCache>
            </c:strRef>
          </c:tx>
          <c:marker>
            <c:symbol val="none"/>
          </c:marker>
          <c:cat>
            <c:numRef>
              <c:f>'Indicator 7'!$A$2:$A$4</c:f>
              <c:numCache>
                <c:formatCode>General</c:formatCode>
                <c:ptCount val="3"/>
                <c:pt idx="0">
                  <c:v>2018</c:v>
                </c:pt>
                <c:pt idx="1">
                  <c:v>2019</c:v>
                </c:pt>
                <c:pt idx="2">
                  <c:v>2020</c:v>
                </c:pt>
              </c:numCache>
            </c:numRef>
          </c:cat>
          <c:val>
            <c:numRef>
              <c:f>'Indicator 7'!$C$2:$C$4</c:f>
              <c:numCache>
                <c:formatCode>0.0%</c:formatCode>
                <c:ptCount val="3"/>
                <c:pt idx="0">
                  <c:v>0.89800000000000002</c:v>
                </c:pt>
                <c:pt idx="1">
                  <c:v>0.88500000000000001</c:v>
                </c:pt>
                <c:pt idx="2">
                  <c:v>0.89300000000000002</c:v>
                </c:pt>
              </c:numCache>
            </c:numRef>
          </c:val>
          <c:smooth val="0"/>
          <c:extLst xmlns:c16r2="http://schemas.microsoft.com/office/drawing/2015/06/chart">
            <c:ext xmlns:c16="http://schemas.microsoft.com/office/drawing/2014/chart" uri="{C3380CC4-5D6E-409C-BE32-E72D297353CC}">
              <c16:uniqueId val="{00000000-A624-4D7F-9C9E-E95C82E62D02}"/>
            </c:ext>
          </c:extLst>
        </c:ser>
        <c:ser>
          <c:idx val="1"/>
          <c:order val="1"/>
          <c:tx>
            <c:strRef>
              <c:f>'Indicator 7'!$F$1</c:f>
              <c:strCache>
                <c:ptCount val="1"/>
                <c:pt idx="0">
                  <c:v>Acute average (white staff)</c:v>
                </c:pt>
              </c:strCache>
            </c:strRef>
          </c:tx>
          <c:spPr>
            <a:ln>
              <a:solidFill>
                <a:schemeClr val="accent1">
                  <a:lumMod val="40000"/>
                  <a:lumOff val="60000"/>
                </a:schemeClr>
              </a:solidFill>
              <a:prstDash val="sysDash"/>
            </a:ln>
          </c:spPr>
          <c:marker>
            <c:symbol val="none"/>
          </c:marker>
          <c:cat>
            <c:numRef>
              <c:f>'Indicator 7'!$A$2:$A$4</c:f>
              <c:numCache>
                <c:formatCode>General</c:formatCode>
                <c:ptCount val="3"/>
                <c:pt idx="0">
                  <c:v>2018</c:v>
                </c:pt>
                <c:pt idx="1">
                  <c:v>2019</c:v>
                </c:pt>
                <c:pt idx="2">
                  <c:v>2020</c:v>
                </c:pt>
              </c:numCache>
            </c:numRef>
          </c:cat>
          <c:val>
            <c:numRef>
              <c:f>'Indicator 7'!$F$2:$F$4</c:f>
              <c:numCache>
                <c:formatCode>0.0%</c:formatCode>
                <c:ptCount val="3"/>
                <c:pt idx="0">
                  <c:v>0.86799999999999999</c:v>
                </c:pt>
                <c:pt idx="1">
                  <c:v>0.872</c:v>
                </c:pt>
                <c:pt idx="2">
                  <c:v>0.877</c:v>
                </c:pt>
              </c:numCache>
            </c:numRef>
          </c:val>
          <c:smooth val="0"/>
          <c:extLst xmlns:c16r2="http://schemas.microsoft.com/office/drawing/2015/06/chart">
            <c:ext xmlns:c16="http://schemas.microsoft.com/office/drawing/2014/chart" uri="{C3380CC4-5D6E-409C-BE32-E72D297353CC}">
              <c16:uniqueId val="{00000001-A624-4D7F-9C9E-E95C82E62D02}"/>
            </c:ext>
          </c:extLst>
        </c:ser>
        <c:ser>
          <c:idx val="2"/>
          <c:order val="2"/>
          <c:tx>
            <c:strRef>
              <c:f>'Indicator 7'!$B$1</c:f>
              <c:strCache>
                <c:ptCount val="1"/>
                <c:pt idx="0">
                  <c:v>WSHFT BME staff</c:v>
                </c:pt>
              </c:strCache>
            </c:strRef>
          </c:tx>
          <c:marker>
            <c:symbol val="none"/>
          </c:marker>
          <c:cat>
            <c:numRef>
              <c:f>'Indicator 7'!$A$2:$A$4</c:f>
              <c:numCache>
                <c:formatCode>General</c:formatCode>
                <c:ptCount val="3"/>
                <c:pt idx="0">
                  <c:v>2018</c:v>
                </c:pt>
                <c:pt idx="1">
                  <c:v>2019</c:v>
                </c:pt>
                <c:pt idx="2">
                  <c:v>2020</c:v>
                </c:pt>
              </c:numCache>
            </c:numRef>
          </c:cat>
          <c:val>
            <c:numRef>
              <c:f>'Indicator 7'!$B$2:$B$4</c:f>
              <c:numCache>
                <c:formatCode>0.0%</c:formatCode>
                <c:ptCount val="3"/>
                <c:pt idx="0">
                  <c:v>0.82699999999999996</c:v>
                </c:pt>
                <c:pt idx="1">
                  <c:v>0.81</c:v>
                </c:pt>
                <c:pt idx="2">
                  <c:v>0.81799999999999995</c:v>
                </c:pt>
              </c:numCache>
            </c:numRef>
          </c:val>
          <c:smooth val="0"/>
          <c:extLst xmlns:c16r2="http://schemas.microsoft.com/office/drawing/2015/06/chart">
            <c:ext xmlns:c16="http://schemas.microsoft.com/office/drawing/2014/chart" uri="{C3380CC4-5D6E-409C-BE32-E72D297353CC}">
              <c16:uniqueId val="{00000002-A624-4D7F-9C9E-E95C82E62D02}"/>
            </c:ext>
          </c:extLst>
        </c:ser>
        <c:ser>
          <c:idx val="3"/>
          <c:order val="3"/>
          <c:tx>
            <c:strRef>
              <c:f>'Indicator 7'!$E$1</c:f>
              <c:strCache>
                <c:ptCount val="1"/>
                <c:pt idx="0">
                  <c:v>Acute Average (BME staff)</c:v>
                </c:pt>
              </c:strCache>
            </c:strRef>
          </c:tx>
          <c:spPr>
            <a:ln>
              <a:solidFill>
                <a:schemeClr val="accent3">
                  <a:lumMod val="60000"/>
                  <a:lumOff val="40000"/>
                </a:schemeClr>
              </a:solidFill>
              <a:prstDash val="sysDot"/>
            </a:ln>
          </c:spPr>
          <c:marker>
            <c:symbol val="none"/>
          </c:marker>
          <c:cat>
            <c:numRef>
              <c:f>'Indicator 7'!$A$2:$A$4</c:f>
              <c:numCache>
                <c:formatCode>General</c:formatCode>
                <c:ptCount val="3"/>
                <c:pt idx="0">
                  <c:v>2018</c:v>
                </c:pt>
                <c:pt idx="1">
                  <c:v>2019</c:v>
                </c:pt>
                <c:pt idx="2">
                  <c:v>2020</c:v>
                </c:pt>
              </c:numCache>
            </c:numRef>
          </c:cat>
          <c:val>
            <c:numRef>
              <c:f>'Indicator 7'!$E$2:$E$4</c:f>
              <c:numCache>
                <c:formatCode>0.0%</c:formatCode>
                <c:ptCount val="3"/>
                <c:pt idx="0">
                  <c:v>0.73099999999999998</c:v>
                </c:pt>
                <c:pt idx="1">
                  <c:v>0.74099999999999999</c:v>
                </c:pt>
                <c:pt idx="2">
                  <c:v>0.72499999999999998</c:v>
                </c:pt>
              </c:numCache>
            </c:numRef>
          </c:val>
          <c:smooth val="0"/>
          <c:extLst xmlns:c16r2="http://schemas.microsoft.com/office/drawing/2015/06/chart">
            <c:ext xmlns:c16="http://schemas.microsoft.com/office/drawing/2014/chart" uri="{C3380CC4-5D6E-409C-BE32-E72D297353CC}">
              <c16:uniqueId val="{00000003-A624-4D7F-9C9E-E95C82E62D02}"/>
            </c:ext>
          </c:extLst>
        </c:ser>
        <c:dLbls>
          <c:showLegendKey val="0"/>
          <c:showVal val="0"/>
          <c:showCatName val="0"/>
          <c:showSerName val="0"/>
          <c:showPercent val="0"/>
          <c:showBubbleSize val="0"/>
        </c:dLbls>
        <c:marker val="1"/>
        <c:smooth val="0"/>
        <c:axId val="668243456"/>
        <c:axId val="668434432"/>
      </c:lineChart>
      <c:catAx>
        <c:axId val="668243456"/>
        <c:scaling>
          <c:orientation val="minMax"/>
        </c:scaling>
        <c:delete val="0"/>
        <c:axPos val="b"/>
        <c:numFmt formatCode="General" sourceLinked="1"/>
        <c:majorTickMark val="out"/>
        <c:minorTickMark val="none"/>
        <c:tickLblPos val="nextTo"/>
        <c:crossAx val="668434432"/>
        <c:crosses val="autoZero"/>
        <c:auto val="1"/>
        <c:lblAlgn val="ctr"/>
        <c:lblOffset val="100"/>
        <c:noMultiLvlLbl val="0"/>
      </c:catAx>
      <c:valAx>
        <c:axId val="668434432"/>
        <c:scaling>
          <c:orientation val="minMax"/>
          <c:min val="0.65000000000000013"/>
        </c:scaling>
        <c:delete val="0"/>
        <c:axPos val="l"/>
        <c:numFmt formatCode="0.0%" sourceLinked="1"/>
        <c:majorTickMark val="out"/>
        <c:minorTickMark val="none"/>
        <c:tickLblPos val="nextTo"/>
        <c:crossAx val="668243456"/>
        <c:crosses val="autoZero"/>
        <c:crossBetween val="between"/>
      </c:valAx>
    </c:plotArea>
    <c:legend>
      <c:legendPos val="r"/>
      <c:layout>
        <c:manualLayout>
          <c:xMode val="edge"/>
          <c:yMode val="edge"/>
          <c:x val="0.64702673213311512"/>
          <c:y val="0.17071084864391953"/>
          <c:w val="0.33987997817785054"/>
          <c:h val="0.64005978419364251"/>
        </c:manualLayout>
      </c:layout>
      <c:overlay val="0"/>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'Indicator 8'!$C$1</c:f>
              <c:strCache>
                <c:ptCount val="1"/>
                <c:pt idx="0">
                  <c:v>BSUH white staff</c:v>
                </c:pt>
              </c:strCache>
            </c:strRef>
          </c:tx>
          <c:marker>
            <c:symbol val="none"/>
          </c:marker>
          <c:cat>
            <c:numRef>
              <c:f>'Indicator 8'!$A$2:$A$4</c:f>
              <c:numCache>
                <c:formatCode>General</c:formatCode>
                <c:ptCount val="3"/>
                <c:pt idx="0">
                  <c:v>2018</c:v>
                </c:pt>
                <c:pt idx="1">
                  <c:v>2019</c:v>
                </c:pt>
                <c:pt idx="2">
                  <c:v>2020</c:v>
                </c:pt>
              </c:numCache>
            </c:numRef>
          </c:cat>
          <c:val>
            <c:numRef>
              <c:f>'Indicator 8'!$C$2:$C$4</c:f>
              <c:numCache>
                <c:formatCode>0.0%</c:formatCode>
                <c:ptCount val="3"/>
                <c:pt idx="0">
                  <c:v>6.9000000000000006E-2</c:v>
                </c:pt>
                <c:pt idx="1">
                  <c:v>7.2999999999999995E-2</c:v>
                </c:pt>
                <c:pt idx="2">
                  <c:v>7.0999999999999994E-2</c:v>
                </c:pt>
              </c:numCache>
            </c:numRef>
          </c:val>
          <c:smooth val="0"/>
          <c:extLst xmlns:c16r2="http://schemas.microsoft.com/office/drawing/2015/06/chart">
            <c:ext xmlns:c16="http://schemas.microsoft.com/office/drawing/2014/chart" uri="{C3380CC4-5D6E-409C-BE32-E72D297353CC}">
              <c16:uniqueId val="{00000000-DABC-4C38-86E3-B0E5CB3A1EA2}"/>
            </c:ext>
          </c:extLst>
        </c:ser>
        <c:ser>
          <c:idx val="1"/>
          <c:order val="1"/>
          <c:tx>
            <c:strRef>
              <c:f>'Indicator 8'!$F$1</c:f>
              <c:strCache>
                <c:ptCount val="1"/>
                <c:pt idx="0">
                  <c:v>Acute average (white staff)</c:v>
                </c:pt>
              </c:strCache>
            </c:strRef>
          </c:tx>
          <c:spPr>
            <a:ln>
              <a:solidFill>
                <a:schemeClr val="accent1">
                  <a:lumMod val="60000"/>
                  <a:lumOff val="40000"/>
                </a:schemeClr>
              </a:solidFill>
              <a:prstDash val="sysDash"/>
            </a:ln>
          </c:spPr>
          <c:marker>
            <c:symbol val="none"/>
          </c:marker>
          <c:cat>
            <c:numRef>
              <c:f>'Indicator 8'!$A$2:$A$4</c:f>
              <c:numCache>
                <c:formatCode>General</c:formatCode>
                <c:ptCount val="3"/>
                <c:pt idx="0">
                  <c:v>2018</c:v>
                </c:pt>
                <c:pt idx="1">
                  <c:v>2019</c:v>
                </c:pt>
                <c:pt idx="2">
                  <c:v>2020</c:v>
                </c:pt>
              </c:numCache>
            </c:numRef>
          </c:cat>
          <c:val>
            <c:numRef>
              <c:f>'Indicator 8'!$F$2:$F$4</c:f>
              <c:numCache>
                <c:formatCode>0.0%</c:formatCode>
                <c:ptCount val="3"/>
                <c:pt idx="0">
                  <c:v>6.3E-2</c:v>
                </c:pt>
                <c:pt idx="1">
                  <c:v>5.8000000000000003E-2</c:v>
                </c:pt>
                <c:pt idx="2">
                  <c:v>6.0999999999999999E-2</c:v>
                </c:pt>
              </c:numCache>
            </c:numRef>
          </c:val>
          <c:smooth val="0"/>
          <c:extLst xmlns:c16r2="http://schemas.microsoft.com/office/drawing/2015/06/chart">
            <c:ext xmlns:c16="http://schemas.microsoft.com/office/drawing/2014/chart" uri="{C3380CC4-5D6E-409C-BE32-E72D297353CC}">
              <c16:uniqueId val="{00000001-DABC-4C38-86E3-B0E5CB3A1EA2}"/>
            </c:ext>
          </c:extLst>
        </c:ser>
        <c:ser>
          <c:idx val="2"/>
          <c:order val="2"/>
          <c:tx>
            <c:strRef>
              <c:f>'Indicator 8'!$B$1</c:f>
              <c:strCache>
                <c:ptCount val="1"/>
                <c:pt idx="0">
                  <c:v>BSUH BME staff</c:v>
                </c:pt>
              </c:strCache>
            </c:strRef>
          </c:tx>
          <c:marker>
            <c:symbol val="none"/>
          </c:marker>
          <c:cat>
            <c:numRef>
              <c:f>'Indicator 8'!$A$2:$A$4</c:f>
              <c:numCache>
                <c:formatCode>General</c:formatCode>
                <c:ptCount val="3"/>
                <c:pt idx="0">
                  <c:v>2018</c:v>
                </c:pt>
                <c:pt idx="1">
                  <c:v>2019</c:v>
                </c:pt>
                <c:pt idx="2">
                  <c:v>2020</c:v>
                </c:pt>
              </c:numCache>
            </c:numRef>
          </c:cat>
          <c:val>
            <c:numRef>
              <c:f>'Indicator 8'!$B$2:$B$4</c:f>
              <c:numCache>
                <c:formatCode>0.0%</c:formatCode>
                <c:ptCount val="3"/>
                <c:pt idx="0">
                  <c:v>0.14799999999999999</c:v>
                </c:pt>
                <c:pt idx="1">
                  <c:v>0.14199999999999999</c:v>
                </c:pt>
                <c:pt idx="2">
                  <c:v>0.155</c:v>
                </c:pt>
              </c:numCache>
            </c:numRef>
          </c:val>
          <c:smooth val="0"/>
          <c:extLst xmlns:c16r2="http://schemas.microsoft.com/office/drawing/2015/06/chart">
            <c:ext xmlns:c16="http://schemas.microsoft.com/office/drawing/2014/chart" uri="{C3380CC4-5D6E-409C-BE32-E72D297353CC}">
              <c16:uniqueId val="{00000002-DABC-4C38-86E3-B0E5CB3A1EA2}"/>
            </c:ext>
          </c:extLst>
        </c:ser>
        <c:ser>
          <c:idx val="3"/>
          <c:order val="3"/>
          <c:tx>
            <c:strRef>
              <c:f>'Indicator 8'!$E$1</c:f>
              <c:strCache>
                <c:ptCount val="1"/>
                <c:pt idx="0">
                  <c:v>Acute Average (BME staff)</c:v>
                </c:pt>
              </c:strCache>
            </c:strRef>
          </c:tx>
          <c:spPr>
            <a:ln>
              <a:solidFill>
                <a:schemeClr val="accent3">
                  <a:lumMod val="60000"/>
                  <a:lumOff val="40000"/>
                </a:schemeClr>
              </a:solidFill>
              <a:prstDash val="sysDot"/>
            </a:ln>
          </c:spPr>
          <c:marker>
            <c:symbol val="none"/>
          </c:marker>
          <c:cat>
            <c:numRef>
              <c:f>'Indicator 8'!$A$2:$A$4</c:f>
              <c:numCache>
                <c:formatCode>General</c:formatCode>
                <c:ptCount val="3"/>
                <c:pt idx="0">
                  <c:v>2018</c:v>
                </c:pt>
                <c:pt idx="1">
                  <c:v>2019</c:v>
                </c:pt>
                <c:pt idx="2">
                  <c:v>2020</c:v>
                </c:pt>
              </c:numCache>
            </c:numRef>
          </c:cat>
          <c:val>
            <c:numRef>
              <c:f>'Indicator 8'!$E$2:$E$4</c:f>
              <c:numCache>
                <c:formatCode>0.0%</c:formatCode>
                <c:ptCount val="3"/>
                <c:pt idx="0">
                  <c:v>0.14599999999999999</c:v>
                </c:pt>
                <c:pt idx="1">
                  <c:v>0.14199999999999999</c:v>
                </c:pt>
                <c:pt idx="2">
                  <c:v>0.16800000000000001</c:v>
                </c:pt>
              </c:numCache>
            </c:numRef>
          </c:val>
          <c:smooth val="0"/>
          <c:extLst xmlns:c16r2="http://schemas.microsoft.com/office/drawing/2015/06/chart">
            <c:ext xmlns:c16="http://schemas.microsoft.com/office/drawing/2014/chart" uri="{C3380CC4-5D6E-409C-BE32-E72D297353CC}">
              <c16:uniqueId val="{00000003-DABC-4C38-86E3-B0E5CB3A1EA2}"/>
            </c:ext>
          </c:extLst>
        </c:ser>
        <c:dLbls>
          <c:showLegendKey val="0"/>
          <c:showVal val="0"/>
          <c:showCatName val="0"/>
          <c:showSerName val="0"/>
          <c:showPercent val="0"/>
          <c:showBubbleSize val="0"/>
        </c:dLbls>
        <c:marker val="1"/>
        <c:smooth val="0"/>
        <c:axId val="668245504"/>
        <c:axId val="668436160"/>
      </c:lineChart>
      <c:catAx>
        <c:axId val="668245504"/>
        <c:scaling>
          <c:orientation val="minMax"/>
        </c:scaling>
        <c:delete val="0"/>
        <c:axPos val="b"/>
        <c:numFmt formatCode="General"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668436160"/>
        <c:crosses val="autoZero"/>
        <c:auto val="1"/>
        <c:lblAlgn val="ctr"/>
        <c:lblOffset val="100"/>
        <c:noMultiLvlLbl val="0"/>
      </c:catAx>
      <c:valAx>
        <c:axId val="668436160"/>
        <c:scaling>
          <c:orientation val="minMax"/>
          <c:max val="0.2"/>
          <c:min val="5.000000000000001E-2"/>
        </c:scaling>
        <c:delete val="0"/>
        <c:axPos val="l"/>
        <c:numFmt formatCode="0.0%"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668245504"/>
        <c:crosses val="autoZero"/>
        <c:crossBetween val="between"/>
      </c:valAx>
    </c:plotArea>
    <c:legend>
      <c:legendPos val="r"/>
      <c:layout/>
      <c:overlay val="0"/>
      <c:txPr>
        <a:bodyPr/>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'Indicator 8'!$C$1</c:f>
              <c:strCache>
                <c:ptCount val="1"/>
                <c:pt idx="0">
                  <c:v>WSHFT white staff</c:v>
                </c:pt>
              </c:strCache>
            </c:strRef>
          </c:tx>
          <c:marker>
            <c:symbol val="none"/>
          </c:marker>
          <c:cat>
            <c:numRef>
              <c:f>'Indicator 8'!$A$2:$A$4</c:f>
              <c:numCache>
                <c:formatCode>General</c:formatCode>
                <c:ptCount val="3"/>
                <c:pt idx="0">
                  <c:v>2018</c:v>
                </c:pt>
                <c:pt idx="1">
                  <c:v>2019</c:v>
                </c:pt>
                <c:pt idx="2">
                  <c:v>2020</c:v>
                </c:pt>
              </c:numCache>
            </c:numRef>
          </c:cat>
          <c:val>
            <c:numRef>
              <c:f>'Indicator 8'!$C$2:$C$4</c:f>
              <c:numCache>
                <c:formatCode>0.0%</c:formatCode>
                <c:ptCount val="3"/>
                <c:pt idx="0">
                  <c:v>6.3E-2</c:v>
                </c:pt>
                <c:pt idx="1">
                  <c:v>6.3E-2</c:v>
                </c:pt>
                <c:pt idx="2">
                  <c:v>6.0999999999999999E-2</c:v>
                </c:pt>
              </c:numCache>
            </c:numRef>
          </c:val>
          <c:smooth val="0"/>
          <c:extLst xmlns:c16r2="http://schemas.microsoft.com/office/drawing/2015/06/chart">
            <c:ext xmlns:c16="http://schemas.microsoft.com/office/drawing/2014/chart" uri="{C3380CC4-5D6E-409C-BE32-E72D297353CC}">
              <c16:uniqueId val="{00000000-E517-4808-BC3F-2E66284323AA}"/>
            </c:ext>
          </c:extLst>
        </c:ser>
        <c:ser>
          <c:idx val="1"/>
          <c:order val="1"/>
          <c:tx>
            <c:strRef>
              <c:f>'Indicator 8'!$F$1</c:f>
              <c:strCache>
                <c:ptCount val="1"/>
                <c:pt idx="0">
                  <c:v>Acute average (white staff)</c:v>
                </c:pt>
              </c:strCache>
            </c:strRef>
          </c:tx>
          <c:spPr>
            <a:ln>
              <a:solidFill>
                <a:schemeClr val="accent1">
                  <a:lumMod val="60000"/>
                  <a:lumOff val="40000"/>
                </a:schemeClr>
              </a:solidFill>
              <a:prstDash val="sysDash"/>
            </a:ln>
          </c:spPr>
          <c:marker>
            <c:symbol val="none"/>
          </c:marker>
          <c:cat>
            <c:numRef>
              <c:f>'Indicator 8'!$A$2:$A$4</c:f>
              <c:numCache>
                <c:formatCode>General</c:formatCode>
                <c:ptCount val="3"/>
                <c:pt idx="0">
                  <c:v>2018</c:v>
                </c:pt>
                <c:pt idx="1">
                  <c:v>2019</c:v>
                </c:pt>
                <c:pt idx="2">
                  <c:v>2020</c:v>
                </c:pt>
              </c:numCache>
            </c:numRef>
          </c:cat>
          <c:val>
            <c:numRef>
              <c:f>'Indicator 8'!$F$2:$F$4</c:f>
              <c:numCache>
                <c:formatCode>0.0%</c:formatCode>
                <c:ptCount val="3"/>
                <c:pt idx="0">
                  <c:v>6.3E-2</c:v>
                </c:pt>
                <c:pt idx="1">
                  <c:v>5.8000000000000003E-2</c:v>
                </c:pt>
                <c:pt idx="2">
                  <c:v>6.0999999999999999E-2</c:v>
                </c:pt>
              </c:numCache>
            </c:numRef>
          </c:val>
          <c:smooth val="0"/>
          <c:extLst xmlns:c16r2="http://schemas.microsoft.com/office/drawing/2015/06/chart">
            <c:ext xmlns:c16="http://schemas.microsoft.com/office/drawing/2014/chart" uri="{C3380CC4-5D6E-409C-BE32-E72D297353CC}">
              <c16:uniqueId val="{00000001-E517-4808-BC3F-2E66284323AA}"/>
            </c:ext>
          </c:extLst>
        </c:ser>
        <c:ser>
          <c:idx val="2"/>
          <c:order val="2"/>
          <c:tx>
            <c:strRef>
              <c:f>'Indicator 8'!$B$1</c:f>
              <c:strCache>
                <c:ptCount val="1"/>
                <c:pt idx="0">
                  <c:v>WSHFT BME staff</c:v>
                </c:pt>
              </c:strCache>
            </c:strRef>
          </c:tx>
          <c:marker>
            <c:symbol val="none"/>
          </c:marker>
          <c:cat>
            <c:numRef>
              <c:f>'Indicator 8'!$A$2:$A$4</c:f>
              <c:numCache>
                <c:formatCode>General</c:formatCode>
                <c:ptCount val="3"/>
                <c:pt idx="0">
                  <c:v>2018</c:v>
                </c:pt>
                <c:pt idx="1">
                  <c:v>2019</c:v>
                </c:pt>
                <c:pt idx="2">
                  <c:v>2020</c:v>
                </c:pt>
              </c:numCache>
            </c:numRef>
          </c:cat>
          <c:val>
            <c:numRef>
              <c:f>'Indicator 8'!$B$2:$B$4</c:f>
              <c:numCache>
                <c:formatCode>0.0%</c:formatCode>
                <c:ptCount val="3"/>
                <c:pt idx="0">
                  <c:v>0.14299999999999999</c:v>
                </c:pt>
                <c:pt idx="1">
                  <c:v>0.13100000000000001</c:v>
                </c:pt>
                <c:pt idx="2">
                  <c:v>0.157</c:v>
                </c:pt>
              </c:numCache>
            </c:numRef>
          </c:val>
          <c:smooth val="0"/>
          <c:extLst xmlns:c16r2="http://schemas.microsoft.com/office/drawing/2015/06/chart">
            <c:ext xmlns:c16="http://schemas.microsoft.com/office/drawing/2014/chart" uri="{C3380CC4-5D6E-409C-BE32-E72D297353CC}">
              <c16:uniqueId val="{00000002-E517-4808-BC3F-2E66284323AA}"/>
            </c:ext>
          </c:extLst>
        </c:ser>
        <c:ser>
          <c:idx val="3"/>
          <c:order val="3"/>
          <c:tx>
            <c:strRef>
              <c:f>'Indicator 8'!$E$1</c:f>
              <c:strCache>
                <c:ptCount val="1"/>
                <c:pt idx="0">
                  <c:v>Acute Average (BME staff)</c:v>
                </c:pt>
              </c:strCache>
            </c:strRef>
          </c:tx>
          <c:spPr>
            <a:ln>
              <a:solidFill>
                <a:schemeClr val="accent3">
                  <a:lumMod val="60000"/>
                  <a:lumOff val="40000"/>
                </a:schemeClr>
              </a:solidFill>
              <a:prstDash val="sysDot"/>
            </a:ln>
          </c:spPr>
          <c:marker>
            <c:symbol val="none"/>
          </c:marker>
          <c:cat>
            <c:numRef>
              <c:f>'Indicator 8'!$A$2:$A$4</c:f>
              <c:numCache>
                <c:formatCode>General</c:formatCode>
                <c:ptCount val="3"/>
                <c:pt idx="0">
                  <c:v>2018</c:v>
                </c:pt>
                <c:pt idx="1">
                  <c:v>2019</c:v>
                </c:pt>
                <c:pt idx="2">
                  <c:v>2020</c:v>
                </c:pt>
              </c:numCache>
            </c:numRef>
          </c:cat>
          <c:val>
            <c:numRef>
              <c:f>'Indicator 8'!$E$2:$E$4</c:f>
              <c:numCache>
                <c:formatCode>0.0%</c:formatCode>
                <c:ptCount val="3"/>
                <c:pt idx="0">
                  <c:v>0.14599999999999999</c:v>
                </c:pt>
                <c:pt idx="1">
                  <c:v>0.14199999999999999</c:v>
                </c:pt>
                <c:pt idx="2">
                  <c:v>0.16800000000000001</c:v>
                </c:pt>
              </c:numCache>
            </c:numRef>
          </c:val>
          <c:smooth val="0"/>
          <c:extLst xmlns:c16r2="http://schemas.microsoft.com/office/drawing/2015/06/chart">
            <c:ext xmlns:c16="http://schemas.microsoft.com/office/drawing/2014/chart" uri="{C3380CC4-5D6E-409C-BE32-E72D297353CC}">
              <c16:uniqueId val="{00000003-E517-4808-BC3F-2E66284323AA}"/>
            </c:ext>
          </c:extLst>
        </c:ser>
        <c:dLbls>
          <c:showLegendKey val="0"/>
          <c:showVal val="0"/>
          <c:showCatName val="0"/>
          <c:showSerName val="0"/>
          <c:showPercent val="0"/>
          <c:showBubbleSize val="0"/>
        </c:dLbls>
        <c:marker val="1"/>
        <c:smooth val="0"/>
        <c:axId val="668803072"/>
        <c:axId val="668437888"/>
      </c:lineChart>
      <c:catAx>
        <c:axId val="668803072"/>
        <c:scaling>
          <c:orientation val="minMax"/>
        </c:scaling>
        <c:delete val="0"/>
        <c:axPos val="b"/>
        <c:numFmt formatCode="General"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668437888"/>
        <c:crosses val="autoZero"/>
        <c:auto val="1"/>
        <c:lblAlgn val="ctr"/>
        <c:lblOffset val="100"/>
        <c:noMultiLvlLbl val="0"/>
      </c:catAx>
      <c:valAx>
        <c:axId val="668437888"/>
        <c:scaling>
          <c:orientation val="minMax"/>
          <c:max val="0.2"/>
          <c:min val="5.000000000000001E-2"/>
        </c:scaling>
        <c:delete val="0"/>
        <c:axPos val="l"/>
        <c:numFmt formatCode="0.0%"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668803072"/>
        <c:crosses val="autoZero"/>
        <c:crossBetween val="between"/>
      </c:valAx>
    </c:plotArea>
    <c:legend>
      <c:legendPos val="r"/>
      <c:layout>
        <c:manualLayout>
          <c:xMode val="edge"/>
          <c:yMode val="edge"/>
          <c:x val="0.64692982456140347"/>
          <c:y val="0.12075448196094132"/>
          <c:w val="0.33991228070175439"/>
          <c:h val="0.75849103607811741"/>
        </c:manualLayout>
      </c:layout>
      <c:overlay val="0"/>
      <c:txPr>
        <a:bodyPr/>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787317986525568E-2"/>
          <c:y val="3.9687291099336441E-2"/>
          <c:w val="0.92062557466940831"/>
          <c:h val="0.53172516350316568"/>
        </c:manualLayout>
      </c:layout>
      <c:barChart>
        <c:barDir val="col"/>
        <c:grouping val="clustered"/>
        <c:varyColors val="0"/>
        <c:ser>
          <c:idx val="0"/>
          <c:order val="0"/>
          <c:tx>
            <c:strRef>
              <c:f>Clinical!$B$38</c:f>
              <c:strCache>
                <c:ptCount val="1"/>
                <c:pt idx="0">
                  <c:v>BME 2019</c:v>
                </c:pt>
              </c:strCache>
            </c:strRef>
          </c:tx>
          <c:invertIfNegative val="0"/>
          <c:cat>
            <c:strRef>
              <c:f>Clinical!$A$39:$A$54</c:f>
              <c:strCache>
                <c:ptCount val="16"/>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pt idx="13">
                  <c:v>Medical: Consultants</c:v>
                </c:pt>
                <c:pt idx="14">
                  <c:v>Medical: Non-consultant career grade</c:v>
                </c:pt>
                <c:pt idx="15">
                  <c:v>Medical: Trainee</c:v>
                </c:pt>
              </c:strCache>
            </c:strRef>
          </c:cat>
          <c:val>
            <c:numRef>
              <c:f>Clinical!$B$39:$B$54</c:f>
              <c:numCache>
                <c:formatCode>General</c:formatCode>
                <c:ptCount val="16"/>
                <c:pt idx="0">
                  <c:v>0</c:v>
                </c:pt>
                <c:pt idx="1">
                  <c:v>218</c:v>
                </c:pt>
                <c:pt idx="2">
                  <c:v>31</c:v>
                </c:pt>
                <c:pt idx="3">
                  <c:v>22</c:v>
                </c:pt>
                <c:pt idx="4">
                  <c:v>313</c:v>
                </c:pt>
                <c:pt idx="5">
                  <c:v>158</c:v>
                </c:pt>
                <c:pt idx="6">
                  <c:v>59</c:v>
                </c:pt>
                <c:pt idx="7">
                  <c:v>13</c:v>
                </c:pt>
                <c:pt idx="8">
                  <c:v>2</c:v>
                </c:pt>
                <c:pt idx="9">
                  <c:v>0</c:v>
                </c:pt>
                <c:pt idx="10">
                  <c:v>0</c:v>
                </c:pt>
                <c:pt idx="11">
                  <c:v>0</c:v>
                </c:pt>
                <c:pt idx="12">
                  <c:v>1</c:v>
                </c:pt>
                <c:pt idx="13">
                  <c:v>131</c:v>
                </c:pt>
                <c:pt idx="14">
                  <c:v>25</c:v>
                </c:pt>
                <c:pt idx="15">
                  <c:v>225</c:v>
                </c:pt>
              </c:numCache>
            </c:numRef>
          </c:val>
          <c:extLst xmlns:c16r2="http://schemas.microsoft.com/office/drawing/2015/06/chart">
            <c:ext xmlns:c16="http://schemas.microsoft.com/office/drawing/2014/chart" uri="{C3380CC4-5D6E-409C-BE32-E72D297353CC}">
              <c16:uniqueId val="{00000000-4308-416C-8C96-D847096D1C1A}"/>
            </c:ext>
          </c:extLst>
        </c:ser>
        <c:ser>
          <c:idx val="1"/>
          <c:order val="1"/>
          <c:tx>
            <c:strRef>
              <c:f>Clinical!$C$38</c:f>
              <c:strCache>
                <c:ptCount val="1"/>
                <c:pt idx="0">
                  <c:v>BME 2020</c:v>
                </c:pt>
              </c:strCache>
            </c:strRef>
          </c:tx>
          <c:invertIfNegative val="0"/>
          <c:cat>
            <c:strRef>
              <c:f>Clinical!$A$39:$A$54</c:f>
              <c:strCache>
                <c:ptCount val="16"/>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pt idx="13">
                  <c:v>Medical: Consultants</c:v>
                </c:pt>
                <c:pt idx="14">
                  <c:v>Medical: Non-consultant career grade</c:v>
                </c:pt>
                <c:pt idx="15">
                  <c:v>Medical: Trainee</c:v>
                </c:pt>
              </c:strCache>
            </c:strRef>
          </c:cat>
          <c:val>
            <c:numRef>
              <c:f>Clinical!$C$39:$C$54</c:f>
              <c:numCache>
                <c:formatCode>General</c:formatCode>
                <c:ptCount val="16"/>
                <c:pt idx="1">
                  <c:v>203</c:v>
                </c:pt>
                <c:pt idx="2">
                  <c:v>85</c:v>
                </c:pt>
                <c:pt idx="3">
                  <c:v>43</c:v>
                </c:pt>
                <c:pt idx="4">
                  <c:v>334</c:v>
                </c:pt>
                <c:pt idx="5">
                  <c:v>207</c:v>
                </c:pt>
                <c:pt idx="6">
                  <c:v>71</c:v>
                </c:pt>
                <c:pt idx="7">
                  <c:v>20</c:v>
                </c:pt>
                <c:pt idx="8">
                  <c:v>3</c:v>
                </c:pt>
                <c:pt idx="9">
                  <c:v>0</c:v>
                </c:pt>
                <c:pt idx="10">
                  <c:v>0</c:v>
                </c:pt>
                <c:pt idx="12">
                  <c:v>2</c:v>
                </c:pt>
                <c:pt idx="13">
                  <c:v>146</c:v>
                </c:pt>
                <c:pt idx="14">
                  <c:v>28</c:v>
                </c:pt>
                <c:pt idx="15">
                  <c:v>198</c:v>
                </c:pt>
              </c:numCache>
            </c:numRef>
          </c:val>
          <c:extLst xmlns:c16r2="http://schemas.microsoft.com/office/drawing/2015/06/chart">
            <c:ext xmlns:c16="http://schemas.microsoft.com/office/drawing/2014/chart" uri="{C3380CC4-5D6E-409C-BE32-E72D297353CC}">
              <c16:uniqueId val="{00000001-4308-416C-8C96-D847096D1C1A}"/>
            </c:ext>
          </c:extLst>
        </c:ser>
        <c:ser>
          <c:idx val="2"/>
          <c:order val="2"/>
          <c:tx>
            <c:strRef>
              <c:f>Clinical!$D$38</c:f>
              <c:strCache>
                <c:ptCount val="1"/>
                <c:pt idx="0">
                  <c:v>BME 2021</c:v>
                </c:pt>
              </c:strCache>
            </c:strRef>
          </c:tx>
          <c:invertIfNegative val="0"/>
          <c:cat>
            <c:strRef>
              <c:f>Clinical!$A$39:$A$54</c:f>
              <c:strCache>
                <c:ptCount val="16"/>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pt idx="13">
                  <c:v>Medical: Consultants</c:v>
                </c:pt>
                <c:pt idx="14">
                  <c:v>Medical: Non-consultant career grade</c:v>
                </c:pt>
                <c:pt idx="15">
                  <c:v>Medical: Trainee</c:v>
                </c:pt>
              </c:strCache>
            </c:strRef>
          </c:cat>
          <c:val>
            <c:numRef>
              <c:f>Clinical!$D$39:$D$54</c:f>
              <c:numCache>
                <c:formatCode>General</c:formatCode>
                <c:ptCount val="16"/>
                <c:pt idx="1">
                  <c:v>216</c:v>
                </c:pt>
                <c:pt idx="2">
                  <c:v>94</c:v>
                </c:pt>
                <c:pt idx="3">
                  <c:v>62</c:v>
                </c:pt>
                <c:pt idx="4">
                  <c:v>344</c:v>
                </c:pt>
                <c:pt idx="5">
                  <c:v>225</c:v>
                </c:pt>
                <c:pt idx="6">
                  <c:v>85</c:v>
                </c:pt>
                <c:pt idx="7">
                  <c:v>22</c:v>
                </c:pt>
                <c:pt idx="8">
                  <c:v>4</c:v>
                </c:pt>
                <c:pt idx="9">
                  <c:v>0</c:v>
                </c:pt>
                <c:pt idx="10">
                  <c:v>0</c:v>
                </c:pt>
                <c:pt idx="11">
                  <c:v>0</c:v>
                </c:pt>
                <c:pt idx="12">
                  <c:v>1</c:v>
                </c:pt>
                <c:pt idx="13">
                  <c:v>152</c:v>
                </c:pt>
                <c:pt idx="14">
                  <c:v>26</c:v>
                </c:pt>
                <c:pt idx="15">
                  <c:v>239</c:v>
                </c:pt>
              </c:numCache>
            </c:numRef>
          </c:val>
          <c:extLst xmlns:c16r2="http://schemas.microsoft.com/office/drawing/2015/06/chart">
            <c:ext xmlns:c16="http://schemas.microsoft.com/office/drawing/2014/chart" uri="{C3380CC4-5D6E-409C-BE32-E72D297353CC}">
              <c16:uniqueId val="{00000002-4308-416C-8C96-D847096D1C1A}"/>
            </c:ext>
          </c:extLst>
        </c:ser>
        <c:dLbls>
          <c:showLegendKey val="0"/>
          <c:showVal val="0"/>
          <c:showCatName val="0"/>
          <c:showSerName val="0"/>
          <c:showPercent val="0"/>
          <c:showBubbleSize val="0"/>
        </c:dLbls>
        <c:gapWidth val="150"/>
        <c:axId val="136066560"/>
        <c:axId val="606451904"/>
      </c:barChart>
      <c:catAx>
        <c:axId val="136066560"/>
        <c:scaling>
          <c:orientation val="minMax"/>
        </c:scaling>
        <c:delete val="0"/>
        <c:axPos val="b"/>
        <c:numFmt formatCode="General" sourceLinked="0"/>
        <c:majorTickMark val="out"/>
        <c:minorTickMark val="none"/>
        <c:tickLblPos val="nextTo"/>
        <c:crossAx val="606451904"/>
        <c:crosses val="autoZero"/>
        <c:auto val="1"/>
        <c:lblAlgn val="ctr"/>
        <c:lblOffset val="100"/>
        <c:noMultiLvlLbl val="0"/>
      </c:catAx>
      <c:valAx>
        <c:axId val="606451904"/>
        <c:scaling>
          <c:orientation val="minMax"/>
        </c:scaling>
        <c:delete val="0"/>
        <c:axPos val="l"/>
        <c:numFmt formatCode="General" sourceLinked="1"/>
        <c:majorTickMark val="out"/>
        <c:minorTickMark val="none"/>
        <c:tickLblPos val="nextTo"/>
        <c:crossAx val="136066560"/>
        <c:crosses val="autoZero"/>
        <c:crossBetween val="between"/>
      </c:valAx>
    </c:plotArea>
    <c:legend>
      <c:legendPos val="r"/>
      <c:layout>
        <c:manualLayout>
          <c:xMode val="edge"/>
          <c:yMode val="edge"/>
          <c:x val="0.85690121537355601"/>
          <c:y val="2.4130938056335455E-2"/>
          <c:w val="0.12399050437166692"/>
          <c:h val="0.1939186422072576"/>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147105935168115E-2"/>
          <c:y val="4.2935206869633098E-2"/>
          <c:w val="0.92789060196974704"/>
          <c:h val="0.81962603035276327"/>
        </c:manualLayout>
      </c:layout>
      <c:barChart>
        <c:barDir val="col"/>
        <c:grouping val="clustered"/>
        <c:varyColors val="0"/>
        <c:ser>
          <c:idx val="0"/>
          <c:order val="0"/>
          <c:tx>
            <c:strRef>
              <c:f>'Ind 1 - NC'!$B$21</c:f>
              <c:strCache>
                <c:ptCount val="1"/>
                <c:pt idx="0">
                  <c:v>BME 2019</c:v>
                </c:pt>
              </c:strCache>
            </c:strRef>
          </c:tx>
          <c:invertIfNegative val="0"/>
          <c:cat>
            <c:strRef>
              <c:f>'Ind 1 - NC'!$A$22:$A$34</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'Ind 1 - NC'!$B$22:$B$34</c:f>
              <c:numCache>
                <c:formatCode>General</c:formatCode>
                <c:ptCount val="13"/>
                <c:pt idx="0">
                  <c:v>49</c:v>
                </c:pt>
                <c:pt idx="1">
                  <c:v>30</c:v>
                </c:pt>
                <c:pt idx="2">
                  <c:v>15</c:v>
                </c:pt>
                <c:pt idx="3">
                  <c:v>14</c:v>
                </c:pt>
                <c:pt idx="4">
                  <c:v>6</c:v>
                </c:pt>
                <c:pt idx="5">
                  <c:v>2</c:v>
                </c:pt>
                <c:pt idx="6">
                  <c:v>4</c:v>
                </c:pt>
                <c:pt idx="7">
                  <c:v>3</c:v>
                </c:pt>
                <c:pt idx="8">
                  <c:v>2</c:v>
                </c:pt>
                <c:pt idx="12">
                  <c:v>1</c:v>
                </c:pt>
              </c:numCache>
            </c:numRef>
          </c:val>
          <c:extLst xmlns:c16r2="http://schemas.microsoft.com/office/drawing/2015/06/chart">
            <c:ext xmlns:c16="http://schemas.microsoft.com/office/drawing/2014/chart" uri="{C3380CC4-5D6E-409C-BE32-E72D297353CC}">
              <c16:uniqueId val="{00000000-9C4A-4520-A5B6-43B37FCFFFD6}"/>
            </c:ext>
          </c:extLst>
        </c:ser>
        <c:ser>
          <c:idx val="1"/>
          <c:order val="1"/>
          <c:tx>
            <c:strRef>
              <c:f>'Ind 1 - NC'!$C$21</c:f>
              <c:strCache>
                <c:ptCount val="1"/>
                <c:pt idx="0">
                  <c:v>BME 2020</c:v>
                </c:pt>
              </c:strCache>
            </c:strRef>
          </c:tx>
          <c:invertIfNegative val="0"/>
          <c:cat>
            <c:strRef>
              <c:f>'Ind 1 - NC'!$A$22:$A$34</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'Ind 1 - NC'!$C$22:$C$34</c:f>
              <c:numCache>
                <c:formatCode>General</c:formatCode>
                <c:ptCount val="13"/>
                <c:pt idx="0">
                  <c:v>22</c:v>
                </c:pt>
                <c:pt idx="1">
                  <c:v>64</c:v>
                </c:pt>
                <c:pt idx="2">
                  <c:v>20</c:v>
                </c:pt>
                <c:pt idx="3">
                  <c:v>15</c:v>
                </c:pt>
                <c:pt idx="4">
                  <c:v>7</c:v>
                </c:pt>
                <c:pt idx="5">
                  <c:v>4</c:v>
                </c:pt>
                <c:pt idx="6">
                  <c:v>3</c:v>
                </c:pt>
                <c:pt idx="7">
                  <c:v>1</c:v>
                </c:pt>
                <c:pt idx="8">
                  <c:v>2</c:v>
                </c:pt>
                <c:pt idx="9">
                  <c:v>1</c:v>
                </c:pt>
                <c:pt idx="10">
                  <c:v>0</c:v>
                </c:pt>
                <c:pt idx="11">
                  <c:v>0</c:v>
                </c:pt>
                <c:pt idx="12">
                  <c:v>0</c:v>
                </c:pt>
              </c:numCache>
            </c:numRef>
          </c:val>
          <c:extLst xmlns:c16r2="http://schemas.microsoft.com/office/drawing/2015/06/chart">
            <c:ext xmlns:c16="http://schemas.microsoft.com/office/drawing/2014/chart" uri="{C3380CC4-5D6E-409C-BE32-E72D297353CC}">
              <c16:uniqueId val="{00000001-9C4A-4520-A5B6-43B37FCFFFD6}"/>
            </c:ext>
          </c:extLst>
        </c:ser>
        <c:ser>
          <c:idx val="2"/>
          <c:order val="2"/>
          <c:tx>
            <c:strRef>
              <c:f>'Ind 1 - NC'!$D$21</c:f>
              <c:strCache>
                <c:ptCount val="1"/>
                <c:pt idx="0">
                  <c:v>BME 2021</c:v>
                </c:pt>
              </c:strCache>
            </c:strRef>
          </c:tx>
          <c:invertIfNegative val="0"/>
          <c:cat>
            <c:strRef>
              <c:f>'Ind 1 - NC'!$A$22:$A$34</c:f>
              <c:strCache>
                <c:ptCount val="13"/>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strCache>
            </c:strRef>
          </c:cat>
          <c:val>
            <c:numRef>
              <c:f>'Ind 1 - NC'!$D$22:$D$34</c:f>
              <c:numCache>
                <c:formatCode>General</c:formatCode>
                <c:ptCount val="13"/>
                <c:pt idx="0">
                  <c:v>3</c:v>
                </c:pt>
                <c:pt idx="1">
                  <c:v>85</c:v>
                </c:pt>
                <c:pt idx="2">
                  <c:v>20</c:v>
                </c:pt>
                <c:pt idx="3">
                  <c:v>15</c:v>
                </c:pt>
                <c:pt idx="4">
                  <c:v>8</c:v>
                </c:pt>
                <c:pt idx="5">
                  <c:v>5</c:v>
                </c:pt>
                <c:pt idx="6">
                  <c:v>5</c:v>
                </c:pt>
                <c:pt idx="7">
                  <c:v>3</c:v>
                </c:pt>
                <c:pt idx="8">
                  <c:v>1</c:v>
                </c:pt>
                <c:pt idx="10">
                  <c:v>1</c:v>
                </c:pt>
              </c:numCache>
            </c:numRef>
          </c:val>
          <c:extLst xmlns:c16r2="http://schemas.microsoft.com/office/drawing/2015/06/chart">
            <c:ext xmlns:c16="http://schemas.microsoft.com/office/drawing/2014/chart" uri="{C3380CC4-5D6E-409C-BE32-E72D297353CC}">
              <c16:uniqueId val="{00000002-9C4A-4520-A5B6-43B37FCFFFD6}"/>
            </c:ext>
          </c:extLst>
        </c:ser>
        <c:dLbls>
          <c:showLegendKey val="0"/>
          <c:showVal val="0"/>
          <c:showCatName val="0"/>
          <c:showSerName val="0"/>
          <c:showPercent val="0"/>
          <c:showBubbleSize val="0"/>
        </c:dLbls>
        <c:gapWidth val="150"/>
        <c:axId val="136066048"/>
        <c:axId val="639173184"/>
      </c:barChart>
      <c:catAx>
        <c:axId val="136066048"/>
        <c:scaling>
          <c:orientation val="minMax"/>
        </c:scaling>
        <c:delete val="0"/>
        <c:axPos val="b"/>
        <c:numFmt formatCode="General" sourceLinked="0"/>
        <c:majorTickMark val="out"/>
        <c:minorTickMark val="none"/>
        <c:tickLblPos val="nextTo"/>
        <c:crossAx val="639173184"/>
        <c:crosses val="autoZero"/>
        <c:auto val="1"/>
        <c:lblAlgn val="ctr"/>
        <c:lblOffset val="100"/>
        <c:noMultiLvlLbl val="0"/>
      </c:catAx>
      <c:valAx>
        <c:axId val="639173184"/>
        <c:scaling>
          <c:orientation val="minMax"/>
        </c:scaling>
        <c:delete val="0"/>
        <c:axPos val="l"/>
        <c:numFmt formatCode="General" sourceLinked="1"/>
        <c:majorTickMark val="out"/>
        <c:minorTickMark val="none"/>
        <c:tickLblPos val="nextTo"/>
        <c:txPr>
          <a:bodyPr/>
          <a:lstStyle/>
          <a:p>
            <a:pPr>
              <a:defRPr sz="1000"/>
            </a:pPr>
            <a:endParaRPr lang="en-US"/>
          </a:p>
        </c:txPr>
        <c:crossAx val="136066048"/>
        <c:crosses val="autoZero"/>
        <c:crossBetween val="between"/>
      </c:valAx>
    </c:plotArea>
    <c:legend>
      <c:legendPos val="r"/>
      <c:overlay val="0"/>
      <c:txPr>
        <a:bodyPr/>
        <a:lstStyle/>
        <a:p>
          <a:pPr>
            <a:defRPr sz="1000"/>
          </a:pPr>
          <a:endParaRPr lang="en-US"/>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225299151375828E-2"/>
          <c:y val="2.3435175441779456E-2"/>
          <c:w val="0.90623186774339437"/>
          <c:h val="0.41074548415417567"/>
        </c:manualLayout>
      </c:layout>
      <c:barChart>
        <c:barDir val="col"/>
        <c:grouping val="clustered"/>
        <c:varyColors val="0"/>
        <c:ser>
          <c:idx val="0"/>
          <c:order val="0"/>
          <c:tx>
            <c:strRef>
              <c:f>'Ind 1 - Clin'!$B$23</c:f>
              <c:strCache>
                <c:ptCount val="1"/>
                <c:pt idx="0">
                  <c:v>BME 2019</c:v>
                </c:pt>
              </c:strCache>
            </c:strRef>
          </c:tx>
          <c:invertIfNegative val="0"/>
          <c:cat>
            <c:strRef>
              <c:f>'Ind 1 - Clin'!$A$24:$A$39</c:f>
              <c:strCache>
                <c:ptCount val="16"/>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pt idx="13">
                  <c:v>Medical: Consultants</c:v>
                </c:pt>
                <c:pt idx="14">
                  <c:v>Medical: Non-consultant career grade</c:v>
                </c:pt>
                <c:pt idx="15">
                  <c:v>Medical: Trainee</c:v>
                </c:pt>
              </c:strCache>
            </c:strRef>
          </c:cat>
          <c:val>
            <c:numRef>
              <c:f>'Ind 1 - Clin'!$B$24:$B$39</c:f>
              <c:numCache>
                <c:formatCode>General</c:formatCode>
                <c:ptCount val="16"/>
                <c:pt idx="0">
                  <c:v>2</c:v>
                </c:pt>
                <c:pt idx="1">
                  <c:v>188</c:v>
                </c:pt>
                <c:pt idx="2">
                  <c:v>40</c:v>
                </c:pt>
                <c:pt idx="3">
                  <c:v>13</c:v>
                </c:pt>
                <c:pt idx="4">
                  <c:v>331</c:v>
                </c:pt>
                <c:pt idx="5">
                  <c:v>126</c:v>
                </c:pt>
                <c:pt idx="6">
                  <c:v>34</c:v>
                </c:pt>
                <c:pt idx="7">
                  <c:v>9</c:v>
                </c:pt>
                <c:pt idx="13">
                  <c:v>88</c:v>
                </c:pt>
                <c:pt idx="14">
                  <c:v>34</c:v>
                </c:pt>
                <c:pt idx="15">
                  <c:v>109</c:v>
                </c:pt>
              </c:numCache>
            </c:numRef>
          </c:val>
          <c:extLst xmlns:c16r2="http://schemas.microsoft.com/office/drawing/2015/06/chart">
            <c:ext xmlns:c16="http://schemas.microsoft.com/office/drawing/2014/chart" uri="{C3380CC4-5D6E-409C-BE32-E72D297353CC}">
              <c16:uniqueId val="{00000000-6742-4091-853D-586F4C9EC192}"/>
            </c:ext>
          </c:extLst>
        </c:ser>
        <c:ser>
          <c:idx val="1"/>
          <c:order val="1"/>
          <c:tx>
            <c:strRef>
              <c:f>'Ind 1 - Clin'!$C$23</c:f>
              <c:strCache>
                <c:ptCount val="1"/>
                <c:pt idx="0">
                  <c:v>BME 2020</c:v>
                </c:pt>
              </c:strCache>
            </c:strRef>
          </c:tx>
          <c:invertIfNegative val="0"/>
          <c:cat>
            <c:strRef>
              <c:f>'Ind 1 - Clin'!$A$24:$A$39</c:f>
              <c:strCache>
                <c:ptCount val="16"/>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pt idx="13">
                  <c:v>Medical: Consultants</c:v>
                </c:pt>
                <c:pt idx="14">
                  <c:v>Medical: Non-consultant career grade</c:v>
                </c:pt>
                <c:pt idx="15">
                  <c:v>Medical: Trainee</c:v>
                </c:pt>
              </c:strCache>
            </c:strRef>
          </c:cat>
          <c:val>
            <c:numRef>
              <c:f>'Ind 1 - Clin'!$C$24:$C$39</c:f>
              <c:numCache>
                <c:formatCode>General</c:formatCode>
                <c:ptCount val="16"/>
                <c:pt idx="0">
                  <c:v>1</c:v>
                </c:pt>
                <c:pt idx="1">
                  <c:v>195</c:v>
                </c:pt>
                <c:pt idx="2">
                  <c:v>38</c:v>
                </c:pt>
                <c:pt idx="3">
                  <c:v>16</c:v>
                </c:pt>
                <c:pt idx="4">
                  <c:v>362</c:v>
                </c:pt>
                <c:pt idx="5">
                  <c:v>138</c:v>
                </c:pt>
                <c:pt idx="6">
                  <c:v>44</c:v>
                </c:pt>
                <c:pt idx="7">
                  <c:v>10</c:v>
                </c:pt>
                <c:pt idx="8">
                  <c:v>0</c:v>
                </c:pt>
                <c:pt idx="9">
                  <c:v>0</c:v>
                </c:pt>
                <c:pt idx="10">
                  <c:v>0</c:v>
                </c:pt>
                <c:pt idx="11">
                  <c:v>0</c:v>
                </c:pt>
                <c:pt idx="12">
                  <c:v>0</c:v>
                </c:pt>
                <c:pt idx="13">
                  <c:v>97</c:v>
                </c:pt>
                <c:pt idx="14">
                  <c:v>71</c:v>
                </c:pt>
                <c:pt idx="15">
                  <c:v>108</c:v>
                </c:pt>
              </c:numCache>
            </c:numRef>
          </c:val>
          <c:extLst xmlns:c16r2="http://schemas.microsoft.com/office/drawing/2015/06/chart">
            <c:ext xmlns:c16="http://schemas.microsoft.com/office/drawing/2014/chart" uri="{C3380CC4-5D6E-409C-BE32-E72D297353CC}">
              <c16:uniqueId val="{00000001-6742-4091-853D-586F4C9EC192}"/>
            </c:ext>
          </c:extLst>
        </c:ser>
        <c:ser>
          <c:idx val="2"/>
          <c:order val="2"/>
          <c:tx>
            <c:strRef>
              <c:f>'Ind 1 - Clin'!$D$23</c:f>
              <c:strCache>
                <c:ptCount val="1"/>
                <c:pt idx="0">
                  <c:v>BME 2021</c:v>
                </c:pt>
              </c:strCache>
            </c:strRef>
          </c:tx>
          <c:invertIfNegative val="0"/>
          <c:cat>
            <c:strRef>
              <c:f>'Ind 1 - Clin'!$A$24:$A$39</c:f>
              <c:strCache>
                <c:ptCount val="16"/>
                <c:pt idx="0">
                  <c:v>Band 1</c:v>
                </c:pt>
                <c:pt idx="1">
                  <c:v>Band 2</c:v>
                </c:pt>
                <c:pt idx="2">
                  <c:v>Band 3</c:v>
                </c:pt>
                <c:pt idx="3">
                  <c:v>Band 4</c:v>
                </c:pt>
                <c:pt idx="4">
                  <c:v>Band 5</c:v>
                </c:pt>
                <c:pt idx="5">
                  <c:v>Band 6</c:v>
                </c:pt>
                <c:pt idx="6">
                  <c:v>Band 7</c:v>
                </c:pt>
                <c:pt idx="7">
                  <c:v>Band 8a</c:v>
                </c:pt>
                <c:pt idx="8">
                  <c:v>Band 8b</c:v>
                </c:pt>
                <c:pt idx="9">
                  <c:v>Band 8c</c:v>
                </c:pt>
                <c:pt idx="10">
                  <c:v>Band 8d</c:v>
                </c:pt>
                <c:pt idx="11">
                  <c:v>Band 9</c:v>
                </c:pt>
                <c:pt idx="12">
                  <c:v>VSM</c:v>
                </c:pt>
                <c:pt idx="13">
                  <c:v>Medical: Consultants</c:v>
                </c:pt>
                <c:pt idx="14">
                  <c:v>Medical: Non-consultant career grade</c:v>
                </c:pt>
                <c:pt idx="15">
                  <c:v>Medical: Trainee</c:v>
                </c:pt>
              </c:strCache>
            </c:strRef>
          </c:cat>
          <c:val>
            <c:numRef>
              <c:f>'Ind 1 - Clin'!$D$24:$D$39</c:f>
              <c:numCache>
                <c:formatCode>General</c:formatCode>
                <c:ptCount val="16"/>
                <c:pt idx="0">
                  <c:v>1</c:v>
                </c:pt>
                <c:pt idx="1">
                  <c:v>195</c:v>
                </c:pt>
                <c:pt idx="2">
                  <c:v>79</c:v>
                </c:pt>
                <c:pt idx="3">
                  <c:v>17</c:v>
                </c:pt>
                <c:pt idx="4">
                  <c:v>418</c:v>
                </c:pt>
                <c:pt idx="5">
                  <c:v>151</c:v>
                </c:pt>
                <c:pt idx="6">
                  <c:v>47</c:v>
                </c:pt>
                <c:pt idx="7">
                  <c:v>9</c:v>
                </c:pt>
                <c:pt idx="12">
                  <c:v>1</c:v>
                </c:pt>
                <c:pt idx="13">
                  <c:v>83</c:v>
                </c:pt>
                <c:pt idx="14">
                  <c:v>90</c:v>
                </c:pt>
                <c:pt idx="15">
                  <c:v>121</c:v>
                </c:pt>
              </c:numCache>
            </c:numRef>
          </c:val>
          <c:extLst xmlns:c16r2="http://schemas.microsoft.com/office/drawing/2015/06/chart">
            <c:ext xmlns:c16="http://schemas.microsoft.com/office/drawing/2014/chart" uri="{C3380CC4-5D6E-409C-BE32-E72D297353CC}">
              <c16:uniqueId val="{00000002-6742-4091-853D-586F4C9EC192}"/>
            </c:ext>
          </c:extLst>
        </c:ser>
        <c:dLbls>
          <c:showLegendKey val="0"/>
          <c:showVal val="0"/>
          <c:showCatName val="0"/>
          <c:showSerName val="0"/>
          <c:showPercent val="0"/>
          <c:showBubbleSize val="0"/>
        </c:dLbls>
        <c:gapWidth val="150"/>
        <c:axId val="136067072"/>
        <c:axId val="639174336"/>
      </c:barChart>
      <c:catAx>
        <c:axId val="136067072"/>
        <c:scaling>
          <c:orientation val="minMax"/>
        </c:scaling>
        <c:delete val="0"/>
        <c:axPos val="b"/>
        <c:numFmt formatCode="General" sourceLinked="0"/>
        <c:majorTickMark val="out"/>
        <c:minorTickMark val="none"/>
        <c:tickLblPos val="nextTo"/>
        <c:crossAx val="639174336"/>
        <c:crosses val="autoZero"/>
        <c:auto val="1"/>
        <c:lblAlgn val="ctr"/>
        <c:lblOffset val="100"/>
        <c:noMultiLvlLbl val="0"/>
      </c:catAx>
      <c:valAx>
        <c:axId val="639174336"/>
        <c:scaling>
          <c:orientation val="minMax"/>
        </c:scaling>
        <c:delete val="0"/>
        <c:axPos val="l"/>
        <c:numFmt formatCode="General" sourceLinked="1"/>
        <c:majorTickMark val="out"/>
        <c:minorTickMark val="none"/>
        <c:tickLblPos val="nextTo"/>
        <c:crossAx val="136067072"/>
        <c:crosses val="autoZero"/>
        <c:crossBetween val="between"/>
      </c:valAx>
      <c:spPr>
        <a:noFill/>
        <a:ln w="25400">
          <a:noFill/>
        </a:ln>
      </c:spPr>
    </c:plotArea>
    <c:legend>
      <c:legendPos val="r"/>
      <c:layout>
        <c:manualLayout>
          <c:xMode val="edge"/>
          <c:yMode val="edge"/>
          <c:x val="0.83596807735376177"/>
          <c:y val="3.8692744052154796E-2"/>
          <c:w val="0.14647486219978711"/>
          <c:h val="0.20832849522841904"/>
        </c:manualLayout>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Sheet1!$A$55</c:f>
              <c:strCache>
                <c:ptCount val="1"/>
                <c:pt idx="0">
                  <c:v>White applicants</c:v>
                </c:pt>
              </c:strCache>
            </c:strRef>
          </c:tx>
          <c:spPr>
            <a:solidFill>
              <a:schemeClr val="accent2">
                <a:lumMod val="60000"/>
                <a:lumOff val="40000"/>
                <a:alpha val="38039"/>
              </a:schemeClr>
            </a:solidFill>
            <a:ln>
              <a:noFill/>
            </a:ln>
          </c:spPr>
          <c:invertIfNegative val="0"/>
          <c:cat>
            <c:strRef>
              <c:f>Sheet1!$B$54:$D$54</c:f>
              <c:strCache>
                <c:ptCount val="3"/>
                <c:pt idx="0">
                  <c:v>2019 Report</c:v>
                </c:pt>
                <c:pt idx="1">
                  <c:v>2020 Report</c:v>
                </c:pt>
                <c:pt idx="2">
                  <c:v>2021 Report</c:v>
                </c:pt>
              </c:strCache>
            </c:strRef>
          </c:cat>
          <c:val>
            <c:numRef>
              <c:f>Sheet1!$B$55:$D$55</c:f>
              <c:numCache>
                <c:formatCode>General</c:formatCode>
                <c:ptCount val="3"/>
                <c:pt idx="0">
                  <c:v>1.17</c:v>
                </c:pt>
                <c:pt idx="1">
                  <c:v>3.8</c:v>
                </c:pt>
                <c:pt idx="2" formatCode="0.00">
                  <c:v>1.62</c:v>
                </c:pt>
              </c:numCache>
            </c:numRef>
          </c:val>
          <c:extLst xmlns:c16r2="http://schemas.microsoft.com/office/drawing/2015/06/chart">
            <c:ext xmlns:c16="http://schemas.microsoft.com/office/drawing/2014/chart" uri="{C3380CC4-5D6E-409C-BE32-E72D297353CC}">
              <c16:uniqueId val="{00000000-2C21-4C16-A729-E2B383C26543}"/>
            </c:ext>
          </c:extLst>
        </c:ser>
        <c:dLbls>
          <c:showLegendKey val="0"/>
          <c:showVal val="0"/>
          <c:showCatName val="0"/>
          <c:showSerName val="0"/>
          <c:showPercent val="0"/>
          <c:showBubbleSize val="0"/>
        </c:dLbls>
        <c:gapWidth val="150"/>
        <c:axId val="136067584"/>
        <c:axId val="639175488"/>
      </c:barChart>
      <c:lineChart>
        <c:grouping val="standard"/>
        <c:varyColors val="0"/>
        <c:ser>
          <c:idx val="1"/>
          <c:order val="1"/>
          <c:tx>
            <c:strRef>
              <c:f>Sheet1!$A$56</c:f>
              <c:strCache>
                <c:ptCount val="1"/>
                <c:pt idx="0">
                  <c:v>BME applicants</c:v>
                </c:pt>
              </c:strCache>
            </c:strRef>
          </c:tx>
          <c:spPr>
            <a:ln>
              <a:solidFill>
                <a:schemeClr val="accent1"/>
              </a:solidFill>
            </a:ln>
          </c:spPr>
          <c:marker>
            <c:symbol val="none"/>
          </c:marker>
          <c:cat>
            <c:strRef>
              <c:f>Sheet1!$B$54:$D$54</c:f>
              <c:strCache>
                <c:ptCount val="3"/>
                <c:pt idx="0">
                  <c:v>2019 Report</c:v>
                </c:pt>
                <c:pt idx="1">
                  <c:v>2020 Report</c:v>
                </c:pt>
                <c:pt idx="2">
                  <c:v>2021 Report</c:v>
                </c:pt>
              </c:strCache>
            </c:strRef>
          </c:cat>
          <c:val>
            <c:numRef>
              <c:f>Sheet1!$B$56:$D$56</c:f>
              <c:numCache>
                <c:formatCode>General</c:formatCode>
                <c:ptCount val="3"/>
                <c:pt idx="0">
                  <c:v>1</c:v>
                </c:pt>
                <c:pt idx="1">
                  <c:v>1</c:v>
                </c:pt>
                <c:pt idx="2">
                  <c:v>1</c:v>
                </c:pt>
              </c:numCache>
            </c:numRef>
          </c:val>
          <c:smooth val="0"/>
          <c:extLst xmlns:c16r2="http://schemas.microsoft.com/office/drawing/2015/06/chart">
            <c:ext xmlns:c16="http://schemas.microsoft.com/office/drawing/2014/chart" uri="{C3380CC4-5D6E-409C-BE32-E72D297353CC}">
              <c16:uniqueId val="{00000001-2C21-4C16-A729-E2B383C26543}"/>
            </c:ext>
          </c:extLst>
        </c:ser>
        <c:ser>
          <c:idx val="2"/>
          <c:order val="2"/>
          <c:tx>
            <c:strRef>
              <c:f>Sheet1!$A$57</c:f>
              <c:strCache>
                <c:ptCount val="1"/>
                <c:pt idx="0">
                  <c:v>Upper line - rule of 4/5ths</c:v>
                </c:pt>
              </c:strCache>
            </c:strRef>
          </c:tx>
          <c:spPr>
            <a:ln>
              <a:solidFill>
                <a:srgbClr val="92D050"/>
              </a:solidFill>
              <a:prstDash val="sysDash"/>
            </a:ln>
          </c:spPr>
          <c:marker>
            <c:symbol val="none"/>
          </c:marker>
          <c:cat>
            <c:strRef>
              <c:f>Sheet1!$B$54:$D$54</c:f>
              <c:strCache>
                <c:ptCount val="3"/>
                <c:pt idx="0">
                  <c:v>2019 Report</c:v>
                </c:pt>
                <c:pt idx="1">
                  <c:v>2020 Report</c:v>
                </c:pt>
                <c:pt idx="2">
                  <c:v>2021 Report</c:v>
                </c:pt>
              </c:strCache>
            </c:strRef>
          </c:cat>
          <c:val>
            <c:numRef>
              <c:f>Sheet1!$B$57:$D$57</c:f>
              <c:numCache>
                <c:formatCode>General</c:formatCode>
                <c:ptCount val="3"/>
                <c:pt idx="0">
                  <c:v>1.2</c:v>
                </c:pt>
                <c:pt idx="1">
                  <c:v>1.2</c:v>
                </c:pt>
                <c:pt idx="2">
                  <c:v>1.2</c:v>
                </c:pt>
              </c:numCache>
            </c:numRef>
          </c:val>
          <c:smooth val="0"/>
          <c:extLst xmlns:c16r2="http://schemas.microsoft.com/office/drawing/2015/06/chart">
            <c:ext xmlns:c16="http://schemas.microsoft.com/office/drawing/2014/chart" uri="{C3380CC4-5D6E-409C-BE32-E72D297353CC}">
              <c16:uniqueId val="{00000002-2C21-4C16-A729-E2B383C26543}"/>
            </c:ext>
          </c:extLst>
        </c:ser>
        <c:ser>
          <c:idx val="3"/>
          <c:order val="3"/>
          <c:tx>
            <c:strRef>
              <c:f>Sheet1!$A$58</c:f>
              <c:strCache>
                <c:ptCount val="1"/>
                <c:pt idx="0">
                  <c:v>Lower line - rule of 4/5ths</c:v>
                </c:pt>
              </c:strCache>
            </c:strRef>
          </c:tx>
          <c:spPr>
            <a:ln>
              <a:solidFill>
                <a:srgbClr val="7030A0"/>
              </a:solidFill>
              <a:prstDash val="sysDot"/>
            </a:ln>
          </c:spPr>
          <c:marker>
            <c:symbol val="none"/>
          </c:marker>
          <c:cat>
            <c:strRef>
              <c:f>Sheet1!$B$54:$D$54</c:f>
              <c:strCache>
                <c:ptCount val="3"/>
                <c:pt idx="0">
                  <c:v>2019 Report</c:v>
                </c:pt>
                <c:pt idx="1">
                  <c:v>2020 Report</c:v>
                </c:pt>
                <c:pt idx="2">
                  <c:v>2021 Report</c:v>
                </c:pt>
              </c:strCache>
            </c:strRef>
          </c:cat>
          <c:val>
            <c:numRef>
              <c:f>Sheet1!$B$58:$D$58</c:f>
              <c:numCache>
                <c:formatCode>General</c:formatCode>
                <c:ptCount val="3"/>
                <c:pt idx="0">
                  <c:v>0.8</c:v>
                </c:pt>
                <c:pt idx="1">
                  <c:v>0.8</c:v>
                </c:pt>
                <c:pt idx="2">
                  <c:v>0.8</c:v>
                </c:pt>
              </c:numCache>
            </c:numRef>
          </c:val>
          <c:smooth val="0"/>
          <c:extLst xmlns:c16r2="http://schemas.microsoft.com/office/drawing/2015/06/chart">
            <c:ext xmlns:c16="http://schemas.microsoft.com/office/drawing/2014/chart" uri="{C3380CC4-5D6E-409C-BE32-E72D297353CC}">
              <c16:uniqueId val="{00000003-2C21-4C16-A729-E2B383C26543}"/>
            </c:ext>
          </c:extLst>
        </c:ser>
        <c:dLbls>
          <c:showLegendKey val="0"/>
          <c:showVal val="0"/>
          <c:showCatName val="0"/>
          <c:showSerName val="0"/>
          <c:showPercent val="0"/>
          <c:showBubbleSize val="0"/>
        </c:dLbls>
        <c:marker val="1"/>
        <c:smooth val="0"/>
        <c:axId val="136067584"/>
        <c:axId val="639175488"/>
      </c:lineChart>
      <c:catAx>
        <c:axId val="136067584"/>
        <c:scaling>
          <c:orientation val="minMax"/>
        </c:scaling>
        <c:delete val="0"/>
        <c:axPos val="b"/>
        <c:numFmt formatCode="General" sourceLinked="0"/>
        <c:majorTickMark val="out"/>
        <c:minorTickMark val="none"/>
        <c:tickLblPos val="nextTo"/>
        <c:crossAx val="639175488"/>
        <c:crosses val="autoZero"/>
        <c:auto val="1"/>
        <c:lblAlgn val="ctr"/>
        <c:lblOffset val="100"/>
        <c:noMultiLvlLbl val="0"/>
      </c:catAx>
      <c:valAx>
        <c:axId val="639175488"/>
        <c:scaling>
          <c:orientation val="minMax"/>
        </c:scaling>
        <c:delete val="0"/>
        <c:axPos val="l"/>
        <c:numFmt formatCode="General" sourceLinked="1"/>
        <c:majorTickMark val="out"/>
        <c:minorTickMark val="none"/>
        <c:tickLblPos val="nextTo"/>
        <c:crossAx val="136067584"/>
        <c:crosses val="autoZero"/>
        <c:crossBetween val="between"/>
      </c:valAx>
      <c:spPr>
        <a:noFill/>
        <a:ln w="25400">
          <a:noFill/>
        </a:ln>
      </c:spPr>
    </c:plotArea>
    <c:legend>
      <c:legendPos val="r"/>
      <c:layout>
        <c:manualLayout>
          <c:xMode val="edge"/>
          <c:yMode val="edge"/>
          <c:x val="0.65568081343943407"/>
          <c:y val="9.0912392018958801E-2"/>
          <c:w val="0.33105658709106983"/>
          <c:h val="0.85053767550900794"/>
        </c:manualLayout>
      </c:layout>
      <c:overlay val="0"/>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Combined!$E$18</c:f>
              <c:strCache>
                <c:ptCount val="1"/>
                <c:pt idx="0">
                  <c:v>White applicants</c:v>
                </c:pt>
              </c:strCache>
            </c:strRef>
          </c:tx>
          <c:spPr>
            <a:solidFill>
              <a:schemeClr val="accent2">
                <a:lumMod val="40000"/>
                <a:lumOff val="60000"/>
              </a:schemeClr>
            </a:solidFill>
          </c:spPr>
          <c:invertIfNegative val="0"/>
          <c:cat>
            <c:strRef>
              <c:f>Combined!$F$17:$H$17</c:f>
              <c:strCache>
                <c:ptCount val="3"/>
                <c:pt idx="0">
                  <c:v>2019 Report</c:v>
                </c:pt>
                <c:pt idx="1">
                  <c:v>2020 Report</c:v>
                </c:pt>
                <c:pt idx="2">
                  <c:v>2021 Report</c:v>
                </c:pt>
              </c:strCache>
            </c:strRef>
          </c:cat>
          <c:val>
            <c:numRef>
              <c:f>Combined!$F$18:$H$18</c:f>
              <c:numCache>
                <c:formatCode>General</c:formatCode>
                <c:ptCount val="3"/>
                <c:pt idx="0">
                  <c:v>1.22</c:v>
                </c:pt>
                <c:pt idx="1">
                  <c:v>1.32</c:v>
                </c:pt>
                <c:pt idx="2" formatCode="0.00">
                  <c:v>1.55</c:v>
                </c:pt>
              </c:numCache>
            </c:numRef>
          </c:val>
          <c:extLst xmlns:c16r2="http://schemas.microsoft.com/office/drawing/2015/06/chart">
            <c:ext xmlns:c16="http://schemas.microsoft.com/office/drawing/2014/chart" uri="{C3380CC4-5D6E-409C-BE32-E72D297353CC}">
              <c16:uniqueId val="{00000000-A6F7-454E-BEBA-3745518AC3F5}"/>
            </c:ext>
          </c:extLst>
        </c:ser>
        <c:dLbls>
          <c:showLegendKey val="0"/>
          <c:showVal val="0"/>
          <c:showCatName val="0"/>
          <c:showSerName val="0"/>
          <c:showPercent val="0"/>
          <c:showBubbleSize val="0"/>
        </c:dLbls>
        <c:gapWidth val="150"/>
        <c:axId val="136068608"/>
        <c:axId val="639177792"/>
      </c:barChart>
      <c:lineChart>
        <c:grouping val="standard"/>
        <c:varyColors val="0"/>
        <c:ser>
          <c:idx val="1"/>
          <c:order val="1"/>
          <c:tx>
            <c:strRef>
              <c:f>Combined!$E$19</c:f>
              <c:strCache>
                <c:ptCount val="1"/>
                <c:pt idx="0">
                  <c:v>BME applicants</c:v>
                </c:pt>
              </c:strCache>
            </c:strRef>
          </c:tx>
          <c:spPr>
            <a:ln>
              <a:solidFill>
                <a:schemeClr val="accent1"/>
              </a:solidFill>
            </a:ln>
          </c:spPr>
          <c:marker>
            <c:symbol val="none"/>
          </c:marker>
          <c:cat>
            <c:strRef>
              <c:f>Combined!$F$17:$H$17</c:f>
              <c:strCache>
                <c:ptCount val="3"/>
                <c:pt idx="0">
                  <c:v>2019 Report</c:v>
                </c:pt>
                <c:pt idx="1">
                  <c:v>2020 Report</c:v>
                </c:pt>
                <c:pt idx="2">
                  <c:v>2021 Report</c:v>
                </c:pt>
              </c:strCache>
            </c:strRef>
          </c:cat>
          <c:val>
            <c:numRef>
              <c:f>Combined!$F$19:$H$19</c:f>
              <c:numCache>
                <c:formatCode>General</c:formatCode>
                <c:ptCount val="3"/>
                <c:pt idx="0">
                  <c:v>1</c:v>
                </c:pt>
                <c:pt idx="1">
                  <c:v>1</c:v>
                </c:pt>
                <c:pt idx="2">
                  <c:v>1</c:v>
                </c:pt>
              </c:numCache>
            </c:numRef>
          </c:val>
          <c:smooth val="0"/>
          <c:extLst xmlns:c16r2="http://schemas.microsoft.com/office/drawing/2015/06/chart">
            <c:ext xmlns:c16="http://schemas.microsoft.com/office/drawing/2014/chart" uri="{C3380CC4-5D6E-409C-BE32-E72D297353CC}">
              <c16:uniqueId val="{00000001-A6F7-454E-BEBA-3745518AC3F5}"/>
            </c:ext>
          </c:extLst>
        </c:ser>
        <c:ser>
          <c:idx val="2"/>
          <c:order val="2"/>
          <c:tx>
            <c:strRef>
              <c:f>Combined!$E$20</c:f>
              <c:strCache>
                <c:ptCount val="1"/>
                <c:pt idx="0">
                  <c:v>Upper line - rule of 4/5ths</c:v>
                </c:pt>
              </c:strCache>
            </c:strRef>
          </c:tx>
          <c:spPr>
            <a:ln>
              <a:prstDash val="sysDash"/>
            </a:ln>
          </c:spPr>
          <c:marker>
            <c:symbol val="none"/>
          </c:marker>
          <c:cat>
            <c:strRef>
              <c:f>Combined!$F$17:$H$17</c:f>
              <c:strCache>
                <c:ptCount val="3"/>
                <c:pt idx="0">
                  <c:v>2019 Report</c:v>
                </c:pt>
                <c:pt idx="1">
                  <c:v>2020 Report</c:v>
                </c:pt>
                <c:pt idx="2">
                  <c:v>2021 Report</c:v>
                </c:pt>
              </c:strCache>
            </c:strRef>
          </c:cat>
          <c:val>
            <c:numRef>
              <c:f>Combined!$F$20:$H$20</c:f>
              <c:numCache>
                <c:formatCode>General</c:formatCode>
                <c:ptCount val="3"/>
                <c:pt idx="0">
                  <c:v>1.2</c:v>
                </c:pt>
                <c:pt idx="1">
                  <c:v>1.2</c:v>
                </c:pt>
                <c:pt idx="2">
                  <c:v>1.2</c:v>
                </c:pt>
              </c:numCache>
            </c:numRef>
          </c:val>
          <c:smooth val="0"/>
          <c:extLst xmlns:c16r2="http://schemas.microsoft.com/office/drawing/2015/06/chart">
            <c:ext xmlns:c16="http://schemas.microsoft.com/office/drawing/2014/chart" uri="{C3380CC4-5D6E-409C-BE32-E72D297353CC}">
              <c16:uniqueId val="{00000002-A6F7-454E-BEBA-3745518AC3F5}"/>
            </c:ext>
          </c:extLst>
        </c:ser>
        <c:ser>
          <c:idx val="3"/>
          <c:order val="3"/>
          <c:tx>
            <c:strRef>
              <c:f>Combined!$E$21</c:f>
              <c:strCache>
                <c:ptCount val="1"/>
                <c:pt idx="0">
                  <c:v>Lower line - rule of 4/5ths</c:v>
                </c:pt>
              </c:strCache>
            </c:strRef>
          </c:tx>
          <c:spPr>
            <a:ln>
              <a:prstDash val="sysDot"/>
            </a:ln>
          </c:spPr>
          <c:marker>
            <c:symbol val="none"/>
          </c:marker>
          <c:cat>
            <c:strRef>
              <c:f>Combined!$F$17:$H$17</c:f>
              <c:strCache>
                <c:ptCount val="3"/>
                <c:pt idx="0">
                  <c:v>2019 Report</c:v>
                </c:pt>
                <c:pt idx="1">
                  <c:v>2020 Report</c:v>
                </c:pt>
                <c:pt idx="2">
                  <c:v>2021 Report</c:v>
                </c:pt>
              </c:strCache>
            </c:strRef>
          </c:cat>
          <c:val>
            <c:numRef>
              <c:f>Combined!$F$21:$H$21</c:f>
              <c:numCache>
                <c:formatCode>General</c:formatCode>
                <c:ptCount val="3"/>
                <c:pt idx="0">
                  <c:v>0.8</c:v>
                </c:pt>
                <c:pt idx="1">
                  <c:v>0.8</c:v>
                </c:pt>
                <c:pt idx="2">
                  <c:v>0.8</c:v>
                </c:pt>
              </c:numCache>
            </c:numRef>
          </c:val>
          <c:smooth val="0"/>
          <c:extLst xmlns:c16r2="http://schemas.microsoft.com/office/drawing/2015/06/chart">
            <c:ext xmlns:c16="http://schemas.microsoft.com/office/drawing/2014/chart" uri="{C3380CC4-5D6E-409C-BE32-E72D297353CC}">
              <c16:uniqueId val="{00000003-A6F7-454E-BEBA-3745518AC3F5}"/>
            </c:ext>
          </c:extLst>
        </c:ser>
        <c:dLbls>
          <c:showLegendKey val="0"/>
          <c:showVal val="0"/>
          <c:showCatName val="0"/>
          <c:showSerName val="0"/>
          <c:showPercent val="0"/>
          <c:showBubbleSize val="0"/>
        </c:dLbls>
        <c:marker val="1"/>
        <c:smooth val="0"/>
        <c:axId val="136068608"/>
        <c:axId val="639177792"/>
      </c:lineChart>
      <c:catAx>
        <c:axId val="136068608"/>
        <c:scaling>
          <c:orientation val="minMax"/>
        </c:scaling>
        <c:delete val="0"/>
        <c:axPos val="b"/>
        <c:numFmt formatCode="General" sourceLinked="0"/>
        <c:majorTickMark val="out"/>
        <c:minorTickMark val="none"/>
        <c:tickLblPos val="nextTo"/>
        <c:crossAx val="639177792"/>
        <c:crosses val="autoZero"/>
        <c:auto val="1"/>
        <c:lblAlgn val="ctr"/>
        <c:lblOffset val="100"/>
        <c:noMultiLvlLbl val="0"/>
      </c:catAx>
      <c:valAx>
        <c:axId val="639177792"/>
        <c:scaling>
          <c:orientation val="minMax"/>
        </c:scaling>
        <c:delete val="0"/>
        <c:axPos val="l"/>
        <c:numFmt formatCode="General" sourceLinked="1"/>
        <c:majorTickMark val="out"/>
        <c:minorTickMark val="none"/>
        <c:tickLblPos val="nextTo"/>
        <c:crossAx val="136068608"/>
        <c:crosses val="autoZero"/>
        <c:crossBetween val="between"/>
      </c:valAx>
      <c:spPr>
        <a:noFill/>
        <a:ln w="25400">
          <a:noFill/>
        </a:ln>
      </c:spPr>
    </c:plotArea>
    <c:legend>
      <c:legendPos val="r"/>
      <c:overlay val="0"/>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1"/>
          <c:tx>
            <c:strRef>
              <c:f>Sheet1!$A$32</c:f>
              <c:strCache>
                <c:ptCount val="1"/>
                <c:pt idx="0">
                  <c:v>BME Staff</c:v>
                </c:pt>
              </c:strCache>
            </c:strRef>
          </c:tx>
          <c:spPr>
            <a:solidFill>
              <a:schemeClr val="accent1"/>
            </a:solidFill>
          </c:spPr>
          <c:invertIfNegative val="0"/>
          <c:cat>
            <c:strRef>
              <c:f>Sheet1!$B$30:$D$30</c:f>
              <c:strCache>
                <c:ptCount val="3"/>
                <c:pt idx="0">
                  <c:v>2019 Report</c:v>
                </c:pt>
                <c:pt idx="1">
                  <c:v>2020 Report</c:v>
                </c:pt>
                <c:pt idx="2">
                  <c:v>2021 Report</c:v>
                </c:pt>
              </c:strCache>
            </c:strRef>
          </c:cat>
          <c:val>
            <c:numRef>
              <c:f>Sheet1!$B$32:$D$32</c:f>
              <c:numCache>
                <c:formatCode>General</c:formatCode>
                <c:ptCount val="3"/>
                <c:pt idx="0">
                  <c:v>1.56</c:v>
                </c:pt>
                <c:pt idx="1">
                  <c:v>1.1100000000000001</c:v>
                </c:pt>
                <c:pt idx="2">
                  <c:v>0.19</c:v>
                </c:pt>
              </c:numCache>
            </c:numRef>
          </c:val>
          <c:extLst xmlns:c16r2="http://schemas.microsoft.com/office/drawing/2015/06/chart">
            <c:ext xmlns:c16="http://schemas.microsoft.com/office/drawing/2014/chart" uri="{C3380CC4-5D6E-409C-BE32-E72D297353CC}">
              <c16:uniqueId val="{00000000-D589-4E32-9B7B-38C2C04288C5}"/>
            </c:ext>
          </c:extLst>
        </c:ser>
        <c:dLbls>
          <c:showLegendKey val="0"/>
          <c:showVal val="0"/>
          <c:showCatName val="0"/>
          <c:showSerName val="0"/>
          <c:showPercent val="0"/>
          <c:showBubbleSize val="0"/>
        </c:dLbls>
        <c:gapWidth val="150"/>
        <c:axId val="667664384"/>
        <c:axId val="639179520"/>
      </c:barChart>
      <c:lineChart>
        <c:grouping val="standard"/>
        <c:varyColors val="0"/>
        <c:ser>
          <c:idx val="0"/>
          <c:order val="0"/>
          <c:tx>
            <c:strRef>
              <c:f>Sheet1!$A$31</c:f>
              <c:strCache>
                <c:ptCount val="1"/>
                <c:pt idx="0">
                  <c:v>White Staff</c:v>
                </c:pt>
              </c:strCache>
            </c:strRef>
          </c:tx>
          <c:spPr>
            <a:ln>
              <a:solidFill>
                <a:schemeClr val="accent2"/>
              </a:solidFill>
            </a:ln>
          </c:spPr>
          <c:marker>
            <c:symbol val="none"/>
          </c:marker>
          <c:cat>
            <c:strRef>
              <c:f>Sheet1!$B$30:$D$30</c:f>
              <c:strCache>
                <c:ptCount val="3"/>
                <c:pt idx="0">
                  <c:v>2019 Report</c:v>
                </c:pt>
                <c:pt idx="1">
                  <c:v>2020 Report</c:v>
                </c:pt>
                <c:pt idx="2">
                  <c:v>2021 Report</c:v>
                </c:pt>
              </c:strCache>
            </c:strRef>
          </c:cat>
          <c:val>
            <c:numRef>
              <c:f>Sheet1!$B$31:$D$31</c:f>
              <c:numCache>
                <c:formatCode>General</c:formatCode>
                <c:ptCount val="3"/>
                <c:pt idx="0">
                  <c:v>1</c:v>
                </c:pt>
                <c:pt idx="1">
                  <c:v>1</c:v>
                </c:pt>
                <c:pt idx="2">
                  <c:v>1</c:v>
                </c:pt>
              </c:numCache>
            </c:numRef>
          </c:val>
          <c:smooth val="0"/>
          <c:extLst xmlns:c16r2="http://schemas.microsoft.com/office/drawing/2015/06/chart">
            <c:ext xmlns:c16="http://schemas.microsoft.com/office/drawing/2014/chart" uri="{C3380CC4-5D6E-409C-BE32-E72D297353CC}">
              <c16:uniqueId val="{00000001-D589-4E32-9B7B-38C2C04288C5}"/>
            </c:ext>
          </c:extLst>
        </c:ser>
        <c:ser>
          <c:idx val="2"/>
          <c:order val="2"/>
          <c:tx>
            <c:strRef>
              <c:f>Sheet1!$A$33</c:f>
              <c:strCache>
                <c:ptCount val="1"/>
                <c:pt idx="0">
                  <c:v>Upper line - rule of 4/5ths</c:v>
                </c:pt>
              </c:strCache>
            </c:strRef>
          </c:tx>
          <c:spPr>
            <a:ln>
              <a:prstDash val="sysDash"/>
            </a:ln>
          </c:spPr>
          <c:marker>
            <c:symbol val="none"/>
          </c:marker>
          <c:cat>
            <c:strRef>
              <c:f>Sheet1!$B$30:$D$30</c:f>
              <c:strCache>
                <c:ptCount val="3"/>
                <c:pt idx="0">
                  <c:v>2019 Report</c:v>
                </c:pt>
                <c:pt idx="1">
                  <c:v>2020 Report</c:v>
                </c:pt>
                <c:pt idx="2">
                  <c:v>2021 Report</c:v>
                </c:pt>
              </c:strCache>
            </c:strRef>
          </c:cat>
          <c:val>
            <c:numRef>
              <c:f>Sheet1!$B$33:$D$33</c:f>
              <c:numCache>
                <c:formatCode>General</c:formatCode>
                <c:ptCount val="3"/>
                <c:pt idx="0">
                  <c:v>1.2</c:v>
                </c:pt>
                <c:pt idx="1">
                  <c:v>1.2</c:v>
                </c:pt>
                <c:pt idx="2">
                  <c:v>1.2</c:v>
                </c:pt>
              </c:numCache>
            </c:numRef>
          </c:val>
          <c:smooth val="0"/>
          <c:extLst xmlns:c16r2="http://schemas.microsoft.com/office/drawing/2015/06/chart">
            <c:ext xmlns:c16="http://schemas.microsoft.com/office/drawing/2014/chart" uri="{C3380CC4-5D6E-409C-BE32-E72D297353CC}">
              <c16:uniqueId val="{00000002-D589-4E32-9B7B-38C2C04288C5}"/>
            </c:ext>
          </c:extLst>
        </c:ser>
        <c:ser>
          <c:idx val="3"/>
          <c:order val="3"/>
          <c:tx>
            <c:strRef>
              <c:f>Sheet1!$A$34</c:f>
              <c:strCache>
                <c:ptCount val="1"/>
                <c:pt idx="0">
                  <c:v>Lower line - rule of 4/5ths</c:v>
                </c:pt>
              </c:strCache>
            </c:strRef>
          </c:tx>
          <c:spPr>
            <a:ln>
              <a:prstDash val="sysDot"/>
            </a:ln>
          </c:spPr>
          <c:marker>
            <c:symbol val="none"/>
          </c:marker>
          <c:cat>
            <c:strRef>
              <c:f>Sheet1!$B$30:$D$30</c:f>
              <c:strCache>
                <c:ptCount val="3"/>
                <c:pt idx="0">
                  <c:v>2019 Report</c:v>
                </c:pt>
                <c:pt idx="1">
                  <c:v>2020 Report</c:v>
                </c:pt>
                <c:pt idx="2">
                  <c:v>2021 Report</c:v>
                </c:pt>
              </c:strCache>
            </c:strRef>
          </c:cat>
          <c:val>
            <c:numRef>
              <c:f>Sheet1!$B$34:$D$34</c:f>
              <c:numCache>
                <c:formatCode>General</c:formatCode>
                <c:ptCount val="3"/>
                <c:pt idx="0">
                  <c:v>0.8</c:v>
                </c:pt>
                <c:pt idx="1">
                  <c:v>0.8</c:v>
                </c:pt>
                <c:pt idx="2">
                  <c:v>0.8</c:v>
                </c:pt>
              </c:numCache>
            </c:numRef>
          </c:val>
          <c:smooth val="0"/>
          <c:extLst xmlns:c16r2="http://schemas.microsoft.com/office/drawing/2015/06/chart">
            <c:ext xmlns:c16="http://schemas.microsoft.com/office/drawing/2014/chart" uri="{C3380CC4-5D6E-409C-BE32-E72D297353CC}">
              <c16:uniqueId val="{00000003-D589-4E32-9B7B-38C2C04288C5}"/>
            </c:ext>
          </c:extLst>
        </c:ser>
        <c:dLbls>
          <c:showLegendKey val="0"/>
          <c:showVal val="0"/>
          <c:showCatName val="0"/>
          <c:showSerName val="0"/>
          <c:showPercent val="0"/>
          <c:showBubbleSize val="0"/>
        </c:dLbls>
        <c:marker val="1"/>
        <c:smooth val="0"/>
        <c:axId val="667664384"/>
        <c:axId val="639179520"/>
      </c:lineChart>
      <c:catAx>
        <c:axId val="667664384"/>
        <c:scaling>
          <c:orientation val="minMax"/>
        </c:scaling>
        <c:delete val="0"/>
        <c:axPos val="b"/>
        <c:numFmt formatCode="General" sourceLinked="0"/>
        <c:majorTickMark val="out"/>
        <c:minorTickMark val="none"/>
        <c:tickLblPos val="nextTo"/>
        <c:crossAx val="639179520"/>
        <c:crosses val="autoZero"/>
        <c:auto val="1"/>
        <c:lblAlgn val="ctr"/>
        <c:lblOffset val="100"/>
        <c:noMultiLvlLbl val="0"/>
      </c:catAx>
      <c:valAx>
        <c:axId val="639179520"/>
        <c:scaling>
          <c:orientation val="minMax"/>
        </c:scaling>
        <c:delete val="0"/>
        <c:axPos val="l"/>
        <c:numFmt formatCode="General" sourceLinked="1"/>
        <c:majorTickMark val="out"/>
        <c:minorTickMark val="none"/>
        <c:tickLblPos val="nextTo"/>
        <c:crossAx val="667664384"/>
        <c:crosses val="autoZero"/>
        <c:crossBetween val="between"/>
      </c:valAx>
    </c:plotArea>
    <c:legend>
      <c:legendPos val="r"/>
      <c:overlay val="0"/>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1"/>
          <c:tx>
            <c:strRef>
              <c:f>'Ind 3'!$A$8</c:f>
              <c:strCache>
                <c:ptCount val="1"/>
                <c:pt idx="0">
                  <c:v>BME Staff</c:v>
                </c:pt>
              </c:strCache>
            </c:strRef>
          </c:tx>
          <c:spPr>
            <a:solidFill>
              <a:schemeClr val="accent1"/>
            </a:solidFill>
            <a:ln>
              <a:noFill/>
            </a:ln>
          </c:spPr>
          <c:invertIfNegative val="0"/>
          <c:cat>
            <c:strRef>
              <c:f>'Ind 3'!$B$6:$D$6</c:f>
              <c:strCache>
                <c:ptCount val="3"/>
                <c:pt idx="0">
                  <c:v>2019 Report</c:v>
                </c:pt>
                <c:pt idx="1">
                  <c:v>2020 Report</c:v>
                </c:pt>
                <c:pt idx="2">
                  <c:v>2021 Report</c:v>
                </c:pt>
              </c:strCache>
            </c:strRef>
          </c:cat>
          <c:val>
            <c:numRef>
              <c:f>'Ind 3'!$B$8:$D$8</c:f>
              <c:numCache>
                <c:formatCode>General</c:formatCode>
                <c:ptCount val="3"/>
                <c:pt idx="0">
                  <c:v>0.73</c:v>
                </c:pt>
                <c:pt idx="1">
                  <c:v>0.95</c:v>
                </c:pt>
                <c:pt idx="2" formatCode="0.00">
                  <c:v>1.81</c:v>
                </c:pt>
              </c:numCache>
            </c:numRef>
          </c:val>
          <c:extLst xmlns:c16r2="http://schemas.microsoft.com/office/drawing/2015/06/chart">
            <c:ext xmlns:c16="http://schemas.microsoft.com/office/drawing/2014/chart" uri="{C3380CC4-5D6E-409C-BE32-E72D297353CC}">
              <c16:uniqueId val="{00000000-F5F9-426E-B587-2C28C64F0EC0}"/>
            </c:ext>
          </c:extLst>
        </c:ser>
        <c:dLbls>
          <c:showLegendKey val="0"/>
          <c:showVal val="0"/>
          <c:showCatName val="0"/>
          <c:showSerName val="0"/>
          <c:showPercent val="0"/>
          <c:showBubbleSize val="0"/>
        </c:dLbls>
        <c:gapWidth val="150"/>
        <c:axId val="667665920"/>
        <c:axId val="667738688"/>
      </c:barChart>
      <c:lineChart>
        <c:grouping val="standard"/>
        <c:varyColors val="0"/>
        <c:ser>
          <c:idx val="0"/>
          <c:order val="0"/>
          <c:tx>
            <c:strRef>
              <c:f>'Ind 3'!$A$7</c:f>
              <c:strCache>
                <c:ptCount val="1"/>
                <c:pt idx="0">
                  <c:v>White Staff</c:v>
                </c:pt>
              </c:strCache>
            </c:strRef>
          </c:tx>
          <c:spPr>
            <a:ln>
              <a:solidFill>
                <a:srgbClr val="FF0000"/>
              </a:solidFill>
            </a:ln>
          </c:spPr>
          <c:marker>
            <c:symbol val="none"/>
          </c:marker>
          <c:cat>
            <c:strRef>
              <c:f>'Ind 3'!$B$6:$D$6</c:f>
              <c:strCache>
                <c:ptCount val="3"/>
                <c:pt idx="0">
                  <c:v>2019 Report</c:v>
                </c:pt>
                <c:pt idx="1">
                  <c:v>2020 Report</c:v>
                </c:pt>
                <c:pt idx="2">
                  <c:v>2021 Report</c:v>
                </c:pt>
              </c:strCache>
            </c:strRef>
          </c:cat>
          <c:val>
            <c:numRef>
              <c:f>'Ind 3'!$B$7:$D$7</c:f>
              <c:numCache>
                <c:formatCode>General</c:formatCode>
                <c:ptCount val="3"/>
                <c:pt idx="0">
                  <c:v>1</c:v>
                </c:pt>
                <c:pt idx="1">
                  <c:v>1</c:v>
                </c:pt>
                <c:pt idx="2">
                  <c:v>1</c:v>
                </c:pt>
              </c:numCache>
            </c:numRef>
          </c:val>
          <c:smooth val="0"/>
          <c:extLst xmlns:c16r2="http://schemas.microsoft.com/office/drawing/2015/06/chart">
            <c:ext xmlns:c16="http://schemas.microsoft.com/office/drawing/2014/chart" uri="{C3380CC4-5D6E-409C-BE32-E72D297353CC}">
              <c16:uniqueId val="{00000001-F5F9-426E-B587-2C28C64F0EC0}"/>
            </c:ext>
          </c:extLst>
        </c:ser>
        <c:ser>
          <c:idx val="2"/>
          <c:order val="2"/>
          <c:tx>
            <c:strRef>
              <c:f>'Ind 3'!$A$9</c:f>
              <c:strCache>
                <c:ptCount val="1"/>
                <c:pt idx="0">
                  <c:v>Upper line - rule of 4/5ths</c:v>
                </c:pt>
              </c:strCache>
            </c:strRef>
          </c:tx>
          <c:spPr>
            <a:ln>
              <a:solidFill>
                <a:srgbClr val="00B050"/>
              </a:solidFill>
              <a:prstDash val="sysDash"/>
            </a:ln>
          </c:spPr>
          <c:marker>
            <c:symbol val="none"/>
          </c:marker>
          <c:cat>
            <c:strRef>
              <c:f>'Ind 3'!$B$6:$D$6</c:f>
              <c:strCache>
                <c:ptCount val="3"/>
                <c:pt idx="0">
                  <c:v>2019 Report</c:v>
                </c:pt>
                <c:pt idx="1">
                  <c:v>2020 Report</c:v>
                </c:pt>
                <c:pt idx="2">
                  <c:v>2021 Report</c:v>
                </c:pt>
              </c:strCache>
            </c:strRef>
          </c:cat>
          <c:val>
            <c:numRef>
              <c:f>'Ind 3'!$B$9:$D$9</c:f>
              <c:numCache>
                <c:formatCode>General</c:formatCode>
                <c:ptCount val="3"/>
                <c:pt idx="0">
                  <c:v>1.2</c:v>
                </c:pt>
                <c:pt idx="1">
                  <c:v>1.2</c:v>
                </c:pt>
                <c:pt idx="2">
                  <c:v>1.2</c:v>
                </c:pt>
              </c:numCache>
            </c:numRef>
          </c:val>
          <c:smooth val="0"/>
          <c:extLst xmlns:c16r2="http://schemas.microsoft.com/office/drawing/2015/06/chart">
            <c:ext xmlns:c16="http://schemas.microsoft.com/office/drawing/2014/chart" uri="{C3380CC4-5D6E-409C-BE32-E72D297353CC}">
              <c16:uniqueId val="{00000002-F5F9-426E-B587-2C28C64F0EC0}"/>
            </c:ext>
          </c:extLst>
        </c:ser>
        <c:ser>
          <c:idx val="3"/>
          <c:order val="3"/>
          <c:tx>
            <c:strRef>
              <c:f>'Ind 3'!$A$10</c:f>
              <c:strCache>
                <c:ptCount val="1"/>
                <c:pt idx="0">
                  <c:v>Lower line - rule of 4/5ths</c:v>
                </c:pt>
              </c:strCache>
            </c:strRef>
          </c:tx>
          <c:spPr>
            <a:ln>
              <a:solidFill>
                <a:srgbClr val="7030A0"/>
              </a:solidFill>
              <a:prstDash val="sysDot"/>
            </a:ln>
          </c:spPr>
          <c:marker>
            <c:symbol val="none"/>
          </c:marker>
          <c:cat>
            <c:strRef>
              <c:f>'Ind 3'!$B$6:$D$6</c:f>
              <c:strCache>
                <c:ptCount val="3"/>
                <c:pt idx="0">
                  <c:v>2019 Report</c:v>
                </c:pt>
                <c:pt idx="1">
                  <c:v>2020 Report</c:v>
                </c:pt>
                <c:pt idx="2">
                  <c:v>2021 Report</c:v>
                </c:pt>
              </c:strCache>
            </c:strRef>
          </c:cat>
          <c:val>
            <c:numRef>
              <c:f>'Ind 3'!$B$10:$D$10</c:f>
              <c:numCache>
                <c:formatCode>General</c:formatCode>
                <c:ptCount val="3"/>
                <c:pt idx="0">
                  <c:v>0.8</c:v>
                </c:pt>
                <c:pt idx="1">
                  <c:v>0.8</c:v>
                </c:pt>
                <c:pt idx="2">
                  <c:v>0.8</c:v>
                </c:pt>
              </c:numCache>
            </c:numRef>
          </c:val>
          <c:smooth val="0"/>
          <c:extLst xmlns:c16r2="http://schemas.microsoft.com/office/drawing/2015/06/chart">
            <c:ext xmlns:c16="http://schemas.microsoft.com/office/drawing/2014/chart" uri="{C3380CC4-5D6E-409C-BE32-E72D297353CC}">
              <c16:uniqueId val="{00000003-F5F9-426E-B587-2C28C64F0EC0}"/>
            </c:ext>
          </c:extLst>
        </c:ser>
        <c:dLbls>
          <c:showLegendKey val="0"/>
          <c:showVal val="0"/>
          <c:showCatName val="0"/>
          <c:showSerName val="0"/>
          <c:showPercent val="0"/>
          <c:showBubbleSize val="0"/>
        </c:dLbls>
        <c:marker val="1"/>
        <c:smooth val="0"/>
        <c:axId val="667665920"/>
        <c:axId val="667738688"/>
      </c:lineChart>
      <c:catAx>
        <c:axId val="667665920"/>
        <c:scaling>
          <c:orientation val="minMax"/>
        </c:scaling>
        <c:delete val="0"/>
        <c:axPos val="b"/>
        <c:numFmt formatCode="General" sourceLinked="0"/>
        <c:majorTickMark val="out"/>
        <c:minorTickMark val="none"/>
        <c:tickLblPos val="nextTo"/>
        <c:crossAx val="667738688"/>
        <c:crosses val="autoZero"/>
        <c:auto val="1"/>
        <c:lblAlgn val="ctr"/>
        <c:lblOffset val="100"/>
        <c:noMultiLvlLbl val="0"/>
      </c:catAx>
      <c:valAx>
        <c:axId val="667738688"/>
        <c:scaling>
          <c:orientation val="minMax"/>
        </c:scaling>
        <c:delete val="0"/>
        <c:axPos val="l"/>
        <c:numFmt formatCode="General" sourceLinked="1"/>
        <c:majorTickMark val="out"/>
        <c:minorTickMark val="none"/>
        <c:tickLblPos val="nextTo"/>
        <c:crossAx val="667665920"/>
        <c:crosses val="autoZero"/>
        <c:crossBetween val="between"/>
      </c:valAx>
    </c:plotArea>
    <c:legend>
      <c:legendPos val="r"/>
      <c:overlay val="0"/>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'Ethnic origin'!$A$39</c:f>
              <c:strCache>
                <c:ptCount val="1"/>
                <c:pt idx="0">
                  <c:v>White Staff</c:v>
                </c:pt>
              </c:strCache>
            </c:strRef>
          </c:tx>
          <c:spPr>
            <a:solidFill>
              <a:schemeClr val="accent2"/>
            </a:solidFill>
          </c:spPr>
          <c:invertIfNegative val="0"/>
          <c:cat>
            <c:strRef>
              <c:f>'Ethnic origin'!$B$38:$D$38</c:f>
              <c:strCache>
                <c:ptCount val="3"/>
                <c:pt idx="0">
                  <c:v>2019 Report</c:v>
                </c:pt>
                <c:pt idx="1">
                  <c:v>2020 Report</c:v>
                </c:pt>
                <c:pt idx="2">
                  <c:v>2021 Report</c:v>
                </c:pt>
              </c:strCache>
            </c:strRef>
          </c:cat>
          <c:val>
            <c:numRef>
              <c:f>'Ethnic origin'!$B$39:$D$39</c:f>
              <c:numCache>
                <c:formatCode>General</c:formatCode>
                <c:ptCount val="3"/>
                <c:pt idx="0">
                  <c:v>0.75</c:v>
                </c:pt>
                <c:pt idx="1">
                  <c:v>1.37</c:v>
                </c:pt>
                <c:pt idx="2">
                  <c:v>0.93</c:v>
                </c:pt>
              </c:numCache>
            </c:numRef>
          </c:val>
          <c:extLst xmlns:c16r2="http://schemas.microsoft.com/office/drawing/2015/06/chart">
            <c:ext xmlns:c16="http://schemas.microsoft.com/office/drawing/2014/chart" uri="{C3380CC4-5D6E-409C-BE32-E72D297353CC}">
              <c16:uniqueId val="{00000000-F2CD-4396-A552-DDDBF01E0E8D}"/>
            </c:ext>
          </c:extLst>
        </c:ser>
        <c:dLbls>
          <c:showLegendKey val="0"/>
          <c:showVal val="0"/>
          <c:showCatName val="0"/>
          <c:showSerName val="0"/>
          <c:showPercent val="0"/>
          <c:showBubbleSize val="0"/>
        </c:dLbls>
        <c:gapWidth val="150"/>
        <c:axId val="667666432"/>
        <c:axId val="667740416"/>
      </c:barChart>
      <c:lineChart>
        <c:grouping val="standard"/>
        <c:varyColors val="0"/>
        <c:ser>
          <c:idx val="1"/>
          <c:order val="1"/>
          <c:tx>
            <c:strRef>
              <c:f>'Ethnic origin'!$A$40</c:f>
              <c:strCache>
                <c:ptCount val="1"/>
                <c:pt idx="0">
                  <c:v>BME Staff</c:v>
                </c:pt>
              </c:strCache>
            </c:strRef>
          </c:tx>
          <c:spPr>
            <a:ln>
              <a:solidFill>
                <a:schemeClr val="accent1"/>
              </a:solidFill>
            </a:ln>
          </c:spPr>
          <c:marker>
            <c:symbol val="none"/>
          </c:marker>
          <c:cat>
            <c:strRef>
              <c:f>'Ethnic origin'!$B$38:$D$38</c:f>
              <c:strCache>
                <c:ptCount val="3"/>
                <c:pt idx="0">
                  <c:v>2019 Report</c:v>
                </c:pt>
                <c:pt idx="1">
                  <c:v>2020 Report</c:v>
                </c:pt>
                <c:pt idx="2">
                  <c:v>2021 Report</c:v>
                </c:pt>
              </c:strCache>
            </c:strRef>
          </c:cat>
          <c:val>
            <c:numRef>
              <c:f>'Ethnic origin'!$B$40:$D$40</c:f>
              <c:numCache>
                <c:formatCode>General</c:formatCode>
                <c:ptCount val="3"/>
                <c:pt idx="0">
                  <c:v>1</c:v>
                </c:pt>
                <c:pt idx="1">
                  <c:v>1</c:v>
                </c:pt>
                <c:pt idx="2">
                  <c:v>1</c:v>
                </c:pt>
              </c:numCache>
            </c:numRef>
          </c:val>
          <c:smooth val="0"/>
          <c:extLst xmlns:c16r2="http://schemas.microsoft.com/office/drawing/2015/06/chart">
            <c:ext xmlns:c16="http://schemas.microsoft.com/office/drawing/2014/chart" uri="{C3380CC4-5D6E-409C-BE32-E72D297353CC}">
              <c16:uniqueId val="{00000001-F2CD-4396-A552-DDDBF01E0E8D}"/>
            </c:ext>
          </c:extLst>
        </c:ser>
        <c:ser>
          <c:idx val="2"/>
          <c:order val="2"/>
          <c:tx>
            <c:strRef>
              <c:f>'Ethnic origin'!$A$41</c:f>
              <c:strCache>
                <c:ptCount val="1"/>
                <c:pt idx="0">
                  <c:v>Upper line - rule of 4/5ths</c:v>
                </c:pt>
              </c:strCache>
            </c:strRef>
          </c:tx>
          <c:spPr>
            <a:ln>
              <a:prstDash val="sysDash"/>
            </a:ln>
          </c:spPr>
          <c:marker>
            <c:symbol val="none"/>
          </c:marker>
          <c:cat>
            <c:strRef>
              <c:f>'Ethnic origin'!$B$38:$D$38</c:f>
              <c:strCache>
                <c:ptCount val="3"/>
                <c:pt idx="0">
                  <c:v>2019 Report</c:v>
                </c:pt>
                <c:pt idx="1">
                  <c:v>2020 Report</c:v>
                </c:pt>
                <c:pt idx="2">
                  <c:v>2021 Report</c:v>
                </c:pt>
              </c:strCache>
            </c:strRef>
          </c:cat>
          <c:val>
            <c:numRef>
              <c:f>'Ethnic origin'!$B$41:$D$41</c:f>
              <c:numCache>
                <c:formatCode>General</c:formatCode>
                <c:ptCount val="3"/>
                <c:pt idx="0">
                  <c:v>1.2</c:v>
                </c:pt>
                <c:pt idx="1">
                  <c:v>1.2</c:v>
                </c:pt>
                <c:pt idx="2">
                  <c:v>1.2</c:v>
                </c:pt>
              </c:numCache>
            </c:numRef>
          </c:val>
          <c:smooth val="0"/>
          <c:extLst xmlns:c16r2="http://schemas.microsoft.com/office/drawing/2015/06/chart">
            <c:ext xmlns:c16="http://schemas.microsoft.com/office/drawing/2014/chart" uri="{C3380CC4-5D6E-409C-BE32-E72D297353CC}">
              <c16:uniqueId val="{00000002-F2CD-4396-A552-DDDBF01E0E8D}"/>
            </c:ext>
          </c:extLst>
        </c:ser>
        <c:ser>
          <c:idx val="3"/>
          <c:order val="3"/>
          <c:tx>
            <c:strRef>
              <c:f>'Ethnic origin'!$A$42</c:f>
              <c:strCache>
                <c:ptCount val="1"/>
                <c:pt idx="0">
                  <c:v>Lower line - rule of 4/5ths</c:v>
                </c:pt>
              </c:strCache>
            </c:strRef>
          </c:tx>
          <c:spPr>
            <a:ln>
              <a:prstDash val="sysDot"/>
            </a:ln>
          </c:spPr>
          <c:marker>
            <c:symbol val="none"/>
          </c:marker>
          <c:cat>
            <c:strRef>
              <c:f>'Ethnic origin'!$B$38:$D$38</c:f>
              <c:strCache>
                <c:ptCount val="3"/>
                <c:pt idx="0">
                  <c:v>2019 Report</c:v>
                </c:pt>
                <c:pt idx="1">
                  <c:v>2020 Report</c:v>
                </c:pt>
                <c:pt idx="2">
                  <c:v>2021 Report</c:v>
                </c:pt>
              </c:strCache>
            </c:strRef>
          </c:cat>
          <c:val>
            <c:numRef>
              <c:f>'Ethnic origin'!$B$42:$D$42</c:f>
              <c:numCache>
                <c:formatCode>General</c:formatCode>
                <c:ptCount val="3"/>
                <c:pt idx="0">
                  <c:v>0.8</c:v>
                </c:pt>
                <c:pt idx="1">
                  <c:v>0.8</c:v>
                </c:pt>
                <c:pt idx="2">
                  <c:v>0.8</c:v>
                </c:pt>
              </c:numCache>
            </c:numRef>
          </c:val>
          <c:smooth val="0"/>
          <c:extLst xmlns:c16r2="http://schemas.microsoft.com/office/drawing/2015/06/chart">
            <c:ext xmlns:c16="http://schemas.microsoft.com/office/drawing/2014/chart" uri="{C3380CC4-5D6E-409C-BE32-E72D297353CC}">
              <c16:uniqueId val="{00000003-F2CD-4396-A552-DDDBF01E0E8D}"/>
            </c:ext>
          </c:extLst>
        </c:ser>
        <c:dLbls>
          <c:showLegendKey val="0"/>
          <c:showVal val="0"/>
          <c:showCatName val="0"/>
          <c:showSerName val="0"/>
          <c:showPercent val="0"/>
          <c:showBubbleSize val="0"/>
        </c:dLbls>
        <c:marker val="1"/>
        <c:smooth val="0"/>
        <c:axId val="667666432"/>
        <c:axId val="667740416"/>
      </c:lineChart>
      <c:catAx>
        <c:axId val="667666432"/>
        <c:scaling>
          <c:orientation val="minMax"/>
        </c:scaling>
        <c:delete val="0"/>
        <c:axPos val="b"/>
        <c:numFmt formatCode="General" sourceLinked="0"/>
        <c:majorTickMark val="out"/>
        <c:minorTickMark val="none"/>
        <c:tickLblPos val="nextTo"/>
        <c:crossAx val="667740416"/>
        <c:crosses val="autoZero"/>
        <c:auto val="1"/>
        <c:lblAlgn val="ctr"/>
        <c:lblOffset val="100"/>
        <c:noMultiLvlLbl val="0"/>
      </c:catAx>
      <c:valAx>
        <c:axId val="667740416"/>
        <c:scaling>
          <c:orientation val="minMax"/>
        </c:scaling>
        <c:delete val="0"/>
        <c:axPos val="l"/>
        <c:numFmt formatCode="General" sourceLinked="1"/>
        <c:majorTickMark val="out"/>
        <c:minorTickMark val="none"/>
        <c:tickLblPos val="nextTo"/>
        <c:crossAx val="667666432"/>
        <c:crosses val="autoZero"/>
        <c:crossBetween val="between"/>
      </c:valAx>
    </c:plotArea>
    <c:legend>
      <c:legendPos val="r"/>
      <c:overlay val="0"/>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098E4-A65F-4460-A59E-5D26425BC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29</Pages>
  <Words>5277</Words>
  <Characters>30081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Hospitals Sussex NHS Foundation Trust - Workforce Race Equality Standard 2021</dc:title>
  <dc:creator>Donaldson, Laura</dc:creator>
  <cp:lastModifiedBy>Anjoyeb, Simon</cp:lastModifiedBy>
  <cp:revision>36</cp:revision>
  <dcterms:created xsi:type="dcterms:W3CDTF">2021-08-06T07:52:00Z</dcterms:created>
  <dcterms:modified xsi:type="dcterms:W3CDTF">2021-08-06T13:25:00Z</dcterms:modified>
</cp:coreProperties>
</file>