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color w:val="auto"/>
          <w:sz w:val="24"/>
          <w:szCs w:val="22"/>
        </w:rPr>
        <w:id w:val="1297259142"/>
        <w:docPartObj>
          <w:docPartGallery w:val="Cover Pages"/>
          <w:docPartUnique/>
        </w:docPartObj>
      </w:sdtPr>
      <w:sdtEndPr/>
      <w:sdtContent>
        <w:p w:rsidR="00652DE2" w:rsidRDefault="00652DE2" w:rsidP="00810ADF">
          <w:pPr>
            <w:pStyle w:val="Reportsubtitle"/>
          </w:pPr>
          <w:r>
            <w:rPr>
              <w:noProof/>
              <w:lang w:eastAsia="en-GB"/>
            </w:rPr>
            <mc:AlternateContent>
              <mc:Choice Requires="wps">
                <w:drawing>
                  <wp:anchor distT="0" distB="0" distL="114300" distR="114300" simplePos="0" relativeHeight="251660288" behindDoc="0" locked="0" layoutInCell="1" allowOverlap="1" wp14:anchorId="212EB104" wp14:editId="1749B222">
                    <wp:simplePos x="0" y="0"/>
                    <wp:positionH relativeFrom="column">
                      <wp:posOffset>676275</wp:posOffset>
                    </wp:positionH>
                    <wp:positionV relativeFrom="page">
                      <wp:posOffset>4514850</wp:posOffset>
                    </wp:positionV>
                    <wp:extent cx="6031230" cy="1047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31230" cy="1047750"/>
                            </a:xfrm>
                            <a:prstGeom prst="rect">
                              <a:avLst/>
                            </a:prstGeom>
                            <a:noFill/>
                            <a:ln w="6350">
                              <a:noFill/>
                            </a:ln>
                          </wps:spPr>
                          <wps:txbx>
                            <w:txbxContent>
                              <w:p w:rsidR="00652DE2" w:rsidRPr="00810ADF" w:rsidRDefault="00652DE2" w:rsidP="00810ADF">
                                <w:pPr>
                                  <w:pStyle w:val="Reportsubtitle"/>
                                </w:pPr>
                                <w:r w:rsidRPr="00810AD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12EB104" id="_x0000_t202" coordsize="21600,21600" o:spt="202" path="m,l,21600r21600,l21600,xe">
                    <v:stroke joinstyle="miter"/>
                    <v:path gradientshapeok="t" o:connecttype="rect"/>
                  </v:shapetype>
                  <v:shape id="Text Box 4" o:spid="_x0000_s1026" type="#_x0000_t202" style="position:absolute;margin-left:53.25pt;margin-top:355.5pt;width:474.9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" filled="f" stroked="f" strokeweight=".5pt">
                    <v:textbox>
                      <w:txbxContent>
                        <w:p w:rsidR="00652DE2" w:rsidRPr="00810ADF" w:rsidRDefault="00652DE2" w:rsidP="00810ADF">
                          <w:pPr>
                            <w:pStyle w:val="Reportsubtitle"/>
                          </w:pPr>
                          <w:r w:rsidRPr="00810ADF">
                            <w:t>.</w:t>
                          </w:r>
                        </w:p>
                      </w:txbxContent>
                    </v:textbox>
                    <w10:wrap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B525EBD" wp14:editId="220983B1">
                    <wp:simplePos x="0" y="0"/>
                    <wp:positionH relativeFrom="column">
                      <wp:posOffset>676275</wp:posOffset>
                    </wp:positionH>
                    <wp:positionV relativeFrom="page">
                      <wp:posOffset>2828926</wp:posOffset>
                    </wp:positionV>
                    <wp:extent cx="5951220" cy="20383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51220" cy="2038350"/>
                            </a:xfrm>
                            <a:prstGeom prst="rect">
                              <a:avLst/>
                            </a:prstGeom>
                            <a:noFill/>
                            <a:ln w="6350">
                              <a:noFill/>
                            </a:ln>
                          </wps:spPr>
                          <wps:txbx>
                            <w:txbxContent>
                              <w:p w:rsidR="00652DE2" w:rsidRPr="009935BD" w:rsidRDefault="000904D0" w:rsidP="009935BD">
                                <w:pPr>
                                  <w:pStyle w:val="Reporttitle"/>
                                </w:pPr>
                                <w:r w:rsidRPr="000904D0">
                                  <w:t xml:space="preserve">Gender Pay Gap </w:t>
                                </w:r>
                                <w:r>
                                  <w:t>Report (31 March 2021 snapshot)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525EBD" id="Text Box 5" o:spid="_x0000_s1027" type="#_x0000_t202" style="position:absolute;margin-left:53.25pt;margin-top:222.75pt;width:468.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" filled="f" stroked="f" strokeweight=".5pt">
                    <v:textbox>
                      <w:txbxContent>
                        <w:p w:rsidR="00652DE2" w:rsidRPr="009935BD" w:rsidRDefault="000904D0" w:rsidP="009935BD">
                          <w:pPr>
                            <w:pStyle w:val="Reporttitle"/>
                          </w:pPr>
                          <w:r w:rsidRPr="000904D0">
                            <w:t xml:space="preserve">Gender Pay Gap </w:t>
                          </w:r>
                          <w:r>
                            <w:t>R</w:t>
                          </w:r>
                          <w:bookmarkStart w:id="1" w:name="_GoBack"/>
                          <w:bookmarkEnd w:id="1"/>
                          <w:r>
                            <w:t>eport (31 March 2021 snapshot)</w:t>
                          </w:r>
                        </w:p>
                      </w:txbxContent>
                    </v:textbox>
                    <w10:wrap type="square" anchory="page"/>
                  </v:shape>
                </w:pict>
              </mc:Fallback>
            </mc:AlternateContent>
          </w:r>
        </w:p>
        <w:p w:rsidR="00652DE2" w:rsidRDefault="00652DE2" w:rsidP="00652DE2">
          <w:pPr>
            <w:rPr>
              <w:rFonts w:eastAsiaTheme="majorEastAsia" w:cstheme="majorBidi"/>
              <w:b/>
              <w:bCs/>
              <w:sz w:val="40"/>
              <w:szCs w:val="28"/>
            </w:rPr>
          </w:pPr>
          <w:r>
            <w:br w:type="page"/>
          </w:r>
        </w:p>
      </w:sdtContent>
    </w:sdt>
    <w:p w:rsidR="00652DE2" w:rsidRDefault="00652DE2" w:rsidP="00652DE2">
      <w:pPr>
        <w:pStyle w:val="Heading1"/>
        <w:sectPr w:rsidR="00652DE2" w:rsidSect="009935BD">
          <w:footerReference w:type="default" r:id="rId9"/>
          <w:headerReference w:type="first" r:id="rId10"/>
          <w:footerReference w:type="first" r:id="rId11"/>
          <w:pgSz w:w="11906" w:h="16838"/>
          <w:pgMar w:top="284" w:right="1440" w:bottom="1440" w:left="340" w:header="709" w:footer="709" w:gutter="0"/>
          <w:pgNumType w:start="0"/>
          <w:cols w:space="708"/>
          <w:titlePg/>
          <w:docGrid w:linePitch="360"/>
        </w:sectPr>
      </w:pPr>
    </w:p>
    <w:sdt>
      <w:sdtPr>
        <w:rPr>
          <w:rFonts w:ascii="Arial" w:eastAsiaTheme="minorHAnsi" w:hAnsi="Arial" w:cs="Arial"/>
          <w:b w:val="0"/>
          <w:bCs w:val="0"/>
          <w:color w:val="auto"/>
          <w:sz w:val="24"/>
          <w:szCs w:val="22"/>
          <w:lang w:val="en-GB" w:eastAsia="en-US"/>
        </w:rPr>
        <w:id w:val="-1594929733"/>
        <w:docPartObj>
          <w:docPartGallery w:val="Table of Contents"/>
          <w:docPartUnique/>
        </w:docPartObj>
      </w:sdtPr>
      <w:sdtEndPr>
        <w:rPr>
          <w:noProof/>
        </w:rPr>
      </w:sdtEndPr>
      <w:sdtContent>
        <w:p w:rsidR="00674167" w:rsidRPr="00674167" w:rsidRDefault="00674167">
          <w:pPr>
            <w:pStyle w:val="TOCHeading"/>
            <w:rPr>
              <w:rStyle w:val="Heading1Char"/>
              <w:b/>
            </w:rPr>
          </w:pPr>
          <w:r w:rsidRPr="00674167">
            <w:rPr>
              <w:rStyle w:val="Heading1Char"/>
              <w:b/>
            </w:rPr>
            <w:t>Contents</w:t>
          </w:r>
        </w:p>
        <w:p w:rsidR="00674167" w:rsidRPr="00674167" w:rsidRDefault="00674167" w:rsidP="00674167">
          <w:pPr>
            <w:rPr>
              <w:lang w:val="en-US" w:eastAsia="ja-JP"/>
            </w:rPr>
          </w:pPr>
        </w:p>
        <w:p w:rsidR="00D82454" w:rsidRDefault="00674167">
          <w:pPr>
            <w:pStyle w:val="TOC1"/>
            <w:tabs>
              <w:tab w:val="right" w:leader="dot" w:pos="9016"/>
            </w:tabs>
            <w:rPr>
              <w:rFonts w:asciiTheme="minorHAnsi" w:eastAsiaTheme="minorEastAsia" w:hAnsiTheme="minorHAnsi" w:cstheme="minorBidi"/>
              <w:noProof/>
              <w:sz w:val="22"/>
              <w:lang w:eastAsia="en-GB"/>
            </w:rPr>
          </w:pPr>
          <w:r>
            <w:fldChar w:fldCharType="begin"/>
          </w:r>
          <w:r>
            <w:instrText xml:space="preserve"> TOC \o "1-3" \h \z \u </w:instrText>
          </w:r>
          <w:r>
            <w:fldChar w:fldCharType="separate"/>
          </w:r>
          <w:hyperlink w:anchor="_Toc94085673" w:history="1">
            <w:r w:rsidR="00D82454" w:rsidRPr="00D56398">
              <w:rPr>
                <w:rStyle w:val="Hyperlink"/>
                <w:noProof/>
              </w:rPr>
              <w:t>Introduction</w:t>
            </w:r>
            <w:r w:rsidR="00D82454">
              <w:rPr>
                <w:noProof/>
                <w:webHidden/>
              </w:rPr>
              <w:tab/>
            </w:r>
            <w:r w:rsidR="00D82454">
              <w:rPr>
                <w:noProof/>
                <w:webHidden/>
              </w:rPr>
              <w:fldChar w:fldCharType="begin"/>
            </w:r>
            <w:r w:rsidR="00D82454">
              <w:rPr>
                <w:noProof/>
                <w:webHidden/>
              </w:rPr>
              <w:instrText xml:space="preserve"> PAGEREF _Toc94085673 \h </w:instrText>
            </w:r>
            <w:r w:rsidR="00D82454">
              <w:rPr>
                <w:noProof/>
                <w:webHidden/>
              </w:rPr>
            </w:r>
            <w:r w:rsidR="00D82454">
              <w:rPr>
                <w:noProof/>
                <w:webHidden/>
              </w:rPr>
              <w:fldChar w:fldCharType="separate"/>
            </w:r>
            <w:r w:rsidR="00D82454">
              <w:rPr>
                <w:noProof/>
                <w:webHidden/>
              </w:rPr>
              <w:t>2</w:t>
            </w:r>
            <w:r w:rsidR="00D82454">
              <w:rPr>
                <w:noProof/>
                <w:webHidden/>
              </w:rPr>
              <w:fldChar w:fldCharType="end"/>
            </w:r>
          </w:hyperlink>
        </w:p>
        <w:p w:rsidR="00D82454" w:rsidRDefault="00E8687D">
          <w:pPr>
            <w:pStyle w:val="TOC1"/>
            <w:tabs>
              <w:tab w:val="right" w:leader="dot" w:pos="9016"/>
            </w:tabs>
            <w:rPr>
              <w:rFonts w:asciiTheme="minorHAnsi" w:eastAsiaTheme="minorEastAsia" w:hAnsiTheme="minorHAnsi" w:cstheme="minorBidi"/>
              <w:noProof/>
              <w:sz w:val="22"/>
              <w:lang w:eastAsia="en-GB"/>
            </w:rPr>
          </w:pPr>
          <w:hyperlink w:anchor="_Toc94085674" w:history="1">
            <w:r w:rsidR="00D82454" w:rsidRPr="00D56398">
              <w:rPr>
                <w:rStyle w:val="Hyperlink"/>
                <w:noProof/>
              </w:rPr>
              <w:t>Purpose</w:t>
            </w:r>
            <w:r w:rsidR="00D82454">
              <w:rPr>
                <w:noProof/>
                <w:webHidden/>
              </w:rPr>
              <w:tab/>
            </w:r>
            <w:r w:rsidR="00D82454">
              <w:rPr>
                <w:noProof/>
                <w:webHidden/>
              </w:rPr>
              <w:fldChar w:fldCharType="begin"/>
            </w:r>
            <w:r w:rsidR="00D82454">
              <w:rPr>
                <w:noProof/>
                <w:webHidden/>
              </w:rPr>
              <w:instrText xml:space="preserve"> PAGEREF _Toc94085674 \h </w:instrText>
            </w:r>
            <w:r w:rsidR="00D82454">
              <w:rPr>
                <w:noProof/>
                <w:webHidden/>
              </w:rPr>
            </w:r>
            <w:r w:rsidR="00D82454">
              <w:rPr>
                <w:noProof/>
                <w:webHidden/>
              </w:rPr>
              <w:fldChar w:fldCharType="separate"/>
            </w:r>
            <w:r w:rsidR="00D82454">
              <w:rPr>
                <w:noProof/>
                <w:webHidden/>
              </w:rPr>
              <w:t>3</w:t>
            </w:r>
            <w:r w:rsidR="00D82454">
              <w:rPr>
                <w:noProof/>
                <w:webHidden/>
              </w:rPr>
              <w:fldChar w:fldCharType="end"/>
            </w:r>
          </w:hyperlink>
        </w:p>
        <w:p w:rsidR="00D82454" w:rsidRDefault="00E8687D">
          <w:pPr>
            <w:pStyle w:val="TOC1"/>
            <w:tabs>
              <w:tab w:val="right" w:leader="dot" w:pos="9016"/>
            </w:tabs>
            <w:rPr>
              <w:rFonts w:asciiTheme="minorHAnsi" w:eastAsiaTheme="minorEastAsia" w:hAnsiTheme="minorHAnsi" w:cstheme="minorBidi"/>
              <w:noProof/>
              <w:sz w:val="22"/>
              <w:lang w:eastAsia="en-GB"/>
            </w:rPr>
          </w:pPr>
          <w:hyperlink w:anchor="_Toc94085675" w:history="1">
            <w:r w:rsidR="00D82454" w:rsidRPr="00D56398">
              <w:rPr>
                <w:rStyle w:val="Hyperlink"/>
                <w:noProof/>
              </w:rPr>
              <w:t>Analysis</w:t>
            </w:r>
            <w:r w:rsidR="00D82454">
              <w:rPr>
                <w:noProof/>
                <w:webHidden/>
              </w:rPr>
              <w:tab/>
            </w:r>
            <w:r w:rsidR="00D82454">
              <w:rPr>
                <w:noProof/>
                <w:webHidden/>
              </w:rPr>
              <w:fldChar w:fldCharType="begin"/>
            </w:r>
            <w:r w:rsidR="00D82454">
              <w:rPr>
                <w:noProof/>
                <w:webHidden/>
              </w:rPr>
              <w:instrText xml:space="preserve"> PAGEREF _Toc94085675 \h </w:instrText>
            </w:r>
            <w:r w:rsidR="00D82454">
              <w:rPr>
                <w:noProof/>
                <w:webHidden/>
              </w:rPr>
            </w:r>
            <w:r w:rsidR="00D82454">
              <w:rPr>
                <w:noProof/>
                <w:webHidden/>
              </w:rPr>
              <w:fldChar w:fldCharType="separate"/>
            </w:r>
            <w:r w:rsidR="00D82454">
              <w:rPr>
                <w:noProof/>
                <w:webHidden/>
              </w:rPr>
              <w:t>3</w:t>
            </w:r>
            <w:r w:rsidR="00D82454">
              <w:rPr>
                <w:noProof/>
                <w:webHidden/>
              </w:rPr>
              <w:fldChar w:fldCharType="end"/>
            </w:r>
          </w:hyperlink>
        </w:p>
        <w:p w:rsidR="00D82454" w:rsidRDefault="00E8687D">
          <w:pPr>
            <w:pStyle w:val="TOC2"/>
            <w:tabs>
              <w:tab w:val="right" w:leader="dot" w:pos="9016"/>
            </w:tabs>
            <w:rPr>
              <w:rFonts w:asciiTheme="minorHAnsi" w:eastAsiaTheme="minorEastAsia" w:hAnsiTheme="minorHAnsi" w:cstheme="minorBidi"/>
              <w:noProof/>
              <w:sz w:val="22"/>
              <w:lang w:eastAsia="en-GB"/>
            </w:rPr>
          </w:pPr>
          <w:hyperlink w:anchor="_Toc94085676" w:history="1">
            <w:r w:rsidR="00D82454" w:rsidRPr="00D56398">
              <w:rPr>
                <w:rStyle w:val="Hyperlink"/>
                <w:noProof/>
              </w:rPr>
              <w:t>Gender mean and median - hourly pay gap</w:t>
            </w:r>
            <w:r w:rsidR="00D82454">
              <w:rPr>
                <w:noProof/>
                <w:webHidden/>
              </w:rPr>
              <w:tab/>
            </w:r>
            <w:r w:rsidR="00D82454">
              <w:rPr>
                <w:noProof/>
                <w:webHidden/>
              </w:rPr>
              <w:fldChar w:fldCharType="begin"/>
            </w:r>
            <w:r w:rsidR="00D82454">
              <w:rPr>
                <w:noProof/>
                <w:webHidden/>
              </w:rPr>
              <w:instrText xml:space="preserve"> PAGEREF _Toc94085676 \h </w:instrText>
            </w:r>
            <w:r w:rsidR="00D82454">
              <w:rPr>
                <w:noProof/>
                <w:webHidden/>
              </w:rPr>
            </w:r>
            <w:r w:rsidR="00D82454">
              <w:rPr>
                <w:noProof/>
                <w:webHidden/>
              </w:rPr>
              <w:fldChar w:fldCharType="separate"/>
            </w:r>
            <w:r w:rsidR="00D82454">
              <w:rPr>
                <w:noProof/>
                <w:webHidden/>
              </w:rPr>
              <w:t>3</w:t>
            </w:r>
            <w:r w:rsidR="00D82454">
              <w:rPr>
                <w:noProof/>
                <w:webHidden/>
              </w:rPr>
              <w:fldChar w:fldCharType="end"/>
            </w:r>
          </w:hyperlink>
        </w:p>
        <w:p w:rsidR="00D82454" w:rsidRDefault="00E8687D">
          <w:pPr>
            <w:pStyle w:val="TOC2"/>
            <w:tabs>
              <w:tab w:val="right" w:leader="dot" w:pos="9016"/>
            </w:tabs>
            <w:rPr>
              <w:rFonts w:asciiTheme="minorHAnsi" w:eastAsiaTheme="minorEastAsia" w:hAnsiTheme="minorHAnsi" w:cstheme="minorBidi"/>
              <w:noProof/>
              <w:sz w:val="22"/>
              <w:lang w:eastAsia="en-GB"/>
            </w:rPr>
          </w:pPr>
          <w:hyperlink w:anchor="_Toc94085677" w:history="1">
            <w:r w:rsidR="00D82454" w:rsidRPr="00D56398">
              <w:rPr>
                <w:rStyle w:val="Hyperlink"/>
                <w:noProof/>
              </w:rPr>
              <w:t>Gender mean and median – bonus pay gap</w:t>
            </w:r>
            <w:r w:rsidR="00D82454">
              <w:rPr>
                <w:noProof/>
                <w:webHidden/>
              </w:rPr>
              <w:tab/>
            </w:r>
            <w:r w:rsidR="00D82454">
              <w:rPr>
                <w:noProof/>
                <w:webHidden/>
              </w:rPr>
              <w:fldChar w:fldCharType="begin"/>
            </w:r>
            <w:r w:rsidR="00D82454">
              <w:rPr>
                <w:noProof/>
                <w:webHidden/>
              </w:rPr>
              <w:instrText xml:space="preserve"> PAGEREF _Toc94085677 \h </w:instrText>
            </w:r>
            <w:r w:rsidR="00D82454">
              <w:rPr>
                <w:noProof/>
                <w:webHidden/>
              </w:rPr>
            </w:r>
            <w:r w:rsidR="00D82454">
              <w:rPr>
                <w:noProof/>
                <w:webHidden/>
              </w:rPr>
              <w:fldChar w:fldCharType="separate"/>
            </w:r>
            <w:r w:rsidR="00D82454">
              <w:rPr>
                <w:noProof/>
                <w:webHidden/>
              </w:rPr>
              <w:t>4</w:t>
            </w:r>
            <w:r w:rsidR="00D82454">
              <w:rPr>
                <w:noProof/>
                <w:webHidden/>
              </w:rPr>
              <w:fldChar w:fldCharType="end"/>
            </w:r>
          </w:hyperlink>
        </w:p>
        <w:p w:rsidR="00D82454" w:rsidRDefault="00E8687D">
          <w:pPr>
            <w:pStyle w:val="TOC2"/>
            <w:tabs>
              <w:tab w:val="right" w:leader="dot" w:pos="9016"/>
            </w:tabs>
            <w:rPr>
              <w:rFonts w:asciiTheme="minorHAnsi" w:eastAsiaTheme="minorEastAsia" w:hAnsiTheme="minorHAnsi" w:cstheme="minorBidi"/>
              <w:noProof/>
              <w:sz w:val="22"/>
              <w:lang w:eastAsia="en-GB"/>
            </w:rPr>
          </w:pPr>
          <w:hyperlink w:anchor="_Toc94085678" w:history="1">
            <w:r w:rsidR="00D82454" w:rsidRPr="00D56398">
              <w:rPr>
                <w:rStyle w:val="Hyperlink"/>
                <w:noProof/>
              </w:rPr>
              <w:t>Proportion of male and female receiving a bonus payment</w:t>
            </w:r>
            <w:r w:rsidR="00D82454">
              <w:rPr>
                <w:noProof/>
                <w:webHidden/>
              </w:rPr>
              <w:tab/>
            </w:r>
            <w:r w:rsidR="00D82454">
              <w:rPr>
                <w:noProof/>
                <w:webHidden/>
              </w:rPr>
              <w:fldChar w:fldCharType="begin"/>
            </w:r>
            <w:r w:rsidR="00D82454">
              <w:rPr>
                <w:noProof/>
                <w:webHidden/>
              </w:rPr>
              <w:instrText xml:space="preserve"> PAGEREF _Toc94085678 \h </w:instrText>
            </w:r>
            <w:r w:rsidR="00D82454">
              <w:rPr>
                <w:noProof/>
                <w:webHidden/>
              </w:rPr>
            </w:r>
            <w:r w:rsidR="00D82454">
              <w:rPr>
                <w:noProof/>
                <w:webHidden/>
              </w:rPr>
              <w:fldChar w:fldCharType="separate"/>
            </w:r>
            <w:r w:rsidR="00D82454">
              <w:rPr>
                <w:noProof/>
                <w:webHidden/>
              </w:rPr>
              <w:t>5</w:t>
            </w:r>
            <w:r w:rsidR="00D82454">
              <w:rPr>
                <w:noProof/>
                <w:webHidden/>
              </w:rPr>
              <w:fldChar w:fldCharType="end"/>
            </w:r>
          </w:hyperlink>
        </w:p>
        <w:p w:rsidR="00D82454" w:rsidRDefault="00E8687D">
          <w:pPr>
            <w:pStyle w:val="TOC2"/>
            <w:tabs>
              <w:tab w:val="right" w:leader="dot" w:pos="9016"/>
            </w:tabs>
            <w:rPr>
              <w:rFonts w:asciiTheme="minorHAnsi" w:eastAsiaTheme="minorEastAsia" w:hAnsiTheme="minorHAnsi" w:cstheme="minorBidi"/>
              <w:noProof/>
              <w:sz w:val="22"/>
              <w:lang w:eastAsia="en-GB"/>
            </w:rPr>
          </w:pPr>
          <w:hyperlink w:anchor="_Toc94085679" w:history="1">
            <w:r w:rsidR="00D82454" w:rsidRPr="00D56398">
              <w:rPr>
                <w:rStyle w:val="Hyperlink"/>
                <w:noProof/>
              </w:rPr>
              <w:t>Proportion of male and female staff in each quartile band</w:t>
            </w:r>
            <w:r w:rsidR="00D82454">
              <w:rPr>
                <w:noProof/>
                <w:webHidden/>
              </w:rPr>
              <w:tab/>
            </w:r>
            <w:r w:rsidR="00D82454">
              <w:rPr>
                <w:noProof/>
                <w:webHidden/>
              </w:rPr>
              <w:fldChar w:fldCharType="begin"/>
            </w:r>
            <w:r w:rsidR="00D82454">
              <w:rPr>
                <w:noProof/>
                <w:webHidden/>
              </w:rPr>
              <w:instrText xml:space="preserve"> PAGEREF _Toc94085679 \h </w:instrText>
            </w:r>
            <w:r w:rsidR="00D82454">
              <w:rPr>
                <w:noProof/>
                <w:webHidden/>
              </w:rPr>
            </w:r>
            <w:r w:rsidR="00D82454">
              <w:rPr>
                <w:noProof/>
                <w:webHidden/>
              </w:rPr>
              <w:fldChar w:fldCharType="separate"/>
            </w:r>
            <w:r w:rsidR="00D82454">
              <w:rPr>
                <w:noProof/>
                <w:webHidden/>
              </w:rPr>
              <w:t>5</w:t>
            </w:r>
            <w:r w:rsidR="00D82454">
              <w:rPr>
                <w:noProof/>
                <w:webHidden/>
              </w:rPr>
              <w:fldChar w:fldCharType="end"/>
            </w:r>
          </w:hyperlink>
        </w:p>
        <w:p w:rsidR="00D82454" w:rsidRDefault="00E8687D">
          <w:pPr>
            <w:pStyle w:val="TOC1"/>
            <w:tabs>
              <w:tab w:val="right" w:leader="dot" w:pos="9016"/>
            </w:tabs>
            <w:rPr>
              <w:rFonts w:asciiTheme="minorHAnsi" w:eastAsiaTheme="minorEastAsia" w:hAnsiTheme="minorHAnsi" w:cstheme="minorBidi"/>
              <w:noProof/>
              <w:sz w:val="22"/>
              <w:lang w:eastAsia="en-GB"/>
            </w:rPr>
          </w:pPr>
          <w:hyperlink w:anchor="_Toc94085680" w:history="1">
            <w:r w:rsidR="00D82454" w:rsidRPr="00D56398">
              <w:rPr>
                <w:rStyle w:val="Hyperlink"/>
                <w:noProof/>
              </w:rPr>
              <w:t>Publication of data</w:t>
            </w:r>
            <w:r w:rsidR="00D82454">
              <w:rPr>
                <w:noProof/>
                <w:webHidden/>
              </w:rPr>
              <w:tab/>
            </w:r>
            <w:r w:rsidR="00D82454">
              <w:rPr>
                <w:noProof/>
                <w:webHidden/>
              </w:rPr>
              <w:fldChar w:fldCharType="begin"/>
            </w:r>
            <w:r w:rsidR="00D82454">
              <w:rPr>
                <w:noProof/>
                <w:webHidden/>
              </w:rPr>
              <w:instrText xml:space="preserve"> PAGEREF _Toc94085680 \h </w:instrText>
            </w:r>
            <w:r w:rsidR="00D82454">
              <w:rPr>
                <w:noProof/>
                <w:webHidden/>
              </w:rPr>
            </w:r>
            <w:r w:rsidR="00D82454">
              <w:rPr>
                <w:noProof/>
                <w:webHidden/>
              </w:rPr>
              <w:fldChar w:fldCharType="separate"/>
            </w:r>
            <w:r w:rsidR="00D82454">
              <w:rPr>
                <w:noProof/>
                <w:webHidden/>
              </w:rPr>
              <w:t>5</w:t>
            </w:r>
            <w:r w:rsidR="00D82454">
              <w:rPr>
                <w:noProof/>
                <w:webHidden/>
              </w:rPr>
              <w:fldChar w:fldCharType="end"/>
            </w:r>
          </w:hyperlink>
        </w:p>
        <w:p w:rsidR="00D82454" w:rsidRDefault="00E8687D">
          <w:pPr>
            <w:pStyle w:val="TOC1"/>
            <w:tabs>
              <w:tab w:val="right" w:leader="dot" w:pos="9016"/>
            </w:tabs>
            <w:rPr>
              <w:rFonts w:asciiTheme="minorHAnsi" w:eastAsiaTheme="minorEastAsia" w:hAnsiTheme="minorHAnsi" w:cstheme="minorBidi"/>
              <w:noProof/>
              <w:sz w:val="22"/>
              <w:lang w:eastAsia="en-GB"/>
            </w:rPr>
          </w:pPr>
          <w:hyperlink w:anchor="_Toc94085681" w:history="1">
            <w:r w:rsidR="00D82454" w:rsidRPr="00D56398">
              <w:rPr>
                <w:rStyle w:val="Hyperlink"/>
                <w:noProof/>
              </w:rPr>
              <w:t>Actions to take forward</w:t>
            </w:r>
            <w:r w:rsidR="00D82454">
              <w:rPr>
                <w:noProof/>
                <w:webHidden/>
              </w:rPr>
              <w:tab/>
            </w:r>
            <w:r w:rsidR="00D82454">
              <w:rPr>
                <w:noProof/>
                <w:webHidden/>
              </w:rPr>
              <w:fldChar w:fldCharType="begin"/>
            </w:r>
            <w:r w:rsidR="00D82454">
              <w:rPr>
                <w:noProof/>
                <w:webHidden/>
              </w:rPr>
              <w:instrText xml:space="preserve"> PAGEREF _Toc94085681 \h </w:instrText>
            </w:r>
            <w:r w:rsidR="00D82454">
              <w:rPr>
                <w:noProof/>
                <w:webHidden/>
              </w:rPr>
            </w:r>
            <w:r w:rsidR="00D82454">
              <w:rPr>
                <w:noProof/>
                <w:webHidden/>
              </w:rPr>
              <w:fldChar w:fldCharType="separate"/>
            </w:r>
            <w:r w:rsidR="00D82454">
              <w:rPr>
                <w:noProof/>
                <w:webHidden/>
              </w:rPr>
              <w:t>6</w:t>
            </w:r>
            <w:r w:rsidR="00D82454">
              <w:rPr>
                <w:noProof/>
                <w:webHidden/>
              </w:rPr>
              <w:fldChar w:fldCharType="end"/>
            </w:r>
          </w:hyperlink>
        </w:p>
        <w:p w:rsidR="00674167" w:rsidRDefault="00674167">
          <w:r>
            <w:rPr>
              <w:b/>
              <w:bCs/>
              <w:noProof/>
            </w:rPr>
            <w:fldChar w:fldCharType="end"/>
          </w:r>
        </w:p>
      </w:sdtContent>
    </w:sdt>
    <w:p w:rsidR="00674167" w:rsidRDefault="00674167">
      <w:pPr>
        <w:widowControl w:val="0"/>
        <w:rPr>
          <w:rFonts w:eastAsiaTheme="majorEastAsia" w:cstheme="majorBidi"/>
          <w:b/>
          <w:bCs/>
          <w:color w:val="0070C0"/>
          <w:sz w:val="40"/>
          <w:szCs w:val="28"/>
        </w:rPr>
      </w:pPr>
      <w:r>
        <w:br w:type="page"/>
      </w:r>
    </w:p>
    <w:p w:rsidR="000904D0" w:rsidRDefault="000904D0" w:rsidP="000904D0">
      <w:pPr>
        <w:pStyle w:val="Heading1"/>
      </w:pPr>
      <w:bookmarkStart w:id="1" w:name="_Toc94085673"/>
      <w:r>
        <w:lastRenderedPageBreak/>
        <w:t>Introduction</w:t>
      </w:r>
      <w:bookmarkEnd w:id="1"/>
      <w:r>
        <w:t xml:space="preserve"> </w:t>
      </w:r>
    </w:p>
    <w:p w:rsidR="000904D0" w:rsidRDefault="000904D0" w:rsidP="000904D0">
      <w:r>
        <w:t xml:space="preserve">Gender Pay Gap (GPG) reporting shows the difference in average hourly pay and bonus payments between men and women. This is the fifth Gender Pay Gap (GPG) report Western Sussex Hospitals NHS Foundation Trust (WSHT) has produced following the introduction of the requirement in March 2017. </w:t>
      </w:r>
    </w:p>
    <w:p w:rsidR="000904D0" w:rsidRDefault="000904D0" w:rsidP="000904D0">
      <w:r>
        <w:t>In April 2021 Western Sussex University Hospitals Foundation NHS Trust and Brighton and Sussex University Hospitals NHS Trust merged to form University Hospitals Foundation NHS Trust. This will be the last report that the legacy organisations will be reporting as separate NHS Trusts.</w:t>
      </w:r>
    </w:p>
    <w:p w:rsidR="000904D0" w:rsidRDefault="000904D0" w:rsidP="000904D0">
      <w:r>
        <w:t>All Public Sector organisations listed in Schedule 2 of The Equality Act 2010 (Specific Duties and Public Authorities) Regulations 2017 are subject to the mandatory GPG reporting requirements, if they have more than 250 employees under a contract of employment. This includes all staff under Agenda for Change, Medical &amp; Dental and Very Senior Managers (VSM).</w:t>
      </w:r>
    </w:p>
    <w:p w:rsidR="000904D0" w:rsidRDefault="000904D0" w:rsidP="000904D0">
      <w:r>
        <w:t>Data relating to the pay period in which the snapshot date of 31 March 2021 is required, with full publication on 30 March 2022 and annually thereafter. Organisations are required to maintain data on their websites for three years in order to show progress made.</w:t>
      </w:r>
    </w:p>
    <w:p w:rsidR="000904D0" w:rsidRDefault="000904D0" w:rsidP="000904D0">
      <w:r>
        <w:t xml:space="preserve">The legislation requires the Trust to report and publish six basic calculations: </w:t>
      </w:r>
    </w:p>
    <w:p w:rsidR="000904D0" w:rsidRDefault="000904D0" w:rsidP="000904D0">
      <w:pPr>
        <w:pStyle w:val="ListParagraph"/>
        <w:numPr>
          <w:ilvl w:val="0"/>
          <w:numId w:val="39"/>
        </w:numPr>
      </w:pPr>
      <w:r>
        <w:t xml:space="preserve">Mean gender hourly pay gap </w:t>
      </w:r>
    </w:p>
    <w:p w:rsidR="000904D0" w:rsidRDefault="000904D0" w:rsidP="000904D0">
      <w:pPr>
        <w:pStyle w:val="ListParagraph"/>
        <w:numPr>
          <w:ilvl w:val="0"/>
          <w:numId w:val="39"/>
        </w:numPr>
      </w:pPr>
      <w:r>
        <w:t xml:space="preserve">Median gender hourly pay gap </w:t>
      </w:r>
    </w:p>
    <w:p w:rsidR="000904D0" w:rsidRDefault="000904D0" w:rsidP="000904D0">
      <w:pPr>
        <w:pStyle w:val="ListParagraph"/>
        <w:numPr>
          <w:ilvl w:val="0"/>
          <w:numId w:val="39"/>
        </w:numPr>
      </w:pPr>
      <w:r>
        <w:t xml:space="preserve">Mean bonus gender pay gap </w:t>
      </w:r>
    </w:p>
    <w:p w:rsidR="000904D0" w:rsidRDefault="000904D0" w:rsidP="000904D0">
      <w:pPr>
        <w:pStyle w:val="ListParagraph"/>
        <w:numPr>
          <w:ilvl w:val="0"/>
          <w:numId w:val="39"/>
        </w:numPr>
      </w:pPr>
      <w:r>
        <w:t xml:space="preserve">Median bonus gender pay gap </w:t>
      </w:r>
    </w:p>
    <w:p w:rsidR="000904D0" w:rsidRDefault="000904D0" w:rsidP="000904D0">
      <w:pPr>
        <w:pStyle w:val="ListParagraph"/>
        <w:numPr>
          <w:ilvl w:val="0"/>
          <w:numId w:val="39"/>
        </w:numPr>
      </w:pPr>
      <w:r>
        <w:t xml:space="preserve">Proportion of male and female staff receiving a bonus payment </w:t>
      </w:r>
    </w:p>
    <w:p w:rsidR="000904D0" w:rsidRDefault="000904D0" w:rsidP="000904D0">
      <w:pPr>
        <w:pStyle w:val="ListParagraph"/>
        <w:numPr>
          <w:ilvl w:val="0"/>
          <w:numId w:val="39"/>
        </w:numPr>
      </w:pPr>
      <w:r>
        <w:t xml:space="preserve">Proportion of male and female staff in each of the four equal quartiles </w:t>
      </w:r>
    </w:p>
    <w:p w:rsidR="000904D0" w:rsidRDefault="000904D0" w:rsidP="000904D0">
      <w:r>
        <w:t xml:space="preserve">The pay period is a snapshot of the gross hourly pay rate of all employees, excluding bank workers on the 31 March 2021 and includes the following elements: </w:t>
      </w:r>
    </w:p>
    <w:p w:rsidR="000904D0" w:rsidRDefault="000904D0" w:rsidP="000904D0">
      <w:pPr>
        <w:pStyle w:val="ListParagraph"/>
        <w:numPr>
          <w:ilvl w:val="0"/>
          <w:numId w:val="39"/>
        </w:numPr>
      </w:pPr>
      <w:r>
        <w:t xml:space="preserve">Basic pay including other allowances </w:t>
      </w:r>
    </w:p>
    <w:p w:rsidR="000904D0" w:rsidRDefault="000904D0" w:rsidP="000904D0">
      <w:pPr>
        <w:pStyle w:val="ListParagraph"/>
        <w:numPr>
          <w:ilvl w:val="0"/>
          <w:numId w:val="39"/>
        </w:numPr>
      </w:pPr>
      <w:r>
        <w:t xml:space="preserve">Paid leave, including annual leave, sick leave, maternity, paternity, adoption or parental leave (except where an employee is paid less than usual because of being on leave) </w:t>
      </w:r>
    </w:p>
    <w:p w:rsidR="000904D0" w:rsidRDefault="000904D0" w:rsidP="000904D0">
      <w:pPr>
        <w:pStyle w:val="ListParagraph"/>
        <w:numPr>
          <w:ilvl w:val="0"/>
          <w:numId w:val="39"/>
        </w:numPr>
      </w:pPr>
      <w:r>
        <w:t xml:space="preserve">Bonus pay (if paid in the pay period) i.e.: VSM bonus or Clinical Excellence Award (CEA) </w:t>
      </w:r>
    </w:p>
    <w:p w:rsidR="000904D0" w:rsidRDefault="000904D0" w:rsidP="000904D0">
      <w:r>
        <w:t>All posts are banded through the Agenda for Change (</w:t>
      </w:r>
      <w:proofErr w:type="spellStart"/>
      <w:r>
        <w:t>AfC</w:t>
      </w:r>
      <w:proofErr w:type="spellEnd"/>
      <w:r>
        <w:t xml:space="preserve">) job evaluation process which determines the banding of the role, therefore this should ensure consistency in terms of equality. Job evaluation evaluates the content and specifics of the job and </w:t>
      </w:r>
      <w:r>
        <w:lastRenderedPageBreak/>
        <w:t xml:space="preserve">not the actual post holder. </w:t>
      </w:r>
      <w:proofErr w:type="spellStart"/>
      <w:r>
        <w:t>AfC</w:t>
      </w:r>
      <w:proofErr w:type="spellEnd"/>
      <w:r>
        <w:t xml:space="preserve"> makes no reference to gender or any other personal characteristic of existing or potential job holders. The report does not include: </w:t>
      </w:r>
    </w:p>
    <w:p w:rsidR="000904D0" w:rsidRDefault="000904D0" w:rsidP="000904D0">
      <w:pPr>
        <w:pStyle w:val="ListParagraph"/>
        <w:numPr>
          <w:ilvl w:val="0"/>
          <w:numId w:val="39"/>
        </w:numPr>
      </w:pPr>
      <w:r>
        <w:t>Overtime pay, waiting list initiatives (WLI), expenses, value of salary sacrifice schemes, benefits in kind, redundancy pay and tax credits.</w:t>
      </w:r>
    </w:p>
    <w:p w:rsidR="00E925E1" w:rsidRDefault="00E925E1" w:rsidP="00E925E1">
      <w:pPr>
        <w:pStyle w:val="Heading1"/>
      </w:pPr>
      <w:bookmarkStart w:id="2" w:name="_Toc94085674"/>
      <w:r>
        <w:t>Purpose</w:t>
      </w:r>
      <w:bookmarkEnd w:id="2"/>
    </w:p>
    <w:p w:rsidR="00E925E1" w:rsidRDefault="00E925E1" w:rsidP="00E925E1">
      <w:r>
        <w:t xml:space="preserve">GPG reporting shows the difference in average hourly pay and bonus payments between men and women. WSHT are required to analyse the information to identify any underlying root causes for GPG and put in place remedial actions to address and mitigate this. The results will be used to assess: </w:t>
      </w:r>
    </w:p>
    <w:p w:rsidR="00E925E1" w:rsidRDefault="00E925E1" w:rsidP="00E925E1">
      <w:pPr>
        <w:pStyle w:val="ListParagraph"/>
        <w:numPr>
          <w:ilvl w:val="0"/>
          <w:numId w:val="39"/>
        </w:numPr>
      </w:pPr>
      <w:r>
        <w:t xml:space="preserve">the level of gender equality </w:t>
      </w:r>
    </w:p>
    <w:p w:rsidR="00E925E1" w:rsidRDefault="00E925E1" w:rsidP="00E925E1">
      <w:pPr>
        <w:pStyle w:val="ListParagraph"/>
        <w:numPr>
          <w:ilvl w:val="0"/>
          <w:numId w:val="39"/>
        </w:numPr>
      </w:pPr>
      <w:r>
        <w:t xml:space="preserve">the balance of male and female employees in each of the four salary range quartiles </w:t>
      </w:r>
    </w:p>
    <w:p w:rsidR="00E925E1" w:rsidRDefault="00E925E1" w:rsidP="00E925E1">
      <w:pPr>
        <w:pStyle w:val="ListParagraph"/>
        <w:numPr>
          <w:ilvl w:val="0"/>
          <w:numId w:val="39"/>
        </w:numPr>
      </w:pPr>
      <w:r>
        <w:t xml:space="preserve">how effectively talent is being maximised and rewarded </w:t>
      </w:r>
    </w:p>
    <w:p w:rsidR="00E925E1" w:rsidRDefault="00E925E1" w:rsidP="00E925E1">
      <w:r>
        <w:t>The benefits of reporting GPG include building a reputation for being known as a fair and progressive employer, attracting a wider pool of recruits, enhancing productivity and creating a culture committed to tackling inequality.</w:t>
      </w:r>
    </w:p>
    <w:p w:rsidR="002C7DD9" w:rsidRDefault="00E925E1" w:rsidP="002C7DD9">
      <w:pPr>
        <w:pStyle w:val="Heading1"/>
      </w:pPr>
      <w:bookmarkStart w:id="3" w:name="_Toc94085675"/>
      <w:r>
        <w:t>Analysis</w:t>
      </w:r>
      <w:bookmarkEnd w:id="3"/>
      <w:r>
        <w:t xml:space="preserve"> </w:t>
      </w:r>
    </w:p>
    <w:p w:rsidR="002C7DD9" w:rsidRDefault="00E925E1" w:rsidP="002C7DD9">
      <w:pPr>
        <w:pStyle w:val="Heading2"/>
      </w:pPr>
      <w:bookmarkStart w:id="4" w:name="_Toc94085676"/>
      <w:r>
        <w:t>Gender mean and median - hourly pay gap</w:t>
      </w:r>
      <w:bookmarkEnd w:id="4"/>
      <w:r>
        <w:t xml:space="preserve"> </w:t>
      </w:r>
    </w:p>
    <w:p w:rsidR="002C7DD9" w:rsidRPr="00BA5FA5" w:rsidRDefault="00E925E1" w:rsidP="00E925E1">
      <w:proofErr w:type="gramStart"/>
      <w:r w:rsidRPr="00BA5FA5">
        <w:t>The table</w:t>
      </w:r>
      <w:r w:rsidR="00955E1E" w:rsidRPr="00BA5FA5">
        <w:t>s</w:t>
      </w:r>
      <w:r w:rsidRPr="00BA5FA5">
        <w:t xml:space="preserve"> below shows the mean and median hourly rates for male and female employees in the Trust and the actual gap in monet</w:t>
      </w:r>
      <w:r w:rsidR="002C7DD9" w:rsidRPr="00BA5FA5">
        <w:t xml:space="preserve">ary and percentage terms in </w:t>
      </w:r>
      <w:r w:rsidR="00955E1E" w:rsidRPr="00BA5FA5">
        <w:t xml:space="preserve">in both </w:t>
      </w:r>
      <w:r w:rsidR="002C7DD9" w:rsidRPr="00BA5FA5">
        <w:t>202</w:t>
      </w:r>
      <w:r w:rsidR="00955E1E" w:rsidRPr="00BA5FA5">
        <w:t>0 and 2021</w:t>
      </w:r>
      <w:r w:rsidRPr="00BA5FA5">
        <w:t>.</w:t>
      </w:r>
      <w:proofErr w:type="gramEnd"/>
      <w:r w:rsidRPr="00BA5FA5">
        <w:t xml:space="preserve"> </w:t>
      </w:r>
    </w:p>
    <w:p w:rsidR="002C7DD9" w:rsidRPr="00BA5FA5" w:rsidRDefault="00955E1E" w:rsidP="00E925E1">
      <w:r w:rsidRPr="00BA5FA5">
        <w:t>There is a 19.</w:t>
      </w:r>
      <w:r w:rsidR="00E925E1" w:rsidRPr="00BA5FA5">
        <w:t>7</w:t>
      </w:r>
      <w:r w:rsidRPr="00BA5FA5">
        <w:t>9</w:t>
      </w:r>
      <w:r w:rsidR="00E925E1" w:rsidRPr="00BA5FA5">
        <w:t>% (</w:t>
      </w:r>
      <w:r w:rsidRPr="00BA5FA5">
        <w:t>19.17</w:t>
      </w:r>
      <w:r w:rsidR="00E925E1" w:rsidRPr="00BA5FA5">
        <w:t>% in 20</w:t>
      </w:r>
      <w:r w:rsidRPr="00BA5FA5">
        <w:t>20</w:t>
      </w:r>
      <w:r w:rsidR="00E925E1" w:rsidRPr="00BA5FA5">
        <w:t xml:space="preserve">) difference in favour of male employees when using the mean hourly rate; this is </w:t>
      </w:r>
      <w:r w:rsidR="00DC3904" w:rsidRPr="00BA5FA5">
        <w:t>an</w:t>
      </w:r>
      <w:r w:rsidR="00E925E1" w:rsidRPr="00BA5FA5">
        <w:t xml:space="preserve"> </w:t>
      </w:r>
      <w:r w:rsidRPr="00BA5FA5">
        <w:t>increase</w:t>
      </w:r>
      <w:r w:rsidR="00E925E1" w:rsidRPr="00BA5FA5">
        <w:t xml:space="preserve"> of 0.</w:t>
      </w:r>
      <w:r w:rsidRPr="00BA5FA5">
        <w:t>62% on the 2020</w:t>
      </w:r>
      <w:r w:rsidR="00E925E1" w:rsidRPr="00BA5FA5">
        <w:t xml:space="preserve"> figures. </w:t>
      </w:r>
    </w:p>
    <w:p w:rsidR="002C7DD9" w:rsidRPr="00BA5FA5" w:rsidRDefault="00E925E1" w:rsidP="00E925E1">
      <w:r w:rsidRPr="00BA5FA5">
        <w:t xml:space="preserve">This however, moves to </w:t>
      </w:r>
      <w:r w:rsidR="00955E1E" w:rsidRPr="00BA5FA5">
        <w:t>2.91</w:t>
      </w:r>
      <w:r w:rsidRPr="00BA5FA5">
        <w:t xml:space="preserve">% in favour of male employees when the median hourly rate is used. This was </w:t>
      </w:r>
      <w:r w:rsidR="00955E1E" w:rsidRPr="00BA5FA5">
        <w:t>1.18</w:t>
      </w:r>
      <w:r w:rsidRPr="00BA5FA5">
        <w:t xml:space="preserve">% in favour of male employees in </w:t>
      </w:r>
      <w:r w:rsidR="00955E1E" w:rsidRPr="00BA5FA5">
        <w:t>2020</w:t>
      </w:r>
      <w:r w:rsidRPr="00BA5FA5">
        <w:t xml:space="preserve">. The mean figure is more indicative measure. </w:t>
      </w:r>
    </w:p>
    <w:p w:rsidR="002C7DD9" w:rsidRPr="00BA5FA5" w:rsidRDefault="00E925E1" w:rsidP="00E925E1">
      <w:r w:rsidRPr="00BA5FA5">
        <w:t>Data obtained for the 202</w:t>
      </w:r>
      <w:r w:rsidR="00955E1E" w:rsidRPr="00BA5FA5">
        <w:t>1</w:t>
      </w:r>
      <w:r w:rsidRPr="00BA5FA5">
        <w:t xml:space="preserve"> snapshot has been provided by staff group and pay banding. This shows outliers in the gender pay gap in favour of male employees of </w:t>
      </w:r>
      <w:r w:rsidR="00B21925">
        <w:t>16.31</w:t>
      </w:r>
      <w:r w:rsidRPr="00BA5FA5">
        <w:t xml:space="preserve">% </w:t>
      </w:r>
      <w:r w:rsidR="00BA5FA5" w:rsidRPr="00BA5FA5">
        <w:t xml:space="preserve">(15.81% in 2020) </w:t>
      </w:r>
      <w:r w:rsidRPr="00BA5FA5">
        <w:t xml:space="preserve">for Medical and Dental staff and </w:t>
      </w:r>
      <w:r w:rsidR="00955E1E" w:rsidRPr="00BA5FA5">
        <w:t>22.90</w:t>
      </w:r>
      <w:r w:rsidRPr="00BA5FA5">
        <w:t>%</w:t>
      </w:r>
      <w:r w:rsidR="00BA5FA5" w:rsidRPr="00BA5FA5">
        <w:t xml:space="preserve"> (19.08% in 2020)</w:t>
      </w:r>
      <w:r w:rsidRPr="00BA5FA5">
        <w:t xml:space="preserve"> Administration and Clerical. When reviewing the 2021 snapshot data these staff groups are to be reviewed further as a priority. </w:t>
      </w:r>
    </w:p>
    <w:p w:rsidR="00E925E1" w:rsidRDefault="00E925E1" w:rsidP="00E925E1">
      <w:r w:rsidRPr="00BA5FA5">
        <w:t xml:space="preserve">As part of the Agenda for Change contract refresh during the </w:t>
      </w:r>
      <w:r w:rsidR="00BA5FA5" w:rsidRPr="00BA5FA5">
        <w:t xml:space="preserve">previous </w:t>
      </w:r>
      <w:r w:rsidRPr="00BA5FA5">
        <w:t xml:space="preserve">reporting period the pay band transition from band 1 to band 2 evidences that there are 3 times more women in band 2. This is impacting on the pay medium, compared to </w:t>
      </w:r>
      <w:r w:rsidRPr="00BA5FA5">
        <w:lastRenderedPageBreak/>
        <w:t xml:space="preserve">pay band 1 where the numbers of male to female are comparative. There is however a </w:t>
      </w:r>
      <w:r w:rsidR="00BA5FA5" w:rsidRPr="00BA5FA5">
        <w:t>-£0.12</w:t>
      </w:r>
      <w:r w:rsidRPr="00BA5FA5">
        <w:t xml:space="preserve"> difference (</w:t>
      </w:r>
      <w:r w:rsidR="00BA5FA5" w:rsidRPr="00BA5FA5">
        <w:t>-1.09</w:t>
      </w:r>
      <w:r w:rsidRPr="00BA5FA5">
        <w:t xml:space="preserve">%) </w:t>
      </w:r>
      <w:proofErr w:type="spellStart"/>
      <w:r w:rsidRPr="00BA5FA5">
        <w:t>paygap</w:t>
      </w:r>
      <w:proofErr w:type="spellEnd"/>
      <w:r w:rsidR="00BA5FA5" w:rsidRPr="00BA5FA5">
        <w:t xml:space="preserve"> in favour of female</w:t>
      </w:r>
      <w:r w:rsidRPr="00BA5FA5">
        <w:t xml:space="preserve">. </w:t>
      </w:r>
    </w:p>
    <w:tbl>
      <w:tblPr>
        <w:tblW w:w="6090" w:type="dxa"/>
        <w:tblLook w:val="04A0" w:firstRow="1" w:lastRow="0" w:firstColumn="1" w:lastColumn="0" w:noHBand="0" w:noVBand="1"/>
        <w:tblCaption w:val="Mean gender paygap for 2020 and 2021"/>
      </w:tblPr>
      <w:tblGrid>
        <w:gridCol w:w="2640"/>
        <w:gridCol w:w="1770"/>
        <w:gridCol w:w="1680"/>
      </w:tblGrid>
      <w:tr w:rsidR="00587D0B" w:rsidRPr="00587D0B" w:rsidTr="00BA5FA5">
        <w:trPr>
          <w:cantSplit/>
          <w:trHeight w:val="288"/>
          <w:tblHeader/>
        </w:trPr>
        <w:tc>
          <w:tcPr>
            <w:tcW w:w="2640" w:type="dxa"/>
            <w:tcBorders>
              <w:top w:val="single" w:sz="4" w:space="0" w:color="979991"/>
              <w:left w:val="single" w:sz="4" w:space="0" w:color="979991"/>
              <w:bottom w:val="nil"/>
              <w:right w:val="nil"/>
            </w:tcBorders>
            <w:shd w:val="clear" w:color="000000" w:fill="0066CC"/>
            <w:hideMark/>
          </w:tcPr>
          <w:p w:rsidR="00587D0B" w:rsidRPr="00587D0B" w:rsidRDefault="00587D0B" w:rsidP="00587D0B">
            <w:pPr>
              <w:spacing w:after="0" w:line="240" w:lineRule="auto"/>
              <w:rPr>
                <w:rFonts w:eastAsia="Times New Roman"/>
                <w:b/>
                <w:bCs/>
                <w:color w:val="FFFFFF"/>
                <w:szCs w:val="16"/>
                <w:lang w:eastAsia="en-GB"/>
              </w:rPr>
            </w:pPr>
            <w:r w:rsidRPr="00587D0B">
              <w:rPr>
                <w:rFonts w:eastAsia="Times New Roman"/>
                <w:b/>
                <w:bCs/>
                <w:color w:val="FFFFFF"/>
                <w:szCs w:val="16"/>
                <w:lang w:eastAsia="en-GB"/>
              </w:rPr>
              <w:t>Gender</w:t>
            </w:r>
          </w:p>
        </w:tc>
        <w:tc>
          <w:tcPr>
            <w:tcW w:w="1770" w:type="dxa"/>
            <w:tcBorders>
              <w:top w:val="single" w:sz="4" w:space="0" w:color="979991"/>
              <w:left w:val="single" w:sz="4" w:space="0" w:color="979991"/>
              <w:bottom w:val="single" w:sz="4" w:space="0" w:color="979991"/>
              <w:right w:val="nil"/>
            </w:tcBorders>
            <w:shd w:val="clear" w:color="000000" w:fill="0066CC"/>
            <w:hideMark/>
          </w:tcPr>
          <w:p w:rsidR="00587D0B" w:rsidRPr="00587D0B" w:rsidRDefault="00587D0B" w:rsidP="00587D0B">
            <w:pPr>
              <w:spacing w:after="0" w:line="240" w:lineRule="auto"/>
              <w:rPr>
                <w:rFonts w:eastAsia="Times New Roman"/>
                <w:b/>
                <w:bCs/>
                <w:color w:val="FFFFFF"/>
                <w:szCs w:val="16"/>
                <w:lang w:eastAsia="en-GB"/>
              </w:rPr>
            </w:pPr>
            <w:r>
              <w:rPr>
                <w:rFonts w:eastAsia="Times New Roman"/>
                <w:b/>
                <w:bCs/>
                <w:color w:val="FFFFFF"/>
                <w:szCs w:val="16"/>
                <w:lang w:eastAsia="en-GB"/>
              </w:rPr>
              <w:t xml:space="preserve">Mean </w:t>
            </w:r>
            <w:r w:rsidRPr="00587D0B">
              <w:rPr>
                <w:rFonts w:eastAsia="Times New Roman"/>
                <w:b/>
                <w:bCs/>
                <w:color w:val="FFFFFF"/>
                <w:szCs w:val="16"/>
                <w:lang w:eastAsia="en-GB"/>
              </w:rPr>
              <w:t>Hourly Rate</w:t>
            </w:r>
            <w:r>
              <w:rPr>
                <w:rFonts w:eastAsia="Times New Roman"/>
                <w:b/>
                <w:bCs/>
                <w:color w:val="FFFFFF"/>
                <w:szCs w:val="16"/>
                <w:lang w:eastAsia="en-GB"/>
              </w:rPr>
              <w:t xml:space="preserve"> 2020</w:t>
            </w:r>
          </w:p>
        </w:tc>
        <w:tc>
          <w:tcPr>
            <w:tcW w:w="1680" w:type="dxa"/>
            <w:tcBorders>
              <w:top w:val="single" w:sz="4" w:space="0" w:color="979991"/>
              <w:left w:val="single" w:sz="4" w:space="0" w:color="979991"/>
              <w:bottom w:val="single" w:sz="4" w:space="0" w:color="979991"/>
              <w:right w:val="single" w:sz="4" w:space="0" w:color="979991"/>
            </w:tcBorders>
            <w:shd w:val="clear" w:color="000000" w:fill="0066CC"/>
            <w:hideMark/>
          </w:tcPr>
          <w:p w:rsidR="00587D0B" w:rsidRPr="00587D0B" w:rsidRDefault="00587D0B" w:rsidP="000A57DB">
            <w:pPr>
              <w:spacing w:after="0" w:line="240" w:lineRule="auto"/>
              <w:rPr>
                <w:rFonts w:eastAsia="Times New Roman"/>
                <w:b/>
                <w:bCs/>
                <w:color w:val="FFFFFF"/>
                <w:szCs w:val="16"/>
                <w:lang w:eastAsia="en-GB"/>
              </w:rPr>
            </w:pPr>
            <w:r>
              <w:rPr>
                <w:rFonts w:eastAsia="Times New Roman"/>
                <w:b/>
                <w:bCs/>
                <w:color w:val="FFFFFF"/>
                <w:szCs w:val="16"/>
                <w:lang w:eastAsia="en-GB"/>
              </w:rPr>
              <w:t xml:space="preserve">Mean </w:t>
            </w:r>
            <w:r w:rsidRPr="00587D0B">
              <w:rPr>
                <w:rFonts w:eastAsia="Times New Roman"/>
                <w:b/>
                <w:bCs/>
                <w:color w:val="FFFFFF"/>
                <w:szCs w:val="16"/>
                <w:lang w:eastAsia="en-GB"/>
              </w:rPr>
              <w:t>Hourly Rate</w:t>
            </w:r>
            <w:r>
              <w:rPr>
                <w:rFonts w:eastAsia="Times New Roman"/>
                <w:b/>
                <w:bCs/>
                <w:color w:val="FFFFFF"/>
                <w:szCs w:val="16"/>
                <w:lang w:eastAsia="en-GB"/>
              </w:rPr>
              <w:t xml:space="preserve"> 2021</w:t>
            </w:r>
          </w:p>
        </w:tc>
      </w:tr>
      <w:tr w:rsidR="00587D0B" w:rsidRPr="00587D0B" w:rsidTr="00C25D4C">
        <w:trPr>
          <w:cantSplit/>
          <w:trHeight w:val="288"/>
          <w:tblHeader/>
        </w:trPr>
        <w:tc>
          <w:tcPr>
            <w:tcW w:w="2640" w:type="dxa"/>
            <w:tcBorders>
              <w:top w:val="single" w:sz="4" w:space="0" w:color="979991"/>
              <w:left w:val="single" w:sz="4" w:space="0" w:color="979991"/>
              <w:bottom w:val="single" w:sz="4" w:space="0" w:color="979991"/>
              <w:right w:val="nil"/>
            </w:tcBorders>
            <w:shd w:val="clear" w:color="auto" w:fill="auto"/>
            <w:hideMark/>
          </w:tcPr>
          <w:p w:rsidR="00587D0B" w:rsidRPr="00587D0B" w:rsidRDefault="00587D0B" w:rsidP="00587D0B">
            <w:pPr>
              <w:spacing w:after="0" w:line="240" w:lineRule="auto"/>
              <w:rPr>
                <w:rFonts w:eastAsia="Times New Roman"/>
                <w:b/>
                <w:bCs/>
                <w:szCs w:val="16"/>
                <w:lang w:eastAsia="en-GB"/>
              </w:rPr>
            </w:pPr>
            <w:r w:rsidRPr="00587D0B">
              <w:rPr>
                <w:rFonts w:eastAsia="Times New Roman"/>
                <w:b/>
                <w:bCs/>
                <w:szCs w:val="16"/>
                <w:lang w:eastAsia="en-GB"/>
              </w:rPr>
              <w:t>Male</w:t>
            </w:r>
          </w:p>
        </w:tc>
        <w:tc>
          <w:tcPr>
            <w:tcW w:w="1770" w:type="dxa"/>
            <w:tcBorders>
              <w:top w:val="nil"/>
              <w:left w:val="single" w:sz="4" w:space="0" w:color="979991"/>
              <w:bottom w:val="single" w:sz="4" w:space="0" w:color="979991"/>
              <w:right w:val="nil"/>
            </w:tcBorders>
            <w:shd w:val="clear" w:color="000000" w:fill="FFFFFF"/>
          </w:tcPr>
          <w:p w:rsidR="00587D0B" w:rsidRPr="00587D0B" w:rsidRDefault="00587D0B" w:rsidP="00587D0B">
            <w:pPr>
              <w:spacing w:after="0" w:line="240" w:lineRule="auto"/>
              <w:jc w:val="center"/>
              <w:rPr>
                <w:rFonts w:eastAsia="Times New Roman"/>
                <w:color w:val="000000"/>
                <w:szCs w:val="16"/>
                <w:lang w:eastAsia="en-GB"/>
              </w:rPr>
            </w:pPr>
            <w:r>
              <w:rPr>
                <w:rFonts w:eastAsia="Times New Roman"/>
                <w:color w:val="000000"/>
                <w:szCs w:val="16"/>
                <w:lang w:eastAsia="en-GB"/>
              </w:rPr>
              <w:t>£19.71</w:t>
            </w:r>
          </w:p>
        </w:tc>
        <w:tc>
          <w:tcPr>
            <w:tcW w:w="1680" w:type="dxa"/>
            <w:tcBorders>
              <w:top w:val="nil"/>
              <w:left w:val="single" w:sz="4" w:space="0" w:color="979991"/>
              <w:bottom w:val="single" w:sz="4" w:space="0" w:color="979991"/>
              <w:right w:val="single" w:sz="4" w:space="0" w:color="979991"/>
            </w:tcBorders>
            <w:shd w:val="clear" w:color="000000" w:fill="FFFFFF"/>
            <w:hideMark/>
          </w:tcPr>
          <w:p w:rsidR="00587D0B" w:rsidRPr="00587D0B" w:rsidRDefault="00587D0B" w:rsidP="00587D0B">
            <w:pPr>
              <w:spacing w:after="0" w:line="240" w:lineRule="auto"/>
              <w:jc w:val="center"/>
              <w:rPr>
                <w:rFonts w:eastAsia="Times New Roman"/>
                <w:color w:val="000000"/>
                <w:szCs w:val="16"/>
                <w:lang w:eastAsia="en-GB"/>
              </w:rPr>
            </w:pPr>
            <w:r>
              <w:rPr>
                <w:rFonts w:eastAsia="Times New Roman"/>
                <w:color w:val="000000"/>
                <w:szCs w:val="16"/>
                <w:lang w:eastAsia="en-GB"/>
              </w:rPr>
              <w:t>£</w:t>
            </w:r>
            <w:r w:rsidRPr="00587D0B">
              <w:rPr>
                <w:rFonts w:eastAsia="Times New Roman"/>
                <w:color w:val="000000"/>
                <w:szCs w:val="16"/>
                <w:lang w:eastAsia="en-GB"/>
              </w:rPr>
              <w:t>20.51</w:t>
            </w:r>
          </w:p>
        </w:tc>
      </w:tr>
      <w:tr w:rsidR="00587D0B" w:rsidRPr="00587D0B" w:rsidTr="00C25D4C">
        <w:trPr>
          <w:cantSplit/>
          <w:trHeight w:val="288"/>
          <w:tblHeader/>
        </w:trPr>
        <w:tc>
          <w:tcPr>
            <w:tcW w:w="2640" w:type="dxa"/>
            <w:tcBorders>
              <w:top w:val="nil"/>
              <w:left w:val="single" w:sz="4" w:space="0" w:color="979991"/>
              <w:bottom w:val="single" w:sz="4" w:space="0" w:color="979991"/>
              <w:right w:val="nil"/>
            </w:tcBorders>
            <w:shd w:val="clear" w:color="auto" w:fill="auto"/>
            <w:hideMark/>
          </w:tcPr>
          <w:p w:rsidR="00587D0B" w:rsidRPr="00587D0B" w:rsidRDefault="00587D0B" w:rsidP="00587D0B">
            <w:pPr>
              <w:spacing w:after="0" w:line="240" w:lineRule="auto"/>
              <w:rPr>
                <w:rFonts w:eastAsia="Times New Roman"/>
                <w:b/>
                <w:bCs/>
                <w:szCs w:val="16"/>
                <w:lang w:eastAsia="en-GB"/>
              </w:rPr>
            </w:pPr>
            <w:r w:rsidRPr="00587D0B">
              <w:rPr>
                <w:rFonts w:eastAsia="Times New Roman"/>
                <w:b/>
                <w:bCs/>
                <w:szCs w:val="16"/>
                <w:lang w:eastAsia="en-GB"/>
              </w:rPr>
              <w:t>Female</w:t>
            </w:r>
          </w:p>
        </w:tc>
        <w:tc>
          <w:tcPr>
            <w:tcW w:w="1770" w:type="dxa"/>
            <w:tcBorders>
              <w:top w:val="nil"/>
              <w:left w:val="single" w:sz="4" w:space="0" w:color="979991"/>
              <w:bottom w:val="single" w:sz="4" w:space="0" w:color="979991"/>
              <w:right w:val="nil"/>
            </w:tcBorders>
            <w:shd w:val="clear" w:color="000000" w:fill="FFFFFF"/>
          </w:tcPr>
          <w:p w:rsidR="00587D0B" w:rsidRPr="00587D0B" w:rsidRDefault="00587D0B" w:rsidP="00587D0B">
            <w:pPr>
              <w:spacing w:after="0" w:line="240" w:lineRule="auto"/>
              <w:jc w:val="center"/>
              <w:rPr>
                <w:rFonts w:eastAsia="Times New Roman"/>
                <w:color w:val="000000"/>
                <w:szCs w:val="16"/>
                <w:lang w:eastAsia="en-GB"/>
              </w:rPr>
            </w:pPr>
            <w:r>
              <w:rPr>
                <w:rFonts w:eastAsia="Times New Roman"/>
                <w:color w:val="000000"/>
                <w:szCs w:val="16"/>
                <w:lang w:eastAsia="en-GB"/>
              </w:rPr>
              <w:t>£15.93</w:t>
            </w:r>
          </w:p>
        </w:tc>
        <w:tc>
          <w:tcPr>
            <w:tcW w:w="1680" w:type="dxa"/>
            <w:tcBorders>
              <w:top w:val="nil"/>
              <w:left w:val="single" w:sz="4" w:space="0" w:color="979991"/>
              <w:bottom w:val="single" w:sz="4" w:space="0" w:color="979991"/>
              <w:right w:val="single" w:sz="4" w:space="0" w:color="979991"/>
            </w:tcBorders>
            <w:shd w:val="clear" w:color="000000" w:fill="FFFFFF"/>
            <w:hideMark/>
          </w:tcPr>
          <w:p w:rsidR="00587D0B" w:rsidRPr="00587D0B" w:rsidRDefault="00587D0B" w:rsidP="00587D0B">
            <w:pPr>
              <w:spacing w:after="0" w:line="240" w:lineRule="auto"/>
              <w:jc w:val="center"/>
              <w:rPr>
                <w:rFonts w:eastAsia="Times New Roman"/>
                <w:color w:val="000000"/>
                <w:szCs w:val="16"/>
                <w:lang w:eastAsia="en-GB"/>
              </w:rPr>
            </w:pPr>
            <w:r>
              <w:rPr>
                <w:rFonts w:eastAsia="Times New Roman"/>
                <w:color w:val="000000"/>
                <w:szCs w:val="16"/>
                <w:lang w:eastAsia="en-GB"/>
              </w:rPr>
              <w:t>£</w:t>
            </w:r>
            <w:r w:rsidRPr="00587D0B">
              <w:rPr>
                <w:rFonts w:eastAsia="Times New Roman"/>
                <w:color w:val="000000"/>
                <w:szCs w:val="16"/>
                <w:lang w:eastAsia="en-GB"/>
              </w:rPr>
              <w:t>16.45</w:t>
            </w:r>
          </w:p>
        </w:tc>
      </w:tr>
      <w:tr w:rsidR="00587D0B" w:rsidRPr="00587D0B" w:rsidTr="00C25D4C">
        <w:trPr>
          <w:cantSplit/>
          <w:trHeight w:val="288"/>
          <w:tblHeader/>
        </w:trPr>
        <w:tc>
          <w:tcPr>
            <w:tcW w:w="2640" w:type="dxa"/>
            <w:tcBorders>
              <w:top w:val="nil"/>
              <w:left w:val="single" w:sz="4" w:space="0" w:color="979991"/>
              <w:bottom w:val="single" w:sz="4" w:space="0" w:color="979991"/>
              <w:right w:val="nil"/>
            </w:tcBorders>
            <w:shd w:val="clear" w:color="auto" w:fill="auto"/>
            <w:hideMark/>
          </w:tcPr>
          <w:p w:rsidR="00587D0B" w:rsidRPr="00587D0B" w:rsidRDefault="00587D0B" w:rsidP="00587D0B">
            <w:pPr>
              <w:spacing w:after="0" w:line="240" w:lineRule="auto"/>
              <w:rPr>
                <w:rFonts w:eastAsia="Times New Roman"/>
                <w:b/>
                <w:bCs/>
                <w:szCs w:val="16"/>
                <w:lang w:eastAsia="en-GB"/>
              </w:rPr>
            </w:pPr>
            <w:r w:rsidRPr="00587D0B">
              <w:rPr>
                <w:rFonts w:eastAsia="Times New Roman"/>
                <w:b/>
                <w:bCs/>
                <w:szCs w:val="16"/>
                <w:lang w:eastAsia="en-GB"/>
              </w:rPr>
              <w:t>Difference</w:t>
            </w:r>
          </w:p>
        </w:tc>
        <w:tc>
          <w:tcPr>
            <w:tcW w:w="1770" w:type="dxa"/>
            <w:tcBorders>
              <w:top w:val="nil"/>
              <w:left w:val="single" w:sz="4" w:space="0" w:color="979991"/>
              <w:bottom w:val="single" w:sz="4" w:space="0" w:color="979991"/>
              <w:right w:val="nil"/>
            </w:tcBorders>
            <w:shd w:val="clear" w:color="000000" w:fill="FFFFFF"/>
          </w:tcPr>
          <w:p w:rsidR="00587D0B" w:rsidRPr="00587D0B" w:rsidRDefault="00587D0B" w:rsidP="00587D0B">
            <w:pPr>
              <w:spacing w:after="0" w:line="240" w:lineRule="auto"/>
              <w:jc w:val="center"/>
              <w:rPr>
                <w:rFonts w:eastAsia="Times New Roman"/>
                <w:color w:val="000000"/>
                <w:szCs w:val="16"/>
                <w:lang w:eastAsia="en-GB"/>
              </w:rPr>
            </w:pPr>
            <w:r>
              <w:rPr>
                <w:rFonts w:eastAsia="Times New Roman"/>
                <w:color w:val="000000"/>
                <w:szCs w:val="16"/>
                <w:lang w:eastAsia="en-GB"/>
              </w:rPr>
              <w:t>£3.78</w:t>
            </w:r>
          </w:p>
        </w:tc>
        <w:tc>
          <w:tcPr>
            <w:tcW w:w="1680" w:type="dxa"/>
            <w:tcBorders>
              <w:top w:val="nil"/>
              <w:left w:val="single" w:sz="4" w:space="0" w:color="979991"/>
              <w:bottom w:val="single" w:sz="4" w:space="0" w:color="979991"/>
              <w:right w:val="single" w:sz="4" w:space="0" w:color="979991"/>
            </w:tcBorders>
            <w:shd w:val="clear" w:color="000000" w:fill="FFFFFF"/>
            <w:hideMark/>
          </w:tcPr>
          <w:p w:rsidR="00587D0B" w:rsidRPr="00587D0B" w:rsidRDefault="00587D0B" w:rsidP="00587D0B">
            <w:pPr>
              <w:spacing w:after="0" w:line="240" w:lineRule="auto"/>
              <w:jc w:val="center"/>
              <w:rPr>
                <w:rFonts w:eastAsia="Times New Roman"/>
                <w:color w:val="000000"/>
                <w:szCs w:val="16"/>
                <w:lang w:eastAsia="en-GB"/>
              </w:rPr>
            </w:pPr>
            <w:r>
              <w:rPr>
                <w:rFonts w:eastAsia="Times New Roman"/>
                <w:color w:val="000000"/>
                <w:szCs w:val="16"/>
                <w:lang w:eastAsia="en-GB"/>
              </w:rPr>
              <w:t>£</w:t>
            </w:r>
            <w:r w:rsidRPr="00587D0B">
              <w:rPr>
                <w:rFonts w:eastAsia="Times New Roman"/>
                <w:color w:val="000000"/>
                <w:szCs w:val="16"/>
                <w:lang w:eastAsia="en-GB"/>
              </w:rPr>
              <w:t>4.0</w:t>
            </w:r>
            <w:r>
              <w:rPr>
                <w:rFonts w:eastAsia="Times New Roman"/>
                <w:color w:val="000000"/>
                <w:szCs w:val="16"/>
                <w:lang w:eastAsia="en-GB"/>
              </w:rPr>
              <w:t>6</w:t>
            </w:r>
          </w:p>
        </w:tc>
      </w:tr>
      <w:tr w:rsidR="00587D0B" w:rsidRPr="00587D0B" w:rsidTr="00C25D4C">
        <w:trPr>
          <w:cantSplit/>
          <w:trHeight w:val="288"/>
          <w:tblHeader/>
        </w:trPr>
        <w:tc>
          <w:tcPr>
            <w:tcW w:w="2640" w:type="dxa"/>
            <w:tcBorders>
              <w:top w:val="nil"/>
              <w:left w:val="single" w:sz="4" w:space="0" w:color="979991"/>
              <w:bottom w:val="single" w:sz="4" w:space="0" w:color="979991"/>
              <w:right w:val="nil"/>
            </w:tcBorders>
            <w:shd w:val="clear" w:color="auto" w:fill="auto"/>
            <w:hideMark/>
          </w:tcPr>
          <w:p w:rsidR="00587D0B" w:rsidRPr="00587D0B" w:rsidRDefault="00E400EC" w:rsidP="00587D0B">
            <w:pPr>
              <w:spacing w:after="0" w:line="240" w:lineRule="auto"/>
              <w:rPr>
                <w:rFonts w:eastAsia="Times New Roman"/>
                <w:b/>
                <w:bCs/>
                <w:szCs w:val="16"/>
                <w:lang w:eastAsia="en-GB"/>
              </w:rPr>
            </w:pPr>
            <w:r w:rsidRPr="00C25D4C">
              <w:rPr>
                <w:rFonts w:eastAsia="Times New Roman"/>
                <w:b/>
                <w:bCs/>
                <w:szCs w:val="16"/>
                <w:lang w:eastAsia="en-GB"/>
              </w:rPr>
              <w:t>Pay Gap</w:t>
            </w:r>
          </w:p>
        </w:tc>
        <w:tc>
          <w:tcPr>
            <w:tcW w:w="1770" w:type="dxa"/>
            <w:tcBorders>
              <w:top w:val="nil"/>
              <w:left w:val="single" w:sz="4" w:space="0" w:color="979991"/>
              <w:bottom w:val="single" w:sz="4" w:space="0" w:color="979991"/>
              <w:right w:val="nil"/>
            </w:tcBorders>
            <w:shd w:val="clear" w:color="000000" w:fill="FFFFFF"/>
          </w:tcPr>
          <w:p w:rsidR="00587D0B" w:rsidRPr="00587D0B" w:rsidRDefault="00587D0B" w:rsidP="00587D0B">
            <w:pPr>
              <w:spacing w:after="0" w:line="240" w:lineRule="auto"/>
              <w:jc w:val="center"/>
              <w:rPr>
                <w:rFonts w:eastAsia="Times New Roman"/>
                <w:color w:val="000000"/>
                <w:szCs w:val="16"/>
                <w:lang w:eastAsia="en-GB"/>
              </w:rPr>
            </w:pPr>
            <w:r>
              <w:rPr>
                <w:rFonts w:eastAsia="Times New Roman"/>
                <w:color w:val="000000"/>
                <w:szCs w:val="16"/>
                <w:lang w:eastAsia="en-GB"/>
              </w:rPr>
              <w:t>19.17%</w:t>
            </w:r>
          </w:p>
        </w:tc>
        <w:tc>
          <w:tcPr>
            <w:tcW w:w="1680" w:type="dxa"/>
            <w:tcBorders>
              <w:top w:val="nil"/>
              <w:left w:val="single" w:sz="4" w:space="0" w:color="979991"/>
              <w:bottom w:val="single" w:sz="4" w:space="0" w:color="979991"/>
              <w:right w:val="single" w:sz="4" w:space="0" w:color="979991"/>
            </w:tcBorders>
            <w:shd w:val="clear" w:color="000000" w:fill="FFFFFF"/>
            <w:hideMark/>
          </w:tcPr>
          <w:p w:rsidR="00587D0B" w:rsidRPr="00587D0B" w:rsidRDefault="00587D0B" w:rsidP="00587D0B">
            <w:pPr>
              <w:spacing w:after="0" w:line="240" w:lineRule="auto"/>
              <w:jc w:val="center"/>
              <w:rPr>
                <w:rFonts w:eastAsia="Times New Roman"/>
                <w:color w:val="000000"/>
                <w:szCs w:val="16"/>
                <w:lang w:eastAsia="en-GB"/>
              </w:rPr>
            </w:pPr>
            <w:r w:rsidRPr="00587D0B">
              <w:rPr>
                <w:rFonts w:eastAsia="Times New Roman"/>
                <w:color w:val="000000"/>
                <w:szCs w:val="16"/>
                <w:lang w:eastAsia="en-GB"/>
              </w:rPr>
              <w:t>19.79</w:t>
            </w:r>
            <w:r>
              <w:rPr>
                <w:rFonts w:eastAsia="Times New Roman"/>
                <w:color w:val="000000"/>
                <w:szCs w:val="16"/>
                <w:lang w:eastAsia="en-GB"/>
              </w:rPr>
              <w:t>%</w:t>
            </w:r>
          </w:p>
        </w:tc>
      </w:tr>
    </w:tbl>
    <w:p w:rsidR="00587D0B" w:rsidRDefault="00587D0B" w:rsidP="00E925E1"/>
    <w:tbl>
      <w:tblPr>
        <w:tblW w:w="6678" w:type="dxa"/>
        <w:tblInd w:w="93" w:type="dxa"/>
        <w:tblLook w:val="04A0" w:firstRow="1" w:lastRow="0" w:firstColumn="1" w:lastColumn="0" w:noHBand="0" w:noVBand="1"/>
        <w:tblCaption w:val="Median gender paygap for 2020 and 2021"/>
      </w:tblPr>
      <w:tblGrid>
        <w:gridCol w:w="2640"/>
        <w:gridCol w:w="1911"/>
        <w:gridCol w:w="2127"/>
      </w:tblGrid>
      <w:tr w:rsidR="00587D0B" w:rsidRPr="00587D0B" w:rsidTr="00B21925">
        <w:trPr>
          <w:cantSplit/>
          <w:trHeight w:val="288"/>
          <w:tblHeader/>
        </w:trPr>
        <w:tc>
          <w:tcPr>
            <w:tcW w:w="2640" w:type="dxa"/>
            <w:tcBorders>
              <w:top w:val="single" w:sz="4" w:space="0" w:color="979991"/>
              <w:left w:val="single" w:sz="4" w:space="0" w:color="979991"/>
              <w:bottom w:val="nil"/>
              <w:right w:val="nil"/>
            </w:tcBorders>
            <w:shd w:val="clear" w:color="000000" w:fill="0066CC"/>
          </w:tcPr>
          <w:p w:rsidR="00587D0B" w:rsidRPr="00587D0B" w:rsidRDefault="00587D0B" w:rsidP="000A57DB">
            <w:pPr>
              <w:spacing w:after="0" w:line="240" w:lineRule="auto"/>
              <w:rPr>
                <w:rFonts w:eastAsia="Times New Roman"/>
                <w:b/>
                <w:bCs/>
                <w:color w:val="FFFFFF"/>
                <w:szCs w:val="16"/>
                <w:lang w:eastAsia="en-GB"/>
              </w:rPr>
            </w:pPr>
            <w:r w:rsidRPr="00587D0B">
              <w:rPr>
                <w:rFonts w:eastAsia="Times New Roman"/>
                <w:b/>
                <w:bCs/>
                <w:color w:val="FFFFFF"/>
                <w:szCs w:val="16"/>
                <w:lang w:eastAsia="en-GB"/>
              </w:rPr>
              <w:t>Gender</w:t>
            </w:r>
          </w:p>
        </w:tc>
        <w:tc>
          <w:tcPr>
            <w:tcW w:w="1911" w:type="dxa"/>
            <w:tcBorders>
              <w:top w:val="single" w:sz="4" w:space="0" w:color="979991"/>
              <w:left w:val="single" w:sz="4" w:space="0" w:color="979991"/>
              <w:bottom w:val="single" w:sz="4" w:space="0" w:color="979991"/>
              <w:right w:val="nil"/>
            </w:tcBorders>
            <w:shd w:val="clear" w:color="000000" w:fill="0066CC"/>
          </w:tcPr>
          <w:p w:rsidR="00587D0B" w:rsidRPr="00587D0B" w:rsidRDefault="00587D0B" w:rsidP="000A57DB">
            <w:pPr>
              <w:spacing w:after="0" w:line="240" w:lineRule="auto"/>
              <w:rPr>
                <w:rFonts w:eastAsia="Times New Roman"/>
                <w:b/>
                <w:bCs/>
                <w:color w:val="FFFFFF"/>
                <w:szCs w:val="16"/>
                <w:lang w:eastAsia="en-GB"/>
              </w:rPr>
            </w:pPr>
            <w:r>
              <w:rPr>
                <w:rFonts w:eastAsia="Times New Roman"/>
                <w:b/>
                <w:bCs/>
                <w:color w:val="FFFFFF"/>
                <w:szCs w:val="16"/>
                <w:lang w:eastAsia="en-GB"/>
              </w:rPr>
              <w:t xml:space="preserve">Median </w:t>
            </w:r>
            <w:r w:rsidRPr="00587D0B">
              <w:rPr>
                <w:rFonts w:eastAsia="Times New Roman"/>
                <w:b/>
                <w:bCs/>
                <w:color w:val="FFFFFF"/>
                <w:szCs w:val="16"/>
                <w:lang w:eastAsia="en-GB"/>
              </w:rPr>
              <w:t>Hourly Rate</w:t>
            </w:r>
            <w:r>
              <w:rPr>
                <w:rFonts w:eastAsia="Times New Roman"/>
                <w:b/>
                <w:bCs/>
                <w:color w:val="FFFFFF"/>
                <w:szCs w:val="16"/>
                <w:lang w:eastAsia="en-GB"/>
              </w:rPr>
              <w:t xml:space="preserve"> 2020</w:t>
            </w:r>
          </w:p>
        </w:tc>
        <w:tc>
          <w:tcPr>
            <w:tcW w:w="2127" w:type="dxa"/>
            <w:tcBorders>
              <w:top w:val="single" w:sz="4" w:space="0" w:color="979991"/>
              <w:left w:val="single" w:sz="4" w:space="0" w:color="979991"/>
              <w:bottom w:val="single" w:sz="4" w:space="0" w:color="979991"/>
              <w:right w:val="single" w:sz="4" w:space="0" w:color="979991"/>
            </w:tcBorders>
            <w:shd w:val="clear" w:color="000000" w:fill="0066CC"/>
          </w:tcPr>
          <w:p w:rsidR="00587D0B" w:rsidRPr="00587D0B" w:rsidRDefault="00587D0B" w:rsidP="000A57DB">
            <w:pPr>
              <w:spacing w:after="0" w:line="240" w:lineRule="auto"/>
              <w:rPr>
                <w:rFonts w:eastAsia="Times New Roman"/>
                <w:b/>
                <w:bCs/>
                <w:color w:val="FFFFFF"/>
                <w:szCs w:val="16"/>
                <w:lang w:eastAsia="en-GB"/>
              </w:rPr>
            </w:pPr>
            <w:r>
              <w:rPr>
                <w:rFonts w:eastAsia="Times New Roman"/>
                <w:b/>
                <w:bCs/>
                <w:color w:val="FFFFFF"/>
                <w:szCs w:val="16"/>
                <w:lang w:eastAsia="en-GB"/>
              </w:rPr>
              <w:t xml:space="preserve">Median </w:t>
            </w:r>
            <w:r w:rsidRPr="00587D0B">
              <w:rPr>
                <w:rFonts w:eastAsia="Times New Roman"/>
                <w:b/>
                <w:bCs/>
                <w:color w:val="FFFFFF"/>
                <w:szCs w:val="16"/>
                <w:lang w:eastAsia="en-GB"/>
              </w:rPr>
              <w:t>Hourly Rate</w:t>
            </w:r>
            <w:r>
              <w:rPr>
                <w:rFonts w:eastAsia="Times New Roman"/>
                <w:b/>
                <w:bCs/>
                <w:color w:val="FFFFFF"/>
                <w:szCs w:val="16"/>
                <w:lang w:eastAsia="en-GB"/>
              </w:rPr>
              <w:t xml:space="preserve"> 2021</w:t>
            </w:r>
          </w:p>
        </w:tc>
      </w:tr>
      <w:tr w:rsidR="00587D0B" w:rsidRPr="00587D0B" w:rsidTr="00C25D4C">
        <w:trPr>
          <w:cantSplit/>
          <w:trHeight w:val="288"/>
          <w:tblHeader/>
        </w:trPr>
        <w:tc>
          <w:tcPr>
            <w:tcW w:w="2640" w:type="dxa"/>
            <w:tcBorders>
              <w:top w:val="single" w:sz="4" w:space="0" w:color="979991"/>
              <w:left w:val="single" w:sz="4" w:space="0" w:color="979991"/>
              <w:bottom w:val="single" w:sz="4" w:space="0" w:color="979991"/>
              <w:right w:val="nil"/>
            </w:tcBorders>
            <w:shd w:val="clear" w:color="auto" w:fill="auto"/>
            <w:hideMark/>
          </w:tcPr>
          <w:p w:rsidR="00587D0B" w:rsidRPr="00587D0B" w:rsidRDefault="00587D0B" w:rsidP="000A57DB">
            <w:pPr>
              <w:spacing w:after="0" w:line="240" w:lineRule="auto"/>
              <w:rPr>
                <w:rFonts w:eastAsia="Times New Roman"/>
                <w:b/>
                <w:bCs/>
                <w:szCs w:val="16"/>
                <w:lang w:eastAsia="en-GB"/>
              </w:rPr>
            </w:pPr>
            <w:r w:rsidRPr="00587D0B">
              <w:rPr>
                <w:rFonts w:eastAsia="Times New Roman"/>
                <w:b/>
                <w:bCs/>
                <w:szCs w:val="16"/>
                <w:lang w:eastAsia="en-GB"/>
              </w:rPr>
              <w:t>Male</w:t>
            </w:r>
          </w:p>
        </w:tc>
        <w:tc>
          <w:tcPr>
            <w:tcW w:w="1911" w:type="dxa"/>
            <w:tcBorders>
              <w:top w:val="nil"/>
              <w:left w:val="single" w:sz="4" w:space="0" w:color="979991"/>
              <w:bottom w:val="single" w:sz="4" w:space="0" w:color="979991"/>
              <w:right w:val="nil"/>
            </w:tcBorders>
            <w:shd w:val="clear" w:color="000000" w:fill="FFFFFF"/>
          </w:tcPr>
          <w:p w:rsidR="00587D0B" w:rsidRPr="00587D0B" w:rsidRDefault="00C37F10" w:rsidP="00C37F10">
            <w:pPr>
              <w:spacing w:after="0" w:line="240" w:lineRule="auto"/>
              <w:jc w:val="center"/>
              <w:rPr>
                <w:rFonts w:eastAsia="Times New Roman"/>
                <w:color w:val="000000"/>
                <w:szCs w:val="16"/>
                <w:lang w:eastAsia="en-GB"/>
              </w:rPr>
            </w:pPr>
            <w:r>
              <w:rPr>
                <w:rFonts w:eastAsia="Times New Roman"/>
                <w:color w:val="000000"/>
                <w:szCs w:val="16"/>
                <w:lang w:eastAsia="en-GB"/>
              </w:rPr>
              <w:t>£14.33</w:t>
            </w:r>
          </w:p>
        </w:tc>
        <w:tc>
          <w:tcPr>
            <w:tcW w:w="2127" w:type="dxa"/>
            <w:tcBorders>
              <w:top w:val="nil"/>
              <w:left w:val="single" w:sz="4" w:space="0" w:color="979991"/>
              <w:bottom w:val="single" w:sz="4" w:space="0" w:color="979991"/>
              <w:right w:val="single" w:sz="4" w:space="0" w:color="979991"/>
            </w:tcBorders>
            <w:shd w:val="clear" w:color="000000" w:fill="FFFFFF"/>
            <w:hideMark/>
          </w:tcPr>
          <w:p w:rsidR="00587D0B" w:rsidRPr="00587D0B" w:rsidRDefault="00C37F10" w:rsidP="00C37F10">
            <w:pPr>
              <w:spacing w:after="0" w:line="240" w:lineRule="auto"/>
              <w:jc w:val="center"/>
              <w:rPr>
                <w:rFonts w:eastAsia="Times New Roman"/>
                <w:color w:val="000000"/>
                <w:szCs w:val="16"/>
                <w:lang w:eastAsia="en-GB"/>
              </w:rPr>
            </w:pPr>
            <w:r>
              <w:rPr>
                <w:rFonts w:eastAsia="Times New Roman"/>
                <w:color w:val="000000"/>
                <w:szCs w:val="16"/>
                <w:lang w:eastAsia="en-GB"/>
              </w:rPr>
              <w:t>£15.07</w:t>
            </w:r>
          </w:p>
        </w:tc>
      </w:tr>
      <w:tr w:rsidR="00587D0B" w:rsidRPr="00587D0B" w:rsidTr="00C25D4C">
        <w:trPr>
          <w:cantSplit/>
          <w:trHeight w:val="288"/>
          <w:tblHeader/>
        </w:trPr>
        <w:tc>
          <w:tcPr>
            <w:tcW w:w="2640" w:type="dxa"/>
            <w:tcBorders>
              <w:top w:val="nil"/>
              <w:left w:val="single" w:sz="4" w:space="0" w:color="979991"/>
              <w:bottom w:val="single" w:sz="4" w:space="0" w:color="979991"/>
              <w:right w:val="nil"/>
            </w:tcBorders>
            <w:shd w:val="clear" w:color="auto" w:fill="auto"/>
            <w:hideMark/>
          </w:tcPr>
          <w:p w:rsidR="00587D0B" w:rsidRPr="00587D0B" w:rsidRDefault="00587D0B" w:rsidP="000A57DB">
            <w:pPr>
              <w:spacing w:after="0" w:line="240" w:lineRule="auto"/>
              <w:rPr>
                <w:rFonts w:eastAsia="Times New Roman"/>
                <w:b/>
                <w:bCs/>
                <w:szCs w:val="16"/>
                <w:lang w:eastAsia="en-GB"/>
              </w:rPr>
            </w:pPr>
            <w:r w:rsidRPr="00587D0B">
              <w:rPr>
                <w:rFonts w:eastAsia="Times New Roman"/>
                <w:b/>
                <w:bCs/>
                <w:szCs w:val="16"/>
                <w:lang w:eastAsia="en-GB"/>
              </w:rPr>
              <w:t>Female</w:t>
            </w:r>
          </w:p>
        </w:tc>
        <w:tc>
          <w:tcPr>
            <w:tcW w:w="1911" w:type="dxa"/>
            <w:tcBorders>
              <w:top w:val="nil"/>
              <w:left w:val="single" w:sz="4" w:space="0" w:color="979991"/>
              <w:bottom w:val="single" w:sz="4" w:space="0" w:color="979991"/>
              <w:right w:val="nil"/>
            </w:tcBorders>
            <w:shd w:val="clear" w:color="000000" w:fill="FFFFFF"/>
          </w:tcPr>
          <w:p w:rsidR="00587D0B" w:rsidRPr="00587D0B" w:rsidRDefault="00C37F10" w:rsidP="00C37F10">
            <w:pPr>
              <w:spacing w:after="0" w:line="240" w:lineRule="auto"/>
              <w:jc w:val="center"/>
              <w:rPr>
                <w:rFonts w:eastAsia="Times New Roman"/>
                <w:color w:val="000000"/>
                <w:szCs w:val="16"/>
                <w:lang w:eastAsia="en-GB"/>
              </w:rPr>
            </w:pPr>
            <w:r>
              <w:rPr>
                <w:rFonts w:eastAsia="Times New Roman"/>
                <w:color w:val="000000"/>
                <w:szCs w:val="16"/>
                <w:lang w:eastAsia="en-GB"/>
              </w:rPr>
              <w:t>£14.17</w:t>
            </w:r>
          </w:p>
        </w:tc>
        <w:tc>
          <w:tcPr>
            <w:tcW w:w="2127" w:type="dxa"/>
            <w:tcBorders>
              <w:top w:val="nil"/>
              <w:left w:val="single" w:sz="4" w:space="0" w:color="979991"/>
              <w:bottom w:val="single" w:sz="4" w:space="0" w:color="979991"/>
              <w:right w:val="single" w:sz="4" w:space="0" w:color="979991"/>
            </w:tcBorders>
            <w:shd w:val="clear" w:color="000000" w:fill="FFFFFF"/>
            <w:hideMark/>
          </w:tcPr>
          <w:p w:rsidR="00587D0B" w:rsidRPr="00587D0B" w:rsidRDefault="00C37F10" w:rsidP="00C37F10">
            <w:pPr>
              <w:spacing w:after="0" w:line="240" w:lineRule="auto"/>
              <w:jc w:val="center"/>
              <w:rPr>
                <w:rFonts w:eastAsia="Times New Roman"/>
                <w:color w:val="000000"/>
                <w:szCs w:val="16"/>
                <w:lang w:eastAsia="en-GB"/>
              </w:rPr>
            </w:pPr>
            <w:r>
              <w:rPr>
                <w:rFonts w:eastAsia="Times New Roman"/>
                <w:color w:val="000000"/>
                <w:szCs w:val="16"/>
                <w:lang w:eastAsia="en-GB"/>
              </w:rPr>
              <w:t>£14.63</w:t>
            </w:r>
          </w:p>
        </w:tc>
      </w:tr>
      <w:tr w:rsidR="00587D0B" w:rsidRPr="00587D0B" w:rsidTr="00C25D4C">
        <w:trPr>
          <w:cantSplit/>
          <w:trHeight w:val="288"/>
          <w:tblHeader/>
        </w:trPr>
        <w:tc>
          <w:tcPr>
            <w:tcW w:w="2640" w:type="dxa"/>
            <w:tcBorders>
              <w:top w:val="nil"/>
              <w:left w:val="single" w:sz="4" w:space="0" w:color="979991"/>
              <w:bottom w:val="single" w:sz="4" w:space="0" w:color="979991"/>
              <w:right w:val="nil"/>
            </w:tcBorders>
            <w:shd w:val="clear" w:color="auto" w:fill="auto"/>
            <w:hideMark/>
          </w:tcPr>
          <w:p w:rsidR="00587D0B" w:rsidRPr="00587D0B" w:rsidRDefault="00587D0B" w:rsidP="000A57DB">
            <w:pPr>
              <w:spacing w:after="0" w:line="240" w:lineRule="auto"/>
              <w:rPr>
                <w:rFonts w:eastAsia="Times New Roman"/>
                <w:b/>
                <w:bCs/>
                <w:szCs w:val="16"/>
                <w:lang w:eastAsia="en-GB"/>
              </w:rPr>
            </w:pPr>
            <w:r w:rsidRPr="00587D0B">
              <w:rPr>
                <w:rFonts w:eastAsia="Times New Roman"/>
                <w:b/>
                <w:bCs/>
                <w:szCs w:val="16"/>
                <w:lang w:eastAsia="en-GB"/>
              </w:rPr>
              <w:t>Difference</w:t>
            </w:r>
          </w:p>
        </w:tc>
        <w:tc>
          <w:tcPr>
            <w:tcW w:w="1911" w:type="dxa"/>
            <w:tcBorders>
              <w:top w:val="nil"/>
              <w:left w:val="single" w:sz="4" w:space="0" w:color="979991"/>
              <w:bottom w:val="single" w:sz="4" w:space="0" w:color="979991"/>
              <w:right w:val="nil"/>
            </w:tcBorders>
            <w:shd w:val="clear" w:color="000000" w:fill="FFFFFF"/>
          </w:tcPr>
          <w:p w:rsidR="00587D0B" w:rsidRPr="00587D0B" w:rsidRDefault="00C37F10" w:rsidP="00C37F10">
            <w:pPr>
              <w:spacing w:after="0" w:line="240" w:lineRule="auto"/>
              <w:jc w:val="center"/>
              <w:rPr>
                <w:rFonts w:eastAsia="Times New Roman"/>
                <w:color w:val="000000"/>
                <w:szCs w:val="16"/>
                <w:lang w:eastAsia="en-GB"/>
              </w:rPr>
            </w:pPr>
            <w:r>
              <w:rPr>
                <w:rFonts w:eastAsia="Times New Roman"/>
                <w:color w:val="000000"/>
                <w:szCs w:val="16"/>
                <w:lang w:eastAsia="en-GB"/>
              </w:rPr>
              <w:t>£0.16</w:t>
            </w:r>
          </w:p>
        </w:tc>
        <w:tc>
          <w:tcPr>
            <w:tcW w:w="2127" w:type="dxa"/>
            <w:tcBorders>
              <w:top w:val="nil"/>
              <w:left w:val="single" w:sz="4" w:space="0" w:color="979991"/>
              <w:bottom w:val="single" w:sz="4" w:space="0" w:color="979991"/>
              <w:right w:val="single" w:sz="4" w:space="0" w:color="979991"/>
            </w:tcBorders>
            <w:shd w:val="clear" w:color="000000" w:fill="FFFFFF"/>
            <w:hideMark/>
          </w:tcPr>
          <w:p w:rsidR="00587D0B" w:rsidRPr="00587D0B" w:rsidRDefault="00C37F10" w:rsidP="00C37F10">
            <w:pPr>
              <w:spacing w:after="0" w:line="240" w:lineRule="auto"/>
              <w:jc w:val="center"/>
              <w:rPr>
                <w:rFonts w:eastAsia="Times New Roman"/>
                <w:color w:val="000000"/>
                <w:szCs w:val="16"/>
                <w:lang w:eastAsia="en-GB"/>
              </w:rPr>
            </w:pPr>
            <w:r>
              <w:rPr>
                <w:rFonts w:eastAsia="Times New Roman"/>
                <w:color w:val="000000"/>
                <w:szCs w:val="16"/>
                <w:lang w:eastAsia="en-GB"/>
              </w:rPr>
              <w:t>£</w:t>
            </w:r>
            <w:r w:rsidR="00587D0B" w:rsidRPr="00587D0B">
              <w:rPr>
                <w:rFonts w:eastAsia="Times New Roman"/>
                <w:color w:val="000000"/>
                <w:szCs w:val="16"/>
                <w:lang w:eastAsia="en-GB"/>
              </w:rPr>
              <w:t>0.44</w:t>
            </w:r>
          </w:p>
        </w:tc>
      </w:tr>
      <w:tr w:rsidR="00587D0B" w:rsidRPr="00587D0B" w:rsidTr="00C25D4C">
        <w:trPr>
          <w:cantSplit/>
          <w:trHeight w:val="288"/>
          <w:tblHeader/>
        </w:trPr>
        <w:tc>
          <w:tcPr>
            <w:tcW w:w="2640" w:type="dxa"/>
            <w:tcBorders>
              <w:top w:val="nil"/>
              <w:left w:val="single" w:sz="4" w:space="0" w:color="979991"/>
              <w:bottom w:val="single" w:sz="4" w:space="0" w:color="979991"/>
              <w:right w:val="nil"/>
            </w:tcBorders>
            <w:shd w:val="clear" w:color="auto" w:fill="auto"/>
            <w:hideMark/>
          </w:tcPr>
          <w:p w:rsidR="00587D0B" w:rsidRPr="00587D0B" w:rsidRDefault="00E400EC" w:rsidP="000A57DB">
            <w:pPr>
              <w:spacing w:after="0" w:line="240" w:lineRule="auto"/>
              <w:rPr>
                <w:rFonts w:eastAsia="Times New Roman"/>
                <w:b/>
                <w:bCs/>
                <w:szCs w:val="16"/>
                <w:lang w:eastAsia="en-GB"/>
              </w:rPr>
            </w:pPr>
            <w:r w:rsidRPr="00C25D4C">
              <w:rPr>
                <w:rFonts w:eastAsia="Times New Roman"/>
                <w:b/>
                <w:bCs/>
                <w:szCs w:val="16"/>
                <w:lang w:eastAsia="en-GB"/>
              </w:rPr>
              <w:t>Pay Gap</w:t>
            </w:r>
          </w:p>
        </w:tc>
        <w:tc>
          <w:tcPr>
            <w:tcW w:w="1911" w:type="dxa"/>
            <w:tcBorders>
              <w:top w:val="nil"/>
              <w:left w:val="single" w:sz="4" w:space="0" w:color="979991"/>
              <w:bottom w:val="single" w:sz="4" w:space="0" w:color="979991"/>
              <w:right w:val="nil"/>
            </w:tcBorders>
            <w:shd w:val="clear" w:color="000000" w:fill="FFFFFF"/>
          </w:tcPr>
          <w:p w:rsidR="00587D0B" w:rsidRPr="00587D0B" w:rsidRDefault="00C37F10" w:rsidP="00C37F10">
            <w:pPr>
              <w:spacing w:after="0" w:line="240" w:lineRule="auto"/>
              <w:jc w:val="center"/>
              <w:rPr>
                <w:rFonts w:eastAsia="Times New Roman"/>
                <w:color w:val="000000"/>
                <w:szCs w:val="16"/>
                <w:lang w:eastAsia="en-GB"/>
              </w:rPr>
            </w:pPr>
            <w:r>
              <w:rPr>
                <w:rFonts w:eastAsia="Times New Roman"/>
                <w:color w:val="000000"/>
                <w:szCs w:val="16"/>
                <w:lang w:eastAsia="en-GB"/>
              </w:rPr>
              <w:t>1.18%</w:t>
            </w:r>
          </w:p>
        </w:tc>
        <w:tc>
          <w:tcPr>
            <w:tcW w:w="2127" w:type="dxa"/>
            <w:tcBorders>
              <w:top w:val="nil"/>
              <w:left w:val="single" w:sz="4" w:space="0" w:color="979991"/>
              <w:bottom w:val="single" w:sz="4" w:space="0" w:color="979991"/>
              <w:right w:val="single" w:sz="4" w:space="0" w:color="979991"/>
            </w:tcBorders>
            <w:shd w:val="clear" w:color="000000" w:fill="FFFFFF"/>
            <w:hideMark/>
          </w:tcPr>
          <w:p w:rsidR="00587D0B" w:rsidRPr="00587D0B" w:rsidRDefault="00587D0B" w:rsidP="00C37F10">
            <w:pPr>
              <w:spacing w:after="0" w:line="240" w:lineRule="auto"/>
              <w:jc w:val="center"/>
              <w:rPr>
                <w:rFonts w:eastAsia="Times New Roman"/>
                <w:color w:val="000000"/>
                <w:szCs w:val="16"/>
                <w:lang w:eastAsia="en-GB"/>
              </w:rPr>
            </w:pPr>
            <w:r w:rsidRPr="00587D0B">
              <w:rPr>
                <w:rFonts w:eastAsia="Times New Roman"/>
                <w:color w:val="000000"/>
                <w:szCs w:val="16"/>
                <w:lang w:eastAsia="en-GB"/>
              </w:rPr>
              <w:t>2.9</w:t>
            </w:r>
            <w:r w:rsidR="00C37F10">
              <w:rPr>
                <w:rFonts w:eastAsia="Times New Roman"/>
                <w:color w:val="000000"/>
                <w:szCs w:val="16"/>
                <w:lang w:eastAsia="en-GB"/>
              </w:rPr>
              <w:t>1%</w:t>
            </w:r>
          </w:p>
        </w:tc>
      </w:tr>
    </w:tbl>
    <w:p w:rsidR="00587D0B" w:rsidRDefault="00587D0B" w:rsidP="00E925E1"/>
    <w:p w:rsidR="00B21925" w:rsidRDefault="00B21925" w:rsidP="00B21925">
      <w:pPr>
        <w:pStyle w:val="Heading2"/>
      </w:pPr>
      <w:bookmarkStart w:id="5" w:name="_Toc94085677"/>
      <w:r>
        <w:t>Gender mean and median – bonus pay gap</w:t>
      </w:r>
      <w:bookmarkEnd w:id="5"/>
      <w:r>
        <w:t xml:space="preserve"> </w:t>
      </w:r>
    </w:p>
    <w:p w:rsidR="00B21925" w:rsidRDefault="00B21925" w:rsidP="00E925E1">
      <w:r>
        <w:t xml:space="preserve">The </w:t>
      </w:r>
      <w:proofErr w:type="gramStart"/>
      <w:r>
        <w:t>table</w:t>
      </w:r>
      <w:r w:rsidR="00E400EC">
        <w:t>s</w:t>
      </w:r>
      <w:r>
        <w:t xml:space="preserve"> below includes</w:t>
      </w:r>
      <w:proofErr w:type="gramEnd"/>
      <w:r>
        <w:t xml:space="preserve"> Medical and Dental employees who received a Clinical Excellence Award (CEA) and Very Senior Managers (VSM) who received a bonus. There is a general reduction in the gap in median, which is a positive decrease</w:t>
      </w:r>
    </w:p>
    <w:tbl>
      <w:tblPr>
        <w:tblW w:w="5694" w:type="dxa"/>
        <w:tblInd w:w="93" w:type="dxa"/>
        <w:tblLook w:val="04A0" w:firstRow="1" w:lastRow="0" w:firstColumn="1" w:lastColumn="0" w:noHBand="0" w:noVBand="1"/>
        <w:tblCaption w:val="Mean bonus paygap 2020 and 2021"/>
      </w:tblPr>
      <w:tblGrid>
        <w:gridCol w:w="1644"/>
        <w:gridCol w:w="1418"/>
        <w:gridCol w:w="1418"/>
        <w:gridCol w:w="1214"/>
      </w:tblGrid>
      <w:tr w:rsidR="00E400EC" w:rsidRPr="00B21925" w:rsidTr="00E400EC">
        <w:trPr>
          <w:cantSplit/>
          <w:trHeight w:val="288"/>
          <w:tblHeader/>
        </w:trPr>
        <w:tc>
          <w:tcPr>
            <w:tcW w:w="1716" w:type="dxa"/>
            <w:tcBorders>
              <w:top w:val="single" w:sz="4" w:space="0" w:color="979991"/>
              <w:left w:val="single" w:sz="4" w:space="0" w:color="979991"/>
              <w:bottom w:val="nil"/>
              <w:right w:val="nil"/>
            </w:tcBorders>
            <w:shd w:val="clear" w:color="000000" w:fill="0066CC"/>
            <w:hideMark/>
          </w:tcPr>
          <w:p w:rsidR="00E400EC" w:rsidRPr="00B21925" w:rsidRDefault="00E400EC" w:rsidP="00B21925">
            <w:pPr>
              <w:spacing w:after="0" w:line="240" w:lineRule="auto"/>
              <w:rPr>
                <w:rFonts w:eastAsia="Times New Roman"/>
                <w:b/>
                <w:bCs/>
                <w:color w:val="FFFFFF"/>
                <w:szCs w:val="16"/>
                <w:lang w:eastAsia="en-GB"/>
              </w:rPr>
            </w:pPr>
            <w:r w:rsidRPr="00B21925">
              <w:rPr>
                <w:rFonts w:eastAsia="Times New Roman"/>
                <w:b/>
                <w:bCs/>
                <w:color w:val="FFFFFF"/>
                <w:szCs w:val="16"/>
                <w:lang w:eastAsia="en-GB"/>
              </w:rPr>
              <w:t>Gender</w:t>
            </w:r>
          </w:p>
        </w:tc>
        <w:tc>
          <w:tcPr>
            <w:tcW w:w="1284" w:type="dxa"/>
            <w:tcBorders>
              <w:top w:val="single" w:sz="4" w:space="0" w:color="979991"/>
              <w:left w:val="single" w:sz="4" w:space="0" w:color="979991"/>
              <w:bottom w:val="nil"/>
              <w:right w:val="nil"/>
            </w:tcBorders>
            <w:shd w:val="clear" w:color="000000" w:fill="0066CC"/>
            <w:hideMark/>
          </w:tcPr>
          <w:p w:rsidR="00E400EC" w:rsidRPr="00B21925" w:rsidRDefault="00E400EC" w:rsidP="00B21925">
            <w:pPr>
              <w:spacing w:after="0" w:line="240" w:lineRule="auto"/>
              <w:rPr>
                <w:rFonts w:eastAsia="Times New Roman"/>
                <w:b/>
                <w:bCs/>
                <w:color w:val="FFFFFF"/>
                <w:szCs w:val="16"/>
                <w:lang w:eastAsia="en-GB"/>
              </w:rPr>
            </w:pPr>
            <w:r>
              <w:rPr>
                <w:rFonts w:eastAsia="Times New Roman"/>
                <w:b/>
                <w:bCs/>
                <w:color w:val="FFFFFF"/>
                <w:szCs w:val="16"/>
                <w:lang w:eastAsia="en-GB"/>
              </w:rPr>
              <w:t>Mean Bonus Pay 2020</w:t>
            </w:r>
          </w:p>
        </w:tc>
        <w:tc>
          <w:tcPr>
            <w:tcW w:w="1410" w:type="dxa"/>
            <w:tcBorders>
              <w:top w:val="single" w:sz="4" w:space="0" w:color="979991"/>
              <w:left w:val="single" w:sz="4" w:space="0" w:color="979991"/>
              <w:bottom w:val="nil"/>
              <w:right w:val="single" w:sz="4" w:space="0" w:color="979991"/>
            </w:tcBorders>
            <w:shd w:val="clear" w:color="000000" w:fill="0066CC"/>
            <w:hideMark/>
          </w:tcPr>
          <w:p w:rsidR="00E400EC" w:rsidRPr="00B21925" w:rsidRDefault="00E400EC" w:rsidP="000A57DB">
            <w:pPr>
              <w:spacing w:after="0" w:line="240" w:lineRule="auto"/>
              <w:rPr>
                <w:rFonts w:eastAsia="Times New Roman"/>
                <w:b/>
                <w:bCs/>
                <w:color w:val="FFFFFF"/>
                <w:szCs w:val="16"/>
                <w:lang w:eastAsia="en-GB"/>
              </w:rPr>
            </w:pPr>
            <w:r>
              <w:rPr>
                <w:rFonts w:eastAsia="Times New Roman"/>
                <w:b/>
                <w:bCs/>
                <w:color w:val="FFFFFF"/>
                <w:szCs w:val="16"/>
                <w:lang w:eastAsia="en-GB"/>
              </w:rPr>
              <w:t>Mean Bonus Pay 2021</w:t>
            </w:r>
          </w:p>
        </w:tc>
        <w:tc>
          <w:tcPr>
            <w:tcW w:w="1284" w:type="dxa"/>
          </w:tcPr>
          <w:p w:rsidR="00E400EC" w:rsidRPr="00B21925" w:rsidRDefault="00E400EC" w:rsidP="000A57DB">
            <w:pPr>
              <w:spacing w:after="0" w:line="240" w:lineRule="auto"/>
              <w:rPr>
                <w:rFonts w:eastAsia="Times New Roman"/>
                <w:b/>
                <w:bCs/>
                <w:color w:val="FFFFFF"/>
                <w:szCs w:val="16"/>
                <w:lang w:eastAsia="en-GB"/>
              </w:rPr>
            </w:pPr>
            <w:r>
              <w:rPr>
                <w:rFonts w:eastAsia="Times New Roman"/>
                <w:b/>
                <w:bCs/>
                <w:color w:val="FFFFFF"/>
                <w:szCs w:val="16"/>
                <w:lang w:eastAsia="en-GB"/>
              </w:rPr>
              <w:t>Mean Bonus Pay 2020</w:t>
            </w:r>
          </w:p>
        </w:tc>
      </w:tr>
      <w:tr w:rsidR="00E400EC" w:rsidRPr="00B21925" w:rsidTr="00E400EC">
        <w:trPr>
          <w:gridAfter w:val="1"/>
          <w:wAfter w:w="1284" w:type="dxa"/>
          <w:cantSplit/>
          <w:trHeight w:val="288"/>
          <w:tblHeader/>
        </w:trPr>
        <w:tc>
          <w:tcPr>
            <w:tcW w:w="1716" w:type="dxa"/>
            <w:tcBorders>
              <w:top w:val="single" w:sz="4" w:space="0" w:color="979991"/>
              <w:left w:val="single" w:sz="4" w:space="0" w:color="979991"/>
              <w:bottom w:val="single" w:sz="4" w:space="0" w:color="979991"/>
              <w:right w:val="nil"/>
            </w:tcBorders>
            <w:shd w:val="clear" w:color="000000" w:fill="FFFFFF"/>
            <w:hideMark/>
          </w:tcPr>
          <w:p w:rsidR="00E400EC" w:rsidRPr="00B21925" w:rsidRDefault="00E400EC" w:rsidP="00B21925">
            <w:pPr>
              <w:spacing w:after="0" w:line="240" w:lineRule="auto"/>
              <w:rPr>
                <w:rFonts w:eastAsia="Times New Roman"/>
                <w:b/>
                <w:color w:val="000000"/>
                <w:szCs w:val="16"/>
                <w:lang w:eastAsia="en-GB"/>
              </w:rPr>
            </w:pPr>
            <w:r w:rsidRPr="00B21925">
              <w:rPr>
                <w:rFonts w:eastAsia="Times New Roman"/>
                <w:b/>
                <w:color w:val="000000"/>
                <w:szCs w:val="16"/>
                <w:lang w:eastAsia="en-GB"/>
              </w:rPr>
              <w:t>Male</w:t>
            </w:r>
          </w:p>
        </w:tc>
        <w:tc>
          <w:tcPr>
            <w:tcW w:w="1284" w:type="dxa"/>
            <w:tcBorders>
              <w:top w:val="single" w:sz="4" w:space="0" w:color="979991"/>
              <w:left w:val="single" w:sz="4" w:space="0" w:color="979991"/>
              <w:bottom w:val="single" w:sz="4" w:space="0" w:color="979991"/>
              <w:right w:val="nil"/>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£12,308.88</w:t>
            </w:r>
          </w:p>
        </w:tc>
        <w:tc>
          <w:tcPr>
            <w:tcW w:w="1410" w:type="dxa"/>
            <w:tcBorders>
              <w:top w:val="single" w:sz="4" w:space="0" w:color="979991"/>
              <w:left w:val="single" w:sz="4" w:space="0" w:color="979991"/>
              <w:bottom w:val="single" w:sz="4" w:space="0" w:color="979991"/>
              <w:right w:val="single" w:sz="4" w:space="0" w:color="979991"/>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w:t>
            </w:r>
            <w:r w:rsidRPr="00B21925">
              <w:rPr>
                <w:rFonts w:eastAsia="Times New Roman"/>
                <w:color w:val="000000"/>
                <w:szCs w:val="16"/>
                <w:lang w:eastAsia="en-GB"/>
              </w:rPr>
              <w:t>11,629.48</w:t>
            </w:r>
          </w:p>
        </w:tc>
      </w:tr>
      <w:tr w:rsidR="00E400EC" w:rsidRPr="00B21925" w:rsidTr="00E400EC">
        <w:trPr>
          <w:gridAfter w:val="1"/>
          <w:wAfter w:w="1284" w:type="dxa"/>
          <w:cantSplit/>
          <w:trHeight w:val="288"/>
          <w:tblHeader/>
        </w:trPr>
        <w:tc>
          <w:tcPr>
            <w:tcW w:w="1716" w:type="dxa"/>
            <w:tcBorders>
              <w:top w:val="nil"/>
              <w:left w:val="single" w:sz="4" w:space="0" w:color="979991"/>
              <w:bottom w:val="single" w:sz="4" w:space="0" w:color="979991"/>
              <w:right w:val="nil"/>
            </w:tcBorders>
            <w:shd w:val="clear" w:color="000000" w:fill="FFFFFF"/>
            <w:hideMark/>
          </w:tcPr>
          <w:p w:rsidR="00E400EC" w:rsidRPr="00B21925" w:rsidRDefault="00E400EC" w:rsidP="00B21925">
            <w:pPr>
              <w:spacing w:after="0" w:line="240" w:lineRule="auto"/>
              <w:rPr>
                <w:rFonts w:eastAsia="Times New Roman"/>
                <w:b/>
                <w:color w:val="000000"/>
                <w:szCs w:val="16"/>
                <w:lang w:eastAsia="en-GB"/>
              </w:rPr>
            </w:pPr>
            <w:r w:rsidRPr="00B21925">
              <w:rPr>
                <w:rFonts w:eastAsia="Times New Roman"/>
                <w:b/>
                <w:color w:val="000000"/>
                <w:szCs w:val="16"/>
                <w:lang w:eastAsia="en-GB"/>
              </w:rPr>
              <w:t>Female</w:t>
            </w:r>
          </w:p>
        </w:tc>
        <w:tc>
          <w:tcPr>
            <w:tcW w:w="1284" w:type="dxa"/>
            <w:tcBorders>
              <w:top w:val="nil"/>
              <w:left w:val="single" w:sz="4" w:space="0" w:color="979991"/>
              <w:bottom w:val="single" w:sz="4" w:space="0" w:color="979991"/>
              <w:right w:val="nil"/>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£7,072.63</w:t>
            </w:r>
          </w:p>
        </w:tc>
        <w:tc>
          <w:tcPr>
            <w:tcW w:w="1410" w:type="dxa"/>
            <w:tcBorders>
              <w:top w:val="nil"/>
              <w:left w:val="single" w:sz="4" w:space="0" w:color="979991"/>
              <w:bottom w:val="single" w:sz="4" w:space="0" w:color="979991"/>
              <w:right w:val="single" w:sz="4" w:space="0" w:color="979991"/>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w:t>
            </w:r>
            <w:r w:rsidRPr="00B21925">
              <w:rPr>
                <w:rFonts w:eastAsia="Times New Roman"/>
                <w:color w:val="000000"/>
                <w:szCs w:val="16"/>
                <w:lang w:eastAsia="en-GB"/>
              </w:rPr>
              <w:t>6,225.23</w:t>
            </w:r>
          </w:p>
        </w:tc>
      </w:tr>
      <w:tr w:rsidR="00E400EC" w:rsidRPr="00B21925" w:rsidTr="00E400EC">
        <w:trPr>
          <w:gridAfter w:val="1"/>
          <w:wAfter w:w="1284" w:type="dxa"/>
          <w:cantSplit/>
          <w:trHeight w:val="288"/>
          <w:tblHeader/>
        </w:trPr>
        <w:tc>
          <w:tcPr>
            <w:tcW w:w="1716" w:type="dxa"/>
            <w:tcBorders>
              <w:top w:val="nil"/>
              <w:left w:val="single" w:sz="4" w:space="0" w:color="979991"/>
              <w:bottom w:val="single" w:sz="4" w:space="0" w:color="979991"/>
              <w:right w:val="nil"/>
            </w:tcBorders>
            <w:shd w:val="clear" w:color="000000" w:fill="FFFFFF"/>
            <w:hideMark/>
          </w:tcPr>
          <w:p w:rsidR="00E400EC" w:rsidRPr="00B21925" w:rsidRDefault="00E400EC" w:rsidP="00B21925">
            <w:pPr>
              <w:spacing w:after="0" w:line="240" w:lineRule="auto"/>
              <w:rPr>
                <w:rFonts w:eastAsia="Times New Roman"/>
                <w:b/>
                <w:color w:val="000000"/>
                <w:szCs w:val="16"/>
                <w:lang w:eastAsia="en-GB"/>
              </w:rPr>
            </w:pPr>
            <w:r w:rsidRPr="00B21925">
              <w:rPr>
                <w:rFonts w:eastAsia="Times New Roman"/>
                <w:b/>
                <w:color w:val="000000"/>
                <w:szCs w:val="16"/>
                <w:lang w:eastAsia="en-GB"/>
              </w:rPr>
              <w:t>Difference</w:t>
            </w:r>
          </w:p>
        </w:tc>
        <w:tc>
          <w:tcPr>
            <w:tcW w:w="1284" w:type="dxa"/>
            <w:tcBorders>
              <w:top w:val="nil"/>
              <w:left w:val="single" w:sz="4" w:space="0" w:color="979991"/>
              <w:bottom w:val="single" w:sz="4" w:space="0" w:color="979991"/>
              <w:right w:val="nil"/>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£5,236.25</w:t>
            </w:r>
          </w:p>
        </w:tc>
        <w:tc>
          <w:tcPr>
            <w:tcW w:w="1410" w:type="dxa"/>
            <w:tcBorders>
              <w:top w:val="nil"/>
              <w:left w:val="single" w:sz="4" w:space="0" w:color="979991"/>
              <w:bottom w:val="single" w:sz="4" w:space="0" w:color="979991"/>
              <w:right w:val="single" w:sz="4" w:space="0" w:color="979991"/>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w:t>
            </w:r>
            <w:r w:rsidRPr="00B21925">
              <w:rPr>
                <w:rFonts w:eastAsia="Times New Roman"/>
                <w:color w:val="000000"/>
                <w:szCs w:val="16"/>
                <w:lang w:eastAsia="en-GB"/>
              </w:rPr>
              <w:t>5,404.25</w:t>
            </w:r>
          </w:p>
        </w:tc>
      </w:tr>
      <w:tr w:rsidR="00E400EC" w:rsidRPr="00B21925" w:rsidTr="00E400EC">
        <w:trPr>
          <w:gridAfter w:val="1"/>
          <w:wAfter w:w="1284" w:type="dxa"/>
          <w:cantSplit/>
          <w:trHeight w:val="288"/>
          <w:tblHeader/>
        </w:trPr>
        <w:tc>
          <w:tcPr>
            <w:tcW w:w="1716" w:type="dxa"/>
            <w:tcBorders>
              <w:top w:val="nil"/>
              <w:left w:val="single" w:sz="4" w:space="0" w:color="979991"/>
              <w:bottom w:val="single" w:sz="4" w:space="0" w:color="979991"/>
              <w:right w:val="nil"/>
            </w:tcBorders>
            <w:shd w:val="clear" w:color="000000" w:fill="FFFFFF"/>
            <w:hideMark/>
          </w:tcPr>
          <w:p w:rsidR="00E400EC" w:rsidRPr="00B21925" w:rsidRDefault="00E400EC" w:rsidP="00B21925">
            <w:pPr>
              <w:spacing w:after="0" w:line="240" w:lineRule="auto"/>
              <w:rPr>
                <w:rFonts w:eastAsia="Times New Roman"/>
                <w:b/>
                <w:color w:val="000000"/>
                <w:szCs w:val="16"/>
                <w:lang w:eastAsia="en-GB"/>
              </w:rPr>
            </w:pPr>
            <w:r w:rsidRPr="00C25D4C">
              <w:rPr>
                <w:rFonts w:eastAsia="Times New Roman"/>
                <w:b/>
                <w:color w:val="000000"/>
                <w:szCs w:val="16"/>
                <w:lang w:eastAsia="en-GB"/>
              </w:rPr>
              <w:t>Pay Gap</w:t>
            </w:r>
          </w:p>
        </w:tc>
        <w:tc>
          <w:tcPr>
            <w:tcW w:w="1284" w:type="dxa"/>
            <w:tcBorders>
              <w:top w:val="nil"/>
              <w:left w:val="single" w:sz="4" w:space="0" w:color="979991"/>
              <w:bottom w:val="single" w:sz="4" w:space="0" w:color="979991"/>
              <w:right w:val="nil"/>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42.54%</w:t>
            </w:r>
          </w:p>
        </w:tc>
        <w:tc>
          <w:tcPr>
            <w:tcW w:w="1410" w:type="dxa"/>
            <w:tcBorders>
              <w:top w:val="nil"/>
              <w:left w:val="single" w:sz="4" w:space="0" w:color="979991"/>
              <w:bottom w:val="single" w:sz="4" w:space="0" w:color="979991"/>
              <w:right w:val="single" w:sz="4" w:space="0" w:color="979991"/>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sidRPr="00B21925">
              <w:rPr>
                <w:rFonts w:eastAsia="Times New Roman"/>
                <w:color w:val="000000"/>
                <w:szCs w:val="16"/>
                <w:lang w:eastAsia="en-GB"/>
              </w:rPr>
              <w:t>46.47</w:t>
            </w:r>
            <w:r>
              <w:rPr>
                <w:rFonts w:eastAsia="Times New Roman"/>
                <w:color w:val="000000"/>
                <w:szCs w:val="16"/>
                <w:lang w:eastAsia="en-GB"/>
              </w:rPr>
              <w:t>%</w:t>
            </w:r>
          </w:p>
        </w:tc>
      </w:tr>
    </w:tbl>
    <w:p w:rsidR="00B21925" w:rsidRDefault="00B21925" w:rsidP="00E925E1"/>
    <w:tbl>
      <w:tblPr>
        <w:tblW w:w="4410" w:type="dxa"/>
        <w:tblInd w:w="93" w:type="dxa"/>
        <w:tblLook w:val="04A0" w:firstRow="1" w:lastRow="0" w:firstColumn="1" w:lastColumn="0" w:noHBand="0" w:noVBand="1"/>
        <w:tblCaption w:val="Median Bonus Pay 2020 and 2021"/>
      </w:tblPr>
      <w:tblGrid>
        <w:gridCol w:w="1716"/>
        <w:gridCol w:w="1284"/>
        <w:gridCol w:w="1410"/>
      </w:tblGrid>
      <w:tr w:rsidR="00E400EC" w:rsidRPr="00B21925" w:rsidTr="00E400EC">
        <w:trPr>
          <w:cantSplit/>
          <w:trHeight w:val="288"/>
          <w:tblHeader/>
        </w:trPr>
        <w:tc>
          <w:tcPr>
            <w:tcW w:w="1716" w:type="dxa"/>
            <w:tcBorders>
              <w:top w:val="single" w:sz="4" w:space="0" w:color="979991"/>
              <w:left w:val="single" w:sz="4" w:space="0" w:color="979991"/>
              <w:bottom w:val="nil"/>
              <w:right w:val="nil"/>
            </w:tcBorders>
            <w:shd w:val="clear" w:color="000000" w:fill="0066CC"/>
            <w:hideMark/>
          </w:tcPr>
          <w:p w:rsidR="00E400EC" w:rsidRPr="00B21925" w:rsidRDefault="00E400EC" w:rsidP="000A57DB">
            <w:pPr>
              <w:spacing w:after="0" w:line="240" w:lineRule="auto"/>
              <w:rPr>
                <w:rFonts w:eastAsia="Times New Roman"/>
                <w:b/>
                <w:bCs/>
                <w:color w:val="FFFFFF"/>
                <w:szCs w:val="16"/>
                <w:lang w:eastAsia="en-GB"/>
              </w:rPr>
            </w:pPr>
            <w:r w:rsidRPr="00B21925">
              <w:rPr>
                <w:rFonts w:eastAsia="Times New Roman"/>
                <w:b/>
                <w:bCs/>
                <w:color w:val="FFFFFF"/>
                <w:szCs w:val="16"/>
                <w:lang w:eastAsia="en-GB"/>
              </w:rPr>
              <w:t>Gender</w:t>
            </w:r>
          </w:p>
        </w:tc>
        <w:tc>
          <w:tcPr>
            <w:tcW w:w="1284" w:type="dxa"/>
            <w:tcBorders>
              <w:top w:val="single" w:sz="4" w:space="0" w:color="979991"/>
              <w:left w:val="single" w:sz="4" w:space="0" w:color="979991"/>
              <w:bottom w:val="nil"/>
              <w:right w:val="nil"/>
            </w:tcBorders>
            <w:shd w:val="clear" w:color="000000" w:fill="0066CC"/>
            <w:hideMark/>
          </w:tcPr>
          <w:p w:rsidR="00E400EC" w:rsidRPr="00B21925" w:rsidRDefault="00E400EC" w:rsidP="000A57DB">
            <w:pPr>
              <w:spacing w:after="0" w:line="240" w:lineRule="auto"/>
              <w:rPr>
                <w:rFonts w:eastAsia="Times New Roman"/>
                <w:b/>
                <w:bCs/>
                <w:color w:val="FFFFFF"/>
                <w:szCs w:val="16"/>
                <w:lang w:eastAsia="en-GB"/>
              </w:rPr>
            </w:pPr>
            <w:r w:rsidRPr="00B21925">
              <w:rPr>
                <w:rFonts w:eastAsia="Times New Roman"/>
                <w:b/>
                <w:bCs/>
                <w:color w:val="FFFFFF"/>
                <w:szCs w:val="16"/>
                <w:lang w:eastAsia="en-GB"/>
              </w:rPr>
              <w:t xml:space="preserve">Median </w:t>
            </w:r>
            <w:r>
              <w:rPr>
                <w:rFonts w:eastAsia="Times New Roman"/>
                <w:b/>
                <w:bCs/>
                <w:color w:val="FFFFFF"/>
                <w:szCs w:val="16"/>
                <w:lang w:eastAsia="en-GB"/>
              </w:rPr>
              <w:t xml:space="preserve">Bonus </w:t>
            </w:r>
            <w:r w:rsidRPr="00B21925">
              <w:rPr>
                <w:rFonts w:eastAsia="Times New Roman"/>
                <w:b/>
                <w:bCs/>
                <w:color w:val="FFFFFF"/>
                <w:szCs w:val="16"/>
                <w:lang w:eastAsia="en-GB"/>
              </w:rPr>
              <w:t>Pay</w:t>
            </w:r>
            <w:r>
              <w:rPr>
                <w:rFonts w:eastAsia="Times New Roman"/>
                <w:b/>
                <w:bCs/>
                <w:color w:val="FFFFFF"/>
                <w:szCs w:val="16"/>
                <w:lang w:eastAsia="en-GB"/>
              </w:rPr>
              <w:t xml:space="preserve"> 2020</w:t>
            </w:r>
          </w:p>
        </w:tc>
        <w:tc>
          <w:tcPr>
            <w:tcW w:w="1410" w:type="dxa"/>
            <w:tcBorders>
              <w:top w:val="single" w:sz="4" w:space="0" w:color="979991"/>
              <w:left w:val="single" w:sz="4" w:space="0" w:color="979991"/>
              <w:bottom w:val="nil"/>
              <w:right w:val="single" w:sz="4" w:space="0" w:color="979991"/>
            </w:tcBorders>
            <w:shd w:val="clear" w:color="000000" w:fill="0066CC"/>
            <w:hideMark/>
          </w:tcPr>
          <w:p w:rsidR="00E400EC" w:rsidRPr="00B21925" w:rsidRDefault="00E400EC" w:rsidP="000A57DB">
            <w:pPr>
              <w:spacing w:after="0" w:line="240" w:lineRule="auto"/>
              <w:rPr>
                <w:rFonts w:eastAsia="Times New Roman"/>
                <w:b/>
                <w:bCs/>
                <w:color w:val="FFFFFF"/>
                <w:szCs w:val="16"/>
                <w:lang w:eastAsia="en-GB"/>
              </w:rPr>
            </w:pPr>
            <w:r w:rsidRPr="00B21925">
              <w:rPr>
                <w:rFonts w:eastAsia="Times New Roman"/>
                <w:b/>
                <w:bCs/>
                <w:color w:val="FFFFFF"/>
                <w:szCs w:val="16"/>
                <w:lang w:eastAsia="en-GB"/>
              </w:rPr>
              <w:t xml:space="preserve">Median </w:t>
            </w:r>
            <w:r>
              <w:rPr>
                <w:rFonts w:eastAsia="Times New Roman"/>
                <w:b/>
                <w:bCs/>
                <w:color w:val="FFFFFF"/>
                <w:szCs w:val="16"/>
                <w:lang w:eastAsia="en-GB"/>
              </w:rPr>
              <w:t xml:space="preserve">Bonus </w:t>
            </w:r>
            <w:r w:rsidRPr="00B21925">
              <w:rPr>
                <w:rFonts w:eastAsia="Times New Roman"/>
                <w:b/>
                <w:bCs/>
                <w:color w:val="FFFFFF"/>
                <w:szCs w:val="16"/>
                <w:lang w:eastAsia="en-GB"/>
              </w:rPr>
              <w:t>Pay</w:t>
            </w:r>
            <w:r>
              <w:rPr>
                <w:rFonts w:eastAsia="Times New Roman"/>
                <w:b/>
                <w:bCs/>
                <w:color w:val="FFFFFF"/>
                <w:szCs w:val="16"/>
                <w:lang w:eastAsia="en-GB"/>
              </w:rPr>
              <w:t xml:space="preserve"> 2021</w:t>
            </w:r>
          </w:p>
        </w:tc>
      </w:tr>
      <w:tr w:rsidR="00E400EC" w:rsidRPr="00B21925" w:rsidTr="00E400EC">
        <w:trPr>
          <w:cantSplit/>
          <w:trHeight w:val="288"/>
          <w:tblHeader/>
        </w:trPr>
        <w:tc>
          <w:tcPr>
            <w:tcW w:w="1716" w:type="dxa"/>
            <w:tcBorders>
              <w:top w:val="single" w:sz="4" w:space="0" w:color="979991"/>
              <w:left w:val="single" w:sz="4" w:space="0" w:color="979991"/>
              <w:bottom w:val="single" w:sz="4" w:space="0" w:color="979991"/>
              <w:right w:val="nil"/>
            </w:tcBorders>
            <w:shd w:val="clear" w:color="000000" w:fill="FFFFFF"/>
            <w:hideMark/>
          </w:tcPr>
          <w:p w:rsidR="00E400EC" w:rsidRPr="00B21925" w:rsidRDefault="00E400EC" w:rsidP="000A57DB">
            <w:pPr>
              <w:spacing w:after="0" w:line="240" w:lineRule="auto"/>
              <w:rPr>
                <w:rFonts w:eastAsia="Times New Roman"/>
                <w:b/>
                <w:color w:val="000000"/>
                <w:szCs w:val="16"/>
                <w:lang w:eastAsia="en-GB"/>
              </w:rPr>
            </w:pPr>
            <w:r w:rsidRPr="00B21925">
              <w:rPr>
                <w:rFonts w:eastAsia="Times New Roman"/>
                <w:b/>
                <w:color w:val="000000"/>
                <w:szCs w:val="16"/>
                <w:lang w:eastAsia="en-GB"/>
              </w:rPr>
              <w:t>Male</w:t>
            </w:r>
          </w:p>
        </w:tc>
        <w:tc>
          <w:tcPr>
            <w:tcW w:w="1284" w:type="dxa"/>
            <w:tcBorders>
              <w:top w:val="single" w:sz="4" w:space="0" w:color="979991"/>
              <w:left w:val="single" w:sz="4" w:space="0" w:color="979991"/>
              <w:bottom w:val="single" w:sz="4" w:space="0" w:color="979991"/>
              <w:right w:val="nil"/>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£8,818.67</w:t>
            </w:r>
          </w:p>
        </w:tc>
        <w:tc>
          <w:tcPr>
            <w:tcW w:w="1410" w:type="dxa"/>
            <w:tcBorders>
              <w:top w:val="single" w:sz="4" w:space="0" w:color="979991"/>
              <w:left w:val="single" w:sz="4" w:space="0" w:color="979991"/>
              <w:bottom w:val="single" w:sz="4" w:space="0" w:color="979991"/>
              <w:right w:val="single" w:sz="4" w:space="0" w:color="979991"/>
            </w:tcBorders>
            <w:shd w:val="clear" w:color="000000" w:fill="FFFFFF"/>
            <w:hideMark/>
          </w:tcPr>
          <w:p w:rsidR="00E400EC" w:rsidRPr="00B21925" w:rsidRDefault="00E400EC" w:rsidP="00E400EC">
            <w:pPr>
              <w:spacing w:after="0" w:line="240" w:lineRule="auto"/>
              <w:jc w:val="center"/>
              <w:rPr>
                <w:rFonts w:eastAsia="Times New Roman"/>
                <w:color w:val="000000"/>
                <w:szCs w:val="16"/>
                <w:lang w:eastAsia="en-GB"/>
              </w:rPr>
            </w:pPr>
            <w:r w:rsidRPr="00B21925">
              <w:rPr>
                <w:rFonts w:eastAsia="Times New Roman"/>
                <w:color w:val="000000"/>
                <w:szCs w:val="16"/>
                <w:lang w:eastAsia="en-GB"/>
              </w:rPr>
              <w:t>7,690.80</w:t>
            </w:r>
          </w:p>
        </w:tc>
      </w:tr>
      <w:tr w:rsidR="00E400EC" w:rsidRPr="00B21925" w:rsidTr="00E400EC">
        <w:trPr>
          <w:cantSplit/>
          <w:trHeight w:val="288"/>
          <w:tblHeader/>
        </w:trPr>
        <w:tc>
          <w:tcPr>
            <w:tcW w:w="1716" w:type="dxa"/>
            <w:tcBorders>
              <w:top w:val="nil"/>
              <w:left w:val="single" w:sz="4" w:space="0" w:color="979991"/>
              <w:bottom w:val="single" w:sz="4" w:space="0" w:color="979991"/>
              <w:right w:val="nil"/>
            </w:tcBorders>
            <w:shd w:val="clear" w:color="000000" w:fill="FFFFFF"/>
            <w:hideMark/>
          </w:tcPr>
          <w:p w:rsidR="00E400EC" w:rsidRPr="00B21925" w:rsidRDefault="00E400EC" w:rsidP="000A57DB">
            <w:pPr>
              <w:spacing w:after="0" w:line="240" w:lineRule="auto"/>
              <w:rPr>
                <w:rFonts w:eastAsia="Times New Roman"/>
                <w:b/>
                <w:color w:val="000000"/>
                <w:szCs w:val="16"/>
                <w:lang w:eastAsia="en-GB"/>
              </w:rPr>
            </w:pPr>
            <w:r w:rsidRPr="00B21925">
              <w:rPr>
                <w:rFonts w:eastAsia="Times New Roman"/>
                <w:b/>
                <w:color w:val="000000"/>
                <w:szCs w:val="16"/>
                <w:lang w:eastAsia="en-GB"/>
              </w:rPr>
              <w:t>Female</w:t>
            </w:r>
          </w:p>
        </w:tc>
        <w:tc>
          <w:tcPr>
            <w:tcW w:w="1284" w:type="dxa"/>
            <w:tcBorders>
              <w:top w:val="nil"/>
              <w:left w:val="single" w:sz="4" w:space="0" w:color="979991"/>
              <w:bottom w:val="single" w:sz="4" w:space="0" w:color="979991"/>
              <w:right w:val="nil"/>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£3,019.68</w:t>
            </w:r>
          </w:p>
        </w:tc>
        <w:tc>
          <w:tcPr>
            <w:tcW w:w="1410" w:type="dxa"/>
            <w:tcBorders>
              <w:top w:val="nil"/>
              <w:left w:val="single" w:sz="4" w:space="0" w:color="979991"/>
              <w:bottom w:val="single" w:sz="4" w:space="0" w:color="979991"/>
              <w:right w:val="single" w:sz="4" w:space="0" w:color="979991"/>
            </w:tcBorders>
            <w:shd w:val="clear" w:color="000000" w:fill="FFFFFF"/>
            <w:hideMark/>
          </w:tcPr>
          <w:p w:rsidR="00E400EC" w:rsidRPr="00B21925" w:rsidRDefault="00E400EC" w:rsidP="00E400EC">
            <w:pPr>
              <w:spacing w:after="0" w:line="240" w:lineRule="auto"/>
              <w:jc w:val="center"/>
              <w:rPr>
                <w:rFonts w:eastAsia="Times New Roman"/>
                <w:color w:val="000000"/>
                <w:szCs w:val="16"/>
                <w:lang w:eastAsia="en-GB"/>
              </w:rPr>
            </w:pPr>
            <w:r w:rsidRPr="00B21925">
              <w:rPr>
                <w:rFonts w:eastAsia="Times New Roman"/>
                <w:color w:val="000000"/>
                <w:szCs w:val="16"/>
                <w:lang w:eastAsia="en-GB"/>
              </w:rPr>
              <w:t>3,015.97</w:t>
            </w:r>
          </w:p>
        </w:tc>
      </w:tr>
      <w:tr w:rsidR="00E400EC" w:rsidRPr="00B21925" w:rsidTr="00E400EC">
        <w:trPr>
          <w:cantSplit/>
          <w:trHeight w:val="288"/>
          <w:tblHeader/>
        </w:trPr>
        <w:tc>
          <w:tcPr>
            <w:tcW w:w="1716" w:type="dxa"/>
            <w:tcBorders>
              <w:top w:val="nil"/>
              <w:left w:val="single" w:sz="4" w:space="0" w:color="979991"/>
              <w:bottom w:val="single" w:sz="4" w:space="0" w:color="979991"/>
              <w:right w:val="nil"/>
            </w:tcBorders>
            <w:shd w:val="clear" w:color="000000" w:fill="FFFFFF"/>
            <w:hideMark/>
          </w:tcPr>
          <w:p w:rsidR="00E400EC" w:rsidRPr="00B21925" w:rsidRDefault="00E400EC" w:rsidP="000A57DB">
            <w:pPr>
              <w:spacing w:after="0" w:line="240" w:lineRule="auto"/>
              <w:rPr>
                <w:rFonts w:eastAsia="Times New Roman"/>
                <w:b/>
                <w:color w:val="000000"/>
                <w:szCs w:val="16"/>
                <w:lang w:eastAsia="en-GB"/>
              </w:rPr>
            </w:pPr>
            <w:r w:rsidRPr="00B21925">
              <w:rPr>
                <w:rFonts w:eastAsia="Times New Roman"/>
                <w:b/>
                <w:color w:val="000000"/>
                <w:szCs w:val="16"/>
                <w:lang w:eastAsia="en-GB"/>
              </w:rPr>
              <w:t>Difference</w:t>
            </w:r>
          </w:p>
        </w:tc>
        <w:tc>
          <w:tcPr>
            <w:tcW w:w="1284" w:type="dxa"/>
            <w:tcBorders>
              <w:top w:val="nil"/>
              <w:left w:val="single" w:sz="4" w:space="0" w:color="979991"/>
              <w:bottom w:val="single" w:sz="4" w:space="0" w:color="979991"/>
              <w:right w:val="nil"/>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£5,798.69</w:t>
            </w:r>
          </w:p>
        </w:tc>
        <w:tc>
          <w:tcPr>
            <w:tcW w:w="1410" w:type="dxa"/>
            <w:tcBorders>
              <w:top w:val="nil"/>
              <w:left w:val="single" w:sz="4" w:space="0" w:color="979991"/>
              <w:bottom w:val="single" w:sz="4" w:space="0" w:color="979991"/>
              <w:right w:val="single" w:sz="4" w:space="0" w:color="979991"/>
            </w:tcBorders>
            <w:shd w:val="clear" w:color="000000" w:fill="FFFFFF"/>
            <w:hideMark/>
          </w:tcPr>
          <w:p w:rsidR="00E400EC" w:rsidRPr="00B21925" w:rsidRDefault="00E400EC" w:rsidP="00E400EC">
            <w:pPr>
              <w:spacing w:after="0" w:line="240" w:lineRule="auto"/>
              <w:jc w:val="center"/>
              <w:rPr>
                <w:rFonts w:eastAsia="Times New Roman"/>
                <w:color w:val="000000"/>
                <w:szCs w:val="16"/>
                <w:lang w:eastAsia="en-GB"/>
              </w:rPr>
            </w:pPr>
            <w:r w:rsidRPr="00B21925">
              <w:rPr>
                <w:rFonts w:eastAsia="Times New Roman"/>
                <w:color w:val="000000"/>
                <w:szCs w:val="16"/>
                <w:lang w:eastAsia="en-GB"/>
              </w:rPr>
              <w:t>4,674.83</w:t>
            </w:r>
          </w:p>
        </w:tc>
      </w:tr>
      <w:tr w:rsidR="00E400EC" w:rsidRPr="00B21925" w:rsidTr="00E400EC">
        <w:trPr>
          <w:cantSplit/>
          <w:trHeight w:val="288"/>
          <w:tblHeader/>
        </w:trPr>
        <w:tc>
          <w:tcPr>
            <w:tcW w:w="1716" w:type="dxa"/>
            <w:tcBorders>
              <w:top w:val="nil"/>
              <w:left w:val="single" w:sz="4" w:space="0" w:color="979991"/>
              <w:bottom w:val="single" w:sz="4" w:space="0" w:color="979991"/>
              <w:right w:val="nil"/>
            </w:tcBorders>
            <w:shd w:val="clear" w:color="000000" w:fill="FFFFFF"/>
            <w:hideMark/>
          </w:tcPr>
          <w:p w:rsidR="00E400EC" w:rsidRPr="00B21925" w:rsidRDefault="00E400EC" w:rsidP="000A57DB">
            <w:pPr>
              <w:spacing w:after="0" w:line="240" w:lineRule="auto"/>
              <w:rPr>
                <w:rFonts w:eastAsia="Times New Roman"/>
                <w:b/>
                <w:color w:val="000000"/>
                <w:szCs w:val="16"/>
                <w:lang w:eastAsia="en-GB"/>
              </w:rPr>
            </w:pPr>
            <w:r w:rsidRPr="00C25D4C">
              <w:rPr>
                <w:rFonts w:eastAsia="Times New Roman"/>
                <w:b/>
                <w:color w:val="000000"/>
                <w:szCs w:val="16"/>
                <w:lang w:eastAsia="en-GB"/>
              </w:rPr>
              <w:t>Pay Gap</w:t>
            </w:r>
          </w:p>
        </w:tc>
        <w:tc>
          <w:tcPr>
            <w:tcW w:w="1284" w:type="dxa"/>
            <w:tcBorders>
              <w:top w:val="nil"/>
              <w:left w:val="single" w:sz="4" w:space="0" w:color="979991"/>
              <w:bottom w:val="single" w:sz="4" w:space="0" w:color="979991"/>
              <w:right w:val="nil"/>
            </w:tcBorders>
            <w:shd w:val="clear" w:color="000000" w:fill="FFFFFF"/>
          </w:tcPr>
          <w:p w:rsidR="00E400EC" w:rsidRPr="00B21925" w:rsidRDefault="00E400EC" w:rsidP="00E400EC">
            <w:pPr>
              <w:spacing w:after="0" w:line="240" w:lineRule="auto"/>
              <w:jc w:val="center"/>
              <w:rPr>
                <w:rFonts w:eastAsia="Times New Roman"/>
                <w:color w:val="000000"/>
                <w:szCs w:val="16"/>
                <w:lang w:eastAsia="en-GB"/>
              </w:rPr>
            </w:pPr>
            <w:r>
              <w:rPr>
                <w:rFonts w:eastAsia="Times New Roman"/>
                <w:color w:val="000000"/>
                <w:szCs w:val="16"/>
                <w:lang w:eastAsia="en-GB"/>
              </w:rPr>
              <w:t>65.75%</w:t>
            </w:r>
          </w:p>
        </w:tc>
        <w:tc>
          <w:tcPr>
            <w:tcW w:w="1410" w:type="dxa"/>
            <w:tcBorders>
              <w:top w:val="nil"/>
              <w:left w:val="single" w:sz="4" w:space="0" w:color="979991"/>
              <w:bottom w:val="single" w:sz="4" w:space="0" w:color="979991"/>
              <w:right w:val="single" w:sz="4" w:space="0" w:color="979991"/>
            </w:tcBorders>
            <w:shd w:val="clear" w:color="000000" w:fill="FFFFFF"/>
            <w:hideMark/>
          </w:tcPr>
          <w:p w:rsidR="00E400EC" w:rsidRPr="00B21925" w:rsidRDefault="00E400EC" w:rsidP="00E400EC">
            <w:pPr>
              <w:spacing w:after="0" w:line="240" w:lineRule="auto"/>
              <w:jc w:val="center"/>
              <w:rPr>
                <w:rFonts w:eastAsia="Times New Roman"/>
                <w:color w:val="000000"/>
                <w:szCs w:val="16"/>
                <w:lang w:eastAsia="en-GB"/>
              </w:rPr>
            </w:pPr>
            <w:r w:rsidRPr="00B21925">
              <w:rPr>
                <w:rFonts w:eastAsia="Times New Roman"/>
                <w:color w:val="000000"/>
                <w:szCs w:val="16"/>
                <w:lang w:eastAsia="en-GB"/>
              </w:rPr>
              <w:t>60.78</w:t>
            </w:r>
            <w:r>
              <w:rPr>
                <w:rFonts w:eastAsia="Times New Roman"/>
                <w:color w:val="000000"/>
                <w:szCs w:val="16"/>
                <w:lang w:eastAsia="en-GB"/>
              </w:rPr>
              <w:t>%</w:t>
            </w:r>
          </w:p>
        </w:tc>
      </w:tr>
    </w:tbl>
    <w:p w:rsidR="00E400EC" w:rsidRDefault="00E400EC" w:rsidP="00E925E1"/>
    <w:p w:rsidR="00E400EC" w:rsidRDefault="00E400EC" w:rsidP="00E925E1">
      <w:r>
        <w:t xml:space="preserve">Note: The 2019 Local Clinical Excellence Awards (LCEA) round was paused and payments incorporated into the 2020 LCEA round. Payments have been applied equally amongst all eligible consultants and paid in February 2021. Part time staff will receive the same amount as full-time colleagues. It is a fair assumption that </w:t>
      </w:r>
      <w:proofErr w:type="gramStart"/>
      <w:r>
        <w:t>pausing</w:t>
      </w:r>
      <w:proofErr w:type="gramEnd"/>
      <w:r>
        <w:t xml:space="preserve"> the LCEA round will have a bearing on the overall median bonus data. The </w:t>
      </w:r>
      <w:r>
        <w:lastRenderedPageBreak/>
        <w:t>2020 snapshot will exclude the 2021 National CEA which closes for applications in mid-March 2021.</w:t>
      </w:r>
    </w:p>
    <w:p w:rsidR="00C25D4C" w:rsidRDefault="00C25D4C" w:rsidP="00C25D4C">
      <w:pPr>
        <w:pStyle w:val="Heading2"/>
      </w:pPr>
      <w:bookmarkStart w:id="6" w:name="_Toc94085678"/>
      <w:r>
        <w:t>Proportion of male and female receiving a bonus payment</w:t>
      </w:r>
      <w:bookmarkEnd w:id="6"/>
      <w:r>
        <w:t xml:space="preserve"> </w:t>
      </w:r>
    </w:p>
    <w:p w:rsidR="008A48F8" w:rsidRDefault="00C25D4C" w:rsidP="00E925E1">
      <w:r>
        <w:t>A total of 123 (121 in 2020) employees in the Trust received a bonus payment; this is shown as a percentage of the overall workforce. The reported data is comparable to that in 2020 (data in brackets)</w:t>
      </w:r>
    </w:p>
    <w:tbl>
      <w:tblPr>
        <w:tblW w:w="8804" w:type="dxa"/>
        <w:tblInd w:w="93" w:type="dxa"/>
        <w:tblLook w:val="04A0" w:firstRow="1" w:lastRow="0" w:firstColumn="1" w:lastColumn="0" w:noHBand="0" w:noVBand="1"/>
        <w:tblCaption w:val="Proportion of male and female receiving a bonus payment "/>
      </w:tblPr>
      <w:tblGrid>
        <w:gridCol w:w="1567"/>
        <w:gridCol w:w="1850"/>
        <w:gridCol w:w="1701"/>
        <w:gridCol w:w="1843"/>
        <w:gridCol w:w="1843"/>
      </w:tblGrid>
      <w:tr w:rsidR="008A48F8" w:rsidRPr="00B21925" w:rsidTr="008A48F8">
        <w:trPr>
          <w:cantSplit/>
          <w:trHeight w:val="288"/>
          <w:tblHeader/>
        </w:trPr>
        <w:tc>
          <w:tcPr>
            <w:tcW w:w="1567" w:type="dxa"/>
            <w:tcBorders>
              <w:top w:val="single" w:sz="4" w:space="0" w:color="979991"/>
              <w:left w:val="single" w:sz="4" w:space="0" w:color="979991"/>
              <w:bottom w:val="nil"/>
              <w:right w:val="nil"/>
            </w:tcBorders>
            <w:shd w:val="clear" w:color="000000" w:fill="0066CC"/>
            <w:hideMark/>
          </w:tcPr>
          <w:p w:rsidR="008A48F8" w:rsidRPr="00B21925" w:rsidRDefault="008A48F8" w:rsidP="000A57DB">
            <w:pPr>
              <w:spacing w:after="0" w:line="240" w:lineRule="auto"/>
              <w:rPr>
                <w:rFonts w:eastAsia="Times New Roman"/>
                <w:b/>
                <w:bCs/>
                <w:color w:val="FFFFFF"/>
                <w:szCs w:val="16"/>
                <w:lang w:eastAsia="en-GB"/>
              </w:rPr>
            </w:pPr>
            <w:r>
              <w:t>.</w:t>
            </w:r>
            <w:r w:rsidRPr="00B21925">
              <w:rPr>
                <w:rFonts w:eastAsia="Times New Roman"/>
                <w:b/>
                <w:bCs/>
                <w:color w:val="FFFFFF"/>
                <w:szCs w:val="16"/>
                <w:lang w:eastAsia="en-GB"/>
              </w:rPr>
              <w:t>Gender</w:t>
            </w:r>
          </w:p>
        </w:tc>
        <w:tc>
          <w:tcPr>
            <w:tcW w:w="1850" w:type="dxa"/>
            <w:tcBorders>
              <w:top w:val="single" w:sz="4" w:space="0" w:color="979991"/>
              <w:left w:val="single" w:sz="4" w:space="0" w:color="979991"/>
              <w:bottom w:val="nil"/>
              <w:right w:val="nil"/>
            </w:tcBorders>
            <w:shd w:val="clear" w:color="000000" w:fill="0066CC"/>
          </w:tcPr>
          <w:p w:rsidR="008A48F8" w:rsidRPr="00B21925" w:rsidRDefault="008A48F8" w:rsidP="000A57DB">
            <w:pPr>
              <w:spacing w:after="0" w:line="240" w:lineRule="auto"/>
              <w:rPr>
                <w:rFonts w:eastAsia="Times New Roman"/>
                <w:b/>
                <w:bCs/>
                <w:color w:val="FFFFFF"/>
                <w:szCs w:val="16"/>
                <w:lang w:eastAsia="en-GB"/>
              </w:rPr>
            </w:pPr>
            <w:r>
              <w:rPr>
                <w:rFonts w:eastAsia="Times New Roman"/>
                <w:b/>
                <w:bCs/>
                <w:color w:val="FFFFFF"/>
                <w:szCs w:val="16"/>
                <w:lang w:eastAsia="en-GB"/>
              </w:rPr>
              <w:t xml:space="preserve">Employees Paid Bonus (% of this group) </w:t>
            </w:r>
          </w:p>
        </w:tc>
        <w:tc>
          <w:tcPr>
            <w:tcW w:w="1701" w:type="dxa"/>
            <w:tcBorders>
              <w:top w:val="single" w:sz="4" w:space="0" w:color="979991"/>
              <w:left w:val="single" w:sz="4" w:space="0" w:color="979991"/>
              <w:bottom w:val="nil"/>
              <w:right w:val="single" w:sz="4" w:space="0" w:color="979991"/>
            </w:tcBorders>
            <w:shd w:val="clear" w:color="000000" w:fill="0066CC"/>
          </w:tcPr>
          <w:p w:rsidR="008A48F8" w:rsidRPr="00B21925" w:rsidRDefault="008A48F8" w:rsidP="000A57DB">
            <w:pPr>
              <w:spacing w:after="0" w:line="240" w:lineRule="auto"/>
              <w:rPr>
                <w:rFonts w:eastAsia="Times New Roman"/>
                <w:b/>
                <w:bCs/>
                <w:color w:val="FFFFFF"/>
                <w:szCs w:val="16"/>
                <w:lang w:eastAsia="en-GB"/>
              </w:rPr>
            </w:pPr>
            <w:r>
              <w:rPr>
                <w:rFonts w:eastAsia="Times New Roman"/>
                <w:b/>
                <w:bCs/>
                <w:color w:val="FFFFFF"/>
                <w:szCs w:val="16"/>
                <w:lang w:eastAsia="en-GB"/>
              </w:rPr>
              <w:t>VSM Staff Paid Bonus</w:t>
            </w:r>
          </w:p>
        </w:tc>
        <w:tc>
          <w:tcPr>
            <w:tcW w:w="1843" w:type="dxa"/>
            <w:tcBorders>
              <w:top w:val="single" w:sz="4" w:space="0" w:color="979991"/>
              <w:left w:val="single" w:sz="4" w:space="0" w:color="979991"/>
              <w:bottom w:val="nil"/>
              <w:right w:val="single" w:sz="4" w:space="0" w:color="979991"/>
            </w:tcBorders>
            <w:shd w:val="clear" w:color="000000" w:fill="0066CC"/>
          </w:tcPr>
          <w:p w:rsidR="008A48F8" w:rsidRDefault="008A48F8" w:rsidP="000A57DB">
            <w:pPr>
              <w:spacing w:after="0" w:line="240" w:lineRule="auto"/>
              <w:rPr>
                <w:rFonts w:eastAsia="Times New Roman"/>
                <w:b/>
                <w:bCs/>
                <w:color w:val="FFFFFF"/>
                <w:szCs w:val="16"/>
                <w:lang w:eastAsia="en-GB"/>
              </w:rPr>
            </w:pPr>
            <w:r>
              <w:rPr>
                <w:rFonts w:eastAsia="Times New Roman"/>
                <w:b/>
                <w:bCs/>
                <w:color w:val="FFFFFF"/>
                <w:szCs w:val="16"/>
                <w:lang w:eastAsia="en-GB"/>
              </w:rPr>
              <w:t>Medical &amp; Dental and Staff Paid Bonus</w:t>
            </w:r>
          </w:p>
        </w:tc>
        <w:tc>
          <w:tcPr>
            <w:tcW w:w="1843" w:type="dxa"/>
            <w:tcBorders>
              <w:top w:val="single" w:sz="4" w:space="0" w:color="979991"/>
              <w:left w:val="single" w:sz="4" w:space="0" w:color="979991"/>
              <w:bottom w:val="nil"/>
              <w:right w:val="single" w:sz="4" w:space="0" w:color="979991"/>
            </w:tcBorders>
            <w:shd w:val="clear" w:color="000000" w:fill="0066CC"/>
          </w:tcPr>
          <w:p w:rsidR="008A48F8" w:rsidRDefault="008A48F8" w:rsidP="000A57DB">
            <w:pPr>
              <w:spacing w:after="0" w:line="240" w:lineRule="auto"/>
              <w:rPr>
                <w:rFonts w:eastAsia="Times New Roman"/>
                <w:b/>
                <w:bCs/>
                <w:color w:val="FFFFFF"/>
                <w:szCs w:val="16"/>
                <w:lang w:eastAsia="en-GB"/>
              </w:rPr>
            </w:pPr>
            <w:r>
              <w:rPr>
                <w:rFonts w:eastAsia="Times New Roman"/>
                <w:b/>
                <w:bCs/>
                <w:color w:val="FFFFFF"/>
                <w:szCs w:val="16"/>
                <w:lang w:eastAsia="en-GB"/>
              </w:rPr>
              <w:t>% of WSHT Workforce</w:t>
            </w:r>
          </w:p>
          <w:p w:rsidR="008A48F8" w:rsidRDefault="008A48F8" w:rsidP="000A57DB">
            <w:pPr>
              <w:spacing w:after="0" w:line="240" w:lineRule="auto"/>
              <w:rPr>
                <w:rFonts w:eastAsia="Times New Roman"/>
                <w:b/>
                <w:bCs/>
                <w:color w:val="FFFFFF"/>
                <w:szCs w:val="16"/>
                <w:lang w:eastAsia="en-GB"/>
              </w:rPr>
            </w:pPr>
          </w:p>
        </w:tc>
      </w:tr>
      <w:tr w:rsidR="008A48F8" w:rsidRPr="00B21925" w:rsidTr="008A48F8">
        <w:trPr>
          <w:cantSplit/>
          <w:trHeight w:val="288"/>
          <w:tblHeader/>
        </w:trPr>
        <w:tc>
          <w:tcPr>
            <w:tcW w:w="1567" w:type="dxa"/>
            <w:tcBorders>
              <w:top w:val="single" w:sz="4" w:space="0" w:color="979991"/>
              <w:left w:val="single" w:sz="4" w:space="0" w:color="979991"/>
              <w:bottom w:val="single" w:sz="4" w:space="0" w:color="979991"/>
              <w:right w:val="nil"/>
            </w:tcBorders>
            <w:shd w:val="clear" w:color="000000" w:fill="FFFFFF"/>
            <w:hideMark/>
          </w:tcPr>
          <w:p w:rsidR="008A48F8" w:rsidRPr="00B21925" w:rsidRDefault="008A48F8" w:rsidP="000A57DB">
            <w:pPr>
              <w:spacing w:after="0" w:line="240" w:lineRule="auto"/>
              <w:rPr>
                <w:rFonts w:eastAsia="Times New Roman"/>
                <w:b/>
                <w:color w:val="000000"/>
                <w:szCs w:val="16"/>
                <w:lang w:eastAsia="en-GB"/>
              </w:rPr>
            </w:pPr>
            <w:r w:rsidRPr="00B21925">
              <w:rPr>
                <w:rFonts w:eastAsia="Times New Roman"/>
                <w:b/>
                <w:color w:val="000000"/>
                <w:szCs w:val="16"/>
                <w:lang w:eastAsia="en-GB"/>
              </w:rPr>
              <w:t>Male</w:t>
            </w:r>
          </w:p>
        </w:tc>
        <w:tc>
          <w:tcPr>
            <w:tcW w:w="1850" w:type="dxa"/>
            <w:tcBorders>
              <w:top w:val="single" w:sz="4" w:space="0" w:color="979991"/>
              <w:left w:val="single" w:sz="4" w:space="0" w:color="979991"/>
              <w:bottom w:val="single" w:sz="4" w:space="0" w:color="979991"/>
              <w:right w:val="nil"/>
            </w:tcBorders>
            <w:shd w:val="clear" w:color="000000" w:fill="FFFFFF"/>
          </w:tcPr>
          <w:p w:rsidR="008A48F8"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81, 65.9%</w:t>
            </w:r>
          </w:p>
          <w:p w:rsidR="005B2012" w:rsidRPr="00B21925"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(82, 68.3%)</w:t>
            </w:r>
          </w:p>
        </w:tc>
        <w:tc>
          <w:tcPr>
            <w:tcW w:w="1701" w:type="dxa"/>
            <w:tcBorders>
              <w:top w:val="single" w:sz="4" w:space="0" w:color="979991"/>
              <w:left w:val="single" w:sz="4" w:space="0" w:color="979991"/>
              <w:bottom w:val="single" w:sz="4" w:space="0" w:color="979991"/>
              <w:right w:val="single" w:sz="4" w:space="0" w:color="979991"/>
            </w:tcBorders>
            <w:shd w:val="clear" w:color="000000" w:fill="FFFFFF"/>
          </w:tcPr>
          <w:p w:rsidR="008A48F8"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5</w:t>
            </w:r>
          </w:p>
          <w:p w:rsidR="005B2012" w:rsidRPr="00B21925"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(1)</w:t>
            </w:r>
          </w:p>
        </w:tc>
        <w:tc>
          <w:tcPr>
            <w:tcW w:w="1843" w:type="dxa"/>
            <w:tcBorders>
              <w:top w:val="single" w:sz="4" w:space="0" w:color="979991"/>
              <w:left w:val="single" w:sz="4" w:space="0" w:color="979991"/>
              <w:bottom w:val="single" w:sz="4" w:space="0" w:color="979991"/>
              <w:right w:val="single" w:sz="4" w:space="0" w:color="979991"/>
            </w:tcBorders>
            <w:shd w:val="clear" w:color="000000" w:fill="FFFFFF"/>
          </w:tcPr>
          <w:p w:rsidR="008A48F8"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76</w:t>
            </w:r>
          </w:p>
          <w:p w:rsidR="005B2012" w:rsidRPr="00B21925"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(81)</w:t>
            </w:r>
          </w:p>
        </w:tc>
        <w:tc>
          <w:tcPr>
            <w:tcW w:w="1843" w:type="dxa"/>
            <w:tcBorders>
              <w:top w:val="single" w:sz="4" w:space="0" w:color="979991"/>
              <w:left w:val="single" w:sz="4" w:space="0" w:color="979991"/>
              <w:bottom w:val="single" w:sz="4" w:space="0" w:color="979991"/>
              <w:right w:val="single" w:sz="4" w:space="0" w:color="979991"/>
            </w:tcBorders>
            <w:shd w:val="clear" w:color="000000" w:fill="FFFFFF"/>
          </w:tcPr>
          <w:p w:rsidR="008A48F8"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3.59%</w:t>
            </w:r>
          </w:p>
          <w:p w:rsidR="005B2012" w:rsidRPr="00B21925"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(4.62%)</w:t>
            </w:r>
          </w:p>
        </w:tc>
      </w:tr>
      <w:tr w:rsidR="008A48F8" w:rsidRPr="00B21925" w:rsidTr="008A48F8">
        <w:trPr>
          <w:cantSplit/>
          <w:trHeight w:val="288"/>
          <w:tblHeader/>
        </w:trPr>
        <w:tc>
          <w:tcPr>
            <w:tcW w:w="1567" w:type="dxa"/>
            <w:tcBorders>
              <w:top w:val="nil"/>
              <w:left w:val="single" w:sz="4" w:space="0" w:color="979991"/>
              <w:bottom w:val="single" w:sz="4" w:space="0" w:color="979991"/>
              <w:right w:val="nil"/>
            </w:tcBorders>
            <w:shd w:val="clear" w:color="000000" w:fill="FFFFFF"/>
            <w:hideMark/>
          </w:tcPr>
          <w:p w:rsidR="008A48F8" w:rsidRPr="00B21925" w:rsidRDefault="008A48F8" w:rsidP="000A57DB">
            <w:pPr>
              <w:spacing w:after="0" w:line="240" w:lineRule="auto"/>
              <w:rPr>
                <w:rFonts w:eastAsia="Times New Roman"/>
                <w:b/>
                <w:color w:val="000000"/>
                <w:szCs w:val="16"/>
                <w:lang w:eastAsia="en-GB"/>
              </w:rPr>
            </w:pPr>
            <w:r w:rsidRPr="00B21925">
              <w:rPr>
                <w:rFonts w:eastAsia="Times New Roman"/>
                <w:b/>
                <w:color w:val="000000"/>
                <w:szCs w:val="16"/>
                <w:lang w:eastAsia="en-GB"/>
              </w:rPr>
              <w:t>Female</w:t>
            </w:r>
          </w:p>
        </w:tc>
        <w:tc>
          <w:tcPr>
            <w:tcW w:w="1850" w:type="dxa"/>
            <w:tcBorders>
              <w:top w:val="nil"/>
              <w:left w:val="single" w:sz="4" w:space="0" w:color="979991"/>
              <w:bottom w:val="single" w:sz="4" w:space="0" w:color="979991"/>
              <w:right w:val="nil"/>
            </w:tcBorders>
            <w:shd w:val="clear" w:color="000000" w:fill="FFFFFF"/>
          </w:tcPr>
          <w:p w:rsidR="008A48F8"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42, 34.1%</w:t>
            </w:r>
          </w:p>
          <w:p w:rsidR="005B2012" w:rsidRPr="00B21925"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(39, 31.7%)</w:t>
            </w:r>
          </w:p>
        </w:tc>
        <w:tc>
          <w:tcPr>
            <w:tcW w:w="1701" w:type="dxa"/>
            <w:tcBorders>
              <w:top w:val="nil"/>
              <w:left w:val="single" w:sz="4" w:space="0" w:color="979991"/>
              <w:bottom w:val="single" w:sz="4" w:space="0" w:color="979991"/>
              <w:right w:val="single" w:sz="4" w:space="0" w:color="979991"/>
            </w:tcBorders>
            <w:shd w:val="clear" w:color="000000" w:fill="FFFFFF"/>
          </w:tcPr>
          <w:p w:rsidR="008A48F8"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7</w:t>
            </w:r>
          </w:p>
          <w:p w:rsidR="005B2012" w:rsidRPr="00B21925"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(2)</w:t>
            </w:r>
          </w:p>
        </w:tc>
        <w:tc>
          <w:tcPr>
            <w:tcW w:w="1843" w:type="dxa"/>
            <w:tcBorders>
              <w:top w:val="nil"/>
              <w:left w:val="single" w:sz="4" w:space="0" w:color="979991"/>
              <w:bottom w:val="single" w:sz="4" w:space="0" w:color="979991"/>
              <w:right w:val="single" w:sz="4" w:space="0" w:color="979991"/>
            </w:tcBorders>
            <w:shd w:val="clear" w:color="000000" w:fill="FFFFFF"/>
          </w:tcPr>
          <w:p w:rsidR="008A48F8"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35</w:t>
            </w:r>
          </w:p>
          <w:p w:rsidR="005B2012" w:rsidRPr="00B21925"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(37)</w:t>
            </w:r>
          </w:p>
        </w:tc>
        <w:tc>
          <w:tcPr>
            <w:tcW w:w="1843" w:type="dxa"/>
            <w:tcBorders>
              <w:top w:val="nil"/>
              <w:left w:val="single" w:sz="4" w:space="0" w:color="979991"/>
              <w:bottom w:val="single" w:sz="4" w:space="0" w:color="979991"/>
              <w:right w:val="single" w:sz="4" w:space="0" w:color="979991"/>
            </w:tcBorders>
            <w:shd w:val="clear" w:color="000000" w:fill="FFFFFF"/>
          </w:tcPr>
          <w:p w:rsidR="008A48F8"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0.60%</w:t>
            </w:r>
          </w:p>
          <w:p w:rsidR="005B2012" w:rsidRPr="00B21925" w:rsidRDefault="005B2012" w:rsidP="000A57DB">
            <w:pPr>
              <w:spacing w:after="0" w:line="240" w:lineRule="auto"/>
              <w:jc w:val="center"/>
              <w:rPr>
                <w:rFonts w:eastAsia="Times New Roman"/>
                <w:color w:val="000000"/>
                <w:szCs w:val="16"/>
                <w:lang w:eastAsia="en-GB"/>
              </w:rPr>
            </w:pPr>
            <w:r>
              <w:rPr>
                <w:rFonts w:eastAsia="Times New Roman"/>
                <w:color w:val="000000"/>
                <w:szCs w:val="16"/>
                <w:lang w:eastAsia="en-GB"/>
              </w:rPr>
              <w:t>(0.69%)</w:t>
            </w:r>
          </w:p>
        </w:tc>
      </w:tr>
    </w:tbl>
    <w:p w:rsidR="00C25D4C" w:rsidRDefault="00C25D4C" w:rsidP="00E925E1"/>
    <w:p w:rsidR="005B2012" w:rsidRDefault="005B2012" w:rsidP="005B2012">
      <w:pPr>
        <w:pStyle w:val="Heading2"/>
      </w:pPr>
      <w:bookmarkStart w:id="7" w:name="_Toc94085679"/>
      <w:r>
        <w:t>Proportion of male and female staff in each quartile band</w:t>
      </w:r>
      <w:bookmarkEnd w:id="7"/>
      <w:r>
        <w:t xml:space="preserve"> </w:t>
      </w:r>
    </w:p>
    <w:p w:rsidR="005B2012" w:rsidRDefault="005B2012" w:rsidP="00E925E1">
      <w:r>
        <w:t>The Trust is required to rank every employee by rate of pay on the 31 March 2021 (not by pay banding). The data has been presented in 4 equal quartiles in the table below. The reported data is comparable to that in 20</w:t>
      </w:r>
      <w:r w:rsidR="005A5ADE">
        <w:t>20</w:t>
      </w:r>
      <w:r>
        <w:t xml:space="preserve"> and is also in line with the national NHS scene</w:t>
      </w:r>
      <w:r w:rsidR="005A5ADE">
        <w:t xml:space="preserve"> (data in brackets).</w:t>
      </w:r>
    </w:p>
    <w:tbl>
      <w:tblPr>
        <w:tblW w:w="7104" w:type="dxa"/>
        <w:tblInd w:w="93" w:type="dxa"/>
        <w:tblLook w:val="04A0" w:firstRow="1" w:lastRow="0" w:firstColumn="1" w:lastColumn="0" w:noHBand="0" w:noVBand="1"/>
      </w:tblPr>
      <w:tblGrid>
        <w:gridCol w:w="2142"/>
        <w:gridCol w:w="1276"/>
        <w:gridCol w:w="992"/>
        <w:gridCol w:w="1418"/>
        <w:gridCol w:w="1276"/>
      </w:tblGrid>
      <w:tr w:rsidR="005A5ADE" w:rsidRPr="005A5ADE" w:rsidTr="005A5ADE">
        <w:trPr>
          <w:trHeight w:val="288"/>
        </w:trPr>
        <w:tc>
          <w:tcPr>
            <w:tcW w:w="2142" w:type="dxa"/>
            <w:tcBorders>
              <w:top w:val="single" w:sz="4" w:space="0" w:color="979991"/>
              <w:left w:val="single" w:sz="4" w:space="0" w:color="979991"/>
              <w:bottom w:val="nil"/>
              <w:right w:val="nil"/>
            </w:tcBorders>
            <w:shd w:val="clear" w:color="000000" w:fill="0066CC"/>
            <w:hideMark/>
          </w:tcPr>
          <w:p w:rsidR="005A5ADE" w:rsidRPr="005A5ADE" w:rsidRDefault="005A5ADE" w:rsidP="005A5ADE">
            <w:pPr>
              <w:spacing w:after="0" w:line="240" w:lineRule="auto"/>
              <w:rPr>
                <w:rFonts w:eastAsia="Times New Roman"/>
                <w:b/>
                <w:bCs/>
                <w:color w:val="FFFFFF"/>
                <w:szCs w:val="16"/>
                <w:lang w:eastAsia="en-GB"/>
              </w:rPr>
            </w:pPr>
            <w:r w:rsidRPr="005A5ADE">
              <w:rPr>
                <w:rFonts w:eastAsia="Times New Roman"/>
                <w:b/>
                <w:bCs/>
                <w:color w:val="FFFFFF"/>
                <w:szCs w:val="16"/>
                <w:lang w:eastAsia="en-GB"/>
              </w:rPr>
              <w:t>Quartile</w:t>
            </w:r>
          </w:p>
        </w:tc>
        <w:tc>
          <w:tcPr>
            <w:tcW w:w="1276" w:type="dxa"/>
            <w:tcBorders>
              <w:top w:val="single" w:sz="4" w:space="0" w:color="979991"/>
              <w:left w:val="single" w:sz="4" w:space="0" w:color="979991"/>
              <w:bottom w:val="single" w:sz="4" w:space="0" w:color="979991"/>
              <w:right w:val="nil"/>
            </w:tcBorders>
            <w:shd w:val="clear" w:color="000000" w:fill="0066CC"/>
            <w:hideMark/>
          </w:tcPr>
          <w:p w:rsidR="005A5ADE" w:rsidRPr="005A5ADE" w:rsidRDefault="005A5ADE" w:rsidP="005A5ADE">
            <w:pPr>
              <w:spacing w:after="0" w:line="240" w:lineRule="auto"/>
              <w:rPr>
                <w:rFonts w:eastAsia="Times New Roman"/>
                <w:b/>
                <w:bCs/>
                <w:color w:val="FFFFFF"/>
                <w:szCs w:val="16"/>
                <w:lang w:eastAsia="en-GB"/>
              </w:rPr>
            </w:pPr>
            <w:r w:rsidRPr="005A5ADE">
              <w:rPr>
                <w:rFonts w:eastAsia="Times New Roman"/>
                <w:b/>
                <w:bCs/>
                <w:color w:val="FFFFFF"/>
                <w:szCs w:val="16"/>
                <w:lang w:eastAsia="en-GB"/>
              </w:rPr>
              <w:t>Female</w:t>
            </w:r>
          </w:p>
        </w:tc>
        <w:tc>
          <w:tcPr>
            <w:tcW w:w="992" w:type="dxa"/>
            <w:tcBorders>
              <w:top w:val="single" w:sz="4" w:space="0" w:color="979991"/>
              <w:left w:val="single" w:sz="4" w:space="0" w:color="979991"/>
              <w:bottom w:val="single" w:sz="4" w:space="0" w:color="979991"/>
              <w:right w:val="nil"/>
            </w:tcBorders>
            <w:shd w:val="clear" w:color="000000" w:fill="0066CC"/>
            <w:hideMark/>
          </w:tcPr>
          <w:p w:rsidR="005A5ADE" w:rsidRPr="005A5ADE" w:rsidRDefault="005A5ADE" w:rsidP="005A5ADE">
            <w:pPr>
              <w:spacing w:after="0" w:line="240" w:lineRule="auto"/>
              <w:rPr>
                <w:rFonts w:eastAsia="Times New Roman"/>
                <w:b/>
                <w:bCs/>
                <w:color w:val="FFFFFF"/>
                <w:szCs w:val="16"/>
                <w:lang w:eastAsia="en-GB"/>
              </w:rPr>
            </w:pPr>
            <w:r w:rsidRPr="005A5ADE">
              <w:rPr>
                <w:rFonts w:eastAsia="Times New Roman"/>
                <w:b/>
                <w:bCs/>
                <w:color w:val="FFFFFF"/>
                <w:szCs w:val="16"/>
                <w:lang w:eastAsia="en-GB"/>
              </w:rPr>
              <w:t>Male</w:t>
            </w:r>
          </w:p>
        </w:tc>
        <w:tc>
          <w:tcPr>
            <w:tcW w:w="1418" w:type="dxa"/>
            <w:tcBorders>
              <w:top w:val="single" w:sz="4" w:space="0" w:color="979991"/>
              <w:left w:val="single" w:sz="4" w:space="0" w:color="979991"/>
              <w:bottom w:val="single" w:sz="4" w:space="0" w:color="979991"/>
              <w:right w:val="nil"/>
            </w:tcBorders>
            <w:shd w:val="clear" w:color="000000" w:fill="0066CC"/>
            <w:hideMark/>
          </w:tcPr>
          <w:p w:rsidR="005A5ADE" w:rsidRPr="005A5ADE" w:rsidRDefault="005A5ADE" w:rsidP="005A5ADE">
            <w:pPr>
              <w:spacing w:after="0" w:line="240" w:lineRule="auto"/>
              <w:rPr>
                <w:rFonts w:eastAsia="Times New Roman"/>
                <w:b/>
                <w:bCs/>
                <w:color w:val="FFFFFF"/>
                <w:szCs w:val="16"/>
                <w:lang w:eastAsia="en-GB"/>
              </w:rPr>
            </w:pPr>
            <w:r w:rsidRPr="005A5ADE">
              <w:rPr>
                <w:rFonts w:eastAsia="Times New Roman"/>
                <w:b/>
                <w:bCs/>
                <w:color w:val="FFFFFF"/>
                <w:szCs w:val="16"/>
                <w:lang w:eastAsia="en-GB"/>
              </w:rPr>
              <w:t>Female %</w:t>
            </w:r>
          </w:p>
        </w:tc>
        <w:tc>
          <w:tcPr>
            <w:tcW w:w="1276" w:type="dxa"/>
            <w:tcBorders>
              <w:top w:val="single" w:sz="4" w:space="0" w:color="979991"/>
              <w:left w:val="single" w:sz="4" w:space="0" w:color="979991"/>
              <w:bottom w:val="single" w:sz="4" w:space="0" w:color="979991"/>
              <w:right w:val="single" w:sz="4" w:space="0" w:color="979991"/>
            </w:tcBorders>
            <w:shd w:val="clear" w:color="000000" w:fill="0066CC"/>
            <w:hideMark/>
          </w:tcPr>
          <w:p w:rsidR="005A5ADE" w:rsidRPr="005A5ADE" w:rsidRDefault="005A5ADE" w:rsidP="005A5ADE">
            <w:pPr>
              <w:spacing w:after="0" w:line="240" w:lineRule="auto"/>
              <w:rPr>
                <w:rFonts w:eastAsia="Times New Roman"/>
                <w:b/>
                <w:bCs/>
                <w:color w:val="FFFFFF"/>
                <w:szCs w:val="16"/>
                <w:lang w:eastAsia="en-GB"/>
              </w:rPr>
            </w:pPr>
            <w:r w:rsidRPr="005A5ADE">
              <w:rPr>
                <w:rFonts w:eastAsia="Times New Roman"/>
                <w:b/>
                <w:bCs/>
                <w:color w:val="FFFFFF"/>
                <w:szCs w:val="16"/>
                <w:lang w:eastAsia="en-GB"/>
              </w:rPr>
              <w:t>Male %</w:t>
            </w:r>
          </w:p>
        </w:tc>
      </w:tr>
      <w:tr w:rsidR="005A5ADE" w:rsidRPr="005A5ADE" w:rsidTr="005A5ADE">
        <w:trPr>
          <w:trHeight w:val="288"/>
        </w:trPr>
        <w:tc>
          <w:tcPr>
            <w:tcW w:w="2142" w:type="dxa"/>
            <w:tcBorders>
              <w:top w:val="single" w:sz="4" w:space="0" w:color="979991"/>
              <w:left w:val="single" w:sz="4" w:space="0" w:color="979991"/>
              <w:bottom w:val="single" w:sz="4" w:space="0" w:color="979991"/>
              <w:right w:val="nil"/>
            </w:tcBorders>
            <w:shd w:val="clear" w:color="auto" w:fill="auto"/>
            <w:hideMark/>
          </w:tcPr>
          <w:p w:rsidR="005A5ADE" w:rsidRPr="005A5ADE" w:rsidRDefault="005A5ADE" w:rsidP="005A5ADE">
            <w:pPr>
              <w:spacing w:after="0" w:line="240" w:lineRule="auto"/>
              <w:rPr>
                <w:rFonts w:eastAsia="Times New Roman"/>
                <w:b/>
                <w:bCs/>
                <w:szCs w:val="16"/>
                <w:lang w:eastAsia="en-GB"/>
              </w:rPr>
            </w:pPr>
            <w:r w:rsidRPr="005A5ADE">
              <w:rPr>
                <w:rFonts w:eastAsia="Times New Roman"/>
                <w:b/>
                <w:bCs/>
                <w:szCs w:val="16"/>
                <w:lang w:eastAsia="en-GB"/>
              </w:rPr>
              <w:t>1</w:t>
            </w:r>
            <w:r>
              <w:rPr>
                <w:rFonts w:eastAsia="Times New Roman"/>
                <w:b/>
                <w:bCs/>
                <w:szCs w:val="16"/>
                <w:lang w:eastAsia="en-GB"/>
              </w:rPr>
              <w:t xml:space="preserve"> (Lower)</w:t>
            </w:r>
          </w:p>
        </w:tc>
        <w:tc>
          <w:tcPr>
            <w:tcW w:w="1276" w:type="dxa"/>
            <w:tcBorders>
              <w:top w:val="nil"/>
              <w:left w:val="single" w:sz="4" w:space="0" w:color="979991"/>
              <w:bottom w:val="single" w:sz="4" w:space="0" w:color="979991"/>
              <w:right w:val="nil"/>
            </w:tcBorders>
            <w:shd w:val="clear" w:color="000000" w:fill="FFFFFF"/>
            <w:hideMark/>
          </w:tcPr>
          <w:p w:rsidR="005A5ADE" w:rsidRPr="005A5ADE" w:rsidRDefault="005A5ADE" w:rsidP="005A5ADE">
            <w:pPr>
              <w:spacing w:after="0" w:line="240" w:lineRule="auto"/>
              <w:jc w:val="center"/>
              <w:rPr>
                <w:rFonts w:eastAsia="Times New Roman"/>
                <w:color w:val="000000"/>
                <w:szCs w:val="16"/>
                <w:lang w:eastAsia="en-GB"/>
              </w:rPr>
            </w:pPr>
            <w:r w:rsidRPr="005A5ADE">
              <w:rPr>
                <w:rFonts w:eastAsia="Times New Roman"/>
                <w:color w:val="000000"/>
                <w:szCs w:val="16"/>
                <w:lang w:eastAsia="en-GB"/>
              </w:rPr>
              <w:t>1474</w:t>
            </w:r>
          </w:p>
        </w:tc>
        <w:tc>
          <w:tcPr>
            <w:tcW w:w="992" w:type="dxa"/>
            <w:tcBorders>
              <w:top w:val="nil"/>
              <w:left w:val="single" w:sz="4" w:space="0" w:color="979991"/>
              <w:bottom w:val="single" w:sz="4" w:space="0" w:color="979991"/>
              <w:right w:val="nil"/>
            </w:tcBorders>
            <w:shd w:val="clear" w:color="000000" w:fill="FFFFFF"/>
            <w:hideMark/>
          </w:tcPr>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471</w:t>
            </w:r>
          </w:p>
        </w:tc>
        <w:tc>
          <w:tcPr>
            <w:tcW w:w="1418" w:type="dxa"/>
            <w:tcBorders>
              <w:top w:val="nil"/>
              <w:left w:val="single" w:sz="4" w:space="0" w:color="979991"/>
              <w:bottom w:val="single" w:sz="4" w:space="0" w:color="979991"/>
              <w:right w:val="nil"/>
            </w:tcBorders>
            <w:shd w:val="clear" w:color="000000" w:fill="FFFFFF"/>
            <w:hideMark/>
          </w:tcPr>
          <w:p w:rsidR="005A5ADE" w:rsidRDefault="005A5ADE" w:rsidP="005A5ADE">
            <w:pPr>
              <w:spacing w:after="0" w:line="240" w:lineRule="auto"/>
              <w:jc w:val="center"/>
              <w:rPr>
                <w:rFonts w:eastAsia="Times New Roman"/>
                <w:color w:val="000000"/>
                <w:szCs w:val="16"/>
                <w:lang w:eastAsia="en-GB"/>
              </w:rPr>
            </w:pPr>
            <w:r w:rsidRPr="005A5ADE">
              <w:rPr>
                <w:rFonts w:eastAsia="Times New Roman"/>
                <w:color w:val="000000"/>
                <w:szCs w:val="16"/>
                <w:lang w:eastAsia="en-GB"/>
              </w:rPr>
              <w:t>75.</w:t>
            </w:r>
            <w:r>
              <w:rPr>
                <w:rFonts w:eastAsia="Times New Roman"/>
                <w:color w:val="000000"/>
                <w:szCs w:val="16"/>
                <w:lang w:eastAsia="en-GB"/>
              </w:rPr>
              <w:t>8%</w:t>
            </w:r>
          </w:p>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(76.2%)</w:t>
            </w:r>
          </w:p>
        </w:tc>
        <w:tc>
          <w:tcPr>
            <w:tcW w:w="1276" w:type="dxa"/>
            <w:tcBorders>
              <w:top w:val="nil"/>
              <w:left w:val="single" w:sz="4" w:space="0" w:color="979991"/>
              <w:bottom w:val="single" w:sz="4" w:space="0" w:color="979991"/>
              <w:right w:val="single" w:sz="4" w:space="0" w:color="979991"/>
            </w:tcBorders>
            <w:shd w:val="clear" w:color="000000" w:fill="FFFFFF"/>
            <w:hideMark/>
          </w:tcPr>
          <w:p w:rsid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24.2%</w:t>
            </w:r>
          </w:p>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(23.8%)</w:t>
            </w:r>
          </w:p>
        </w:tc>
      </w:tr>
      <w:tr w:rsidR="005A5ADE" w:rsidRPr="005A5ADE" w:rsidTr="005A5ADE">
        <w:trPr>
          <w:trHeight w:val="288"/>
        </w:trPr>
        <w:tc>
          <w:tcPr>
            <w:tcW w:w="2142" w:type="dxa"/>
            <w:tcBorders>
              <w:top w:val="nil"/>
              <w:left w:val="single" w:sz="4" w:space="0" w:color="979991"/>
              <w:bottom w:val="single" w:sz="4" w:space="0" w:color="979991"/>
              <w:right w:val="nil"/>
            </w:tcBorders>
            <w:shd w:val="clear" w:color="auto" w:fill="auto"/>
            <w:hideMark/>
          </w:tcPr>
          <w:p w:rsidR="005A5ADE" w:rsidRPr="005A5ADE" w:rsidRDefault="005A5ADE" w:rsidP="005A5ADE">
            <w:pPr>
              <w:spacing w:after="0" w:line="240" w:lineRule="auto"/>
              <w:rPr>
                <w:rFonts w:eastAsia="Times New Roman"/>
                <w:b/>
                <w:bCs/>
                <w:szCs w:val="16"/>
                <w:lang w:eastAsia="en-GB"/>
              </w:rPr>
            </w:pPr>
            <w:r w:rsidRPr="005A5ADE">
              <w:rPr>
                <w:rFonts w:eastAsia="Times New Roman"/>
                <w:b/>
                <w:bCs/>
                <w:szCs w:val="16"/>
                <w:lang w:eastAsia="en-GB"/>
              </w:rPr>
              <w:t>2</w:t>
            </w:r>
            <w:r>
              <w:rPr>
                <w:rFonts w:eastAsia="Times New Roman"/>
                <w:b/>
                <w:bCs/>
                <w:szCs w:val="16"/>
                <w:lang w:eastAsia="en-GB"/>
              </w:rPr>
              <w:t>(Lower Middle)</w:t>
            </w:r>
          </w:p>
        </w:tc>
        <w:tc>
          <w:tcPr>
            <w:tcW w:w="1276" w:type="dxa"/>
            <w:tcBorders>
              <w:top w:val="nil"/>
              <w:left w:val="single" w:sz="4" w:space="0" w:color="979991"/>
              <w:bottom w:val="single" w:sz="4" w:space="0" w:color="979991"/>
              <w:right w:val="nil"/>
            </w:tcBorders>
            <w:shd w:val="clear" w:color="000000" w:fill="FFFFFF"/>
            <w:hideMark/>
          </w:tcPr>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1513</w:t>
            </w:r>
          </w:p>
        </w:tc>
        <w:tc>
          <w:tcPr>
            <w:tcW w:w="992" w:type="dxa"/>
            <w:tcBorders>
              <w:top w:val="nil"/>
              <w:left w:val="single" w:sz="4" w:space="0" w:color="979991"/>
              <w:bottom w:val="single" w:sz="4" w:space="0" w:color="979991"/>
              <w:right w:val="nil"/>
            </w:tcBorders>
            <w:shd w:val="clear" w:color="000000" w:fill="FFFFFF"/>
            <w:hideMark/>
          </w:tcPr>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433</w:t>
            </w:r>
          </w:p>
        </w:tc>
        <w:tc>
          <w:tcPr>
            <w:tcW w:w="1418" w:type="dxa"/>
            <w:tcBorders>
              <w:top w:val="nil"/>
              <w:left w:val="single" w:sz="4" w:space="0" w:color="979991"/>
              <w:bottom w:val="single" w:sz="4" w:space="0" w:color="979991"/>
              <w:right w:val="nil"/>
            </w:tcBorders>
            <w:shd w:val="clear" w:color="000000" w:fill="FFFFFF"/>
            <w:hideMark/>
          </w:tcPr>
          <w:p w:rsid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77.8%</w:t>
            </w:r>
          </w:p>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(77.6%)</w:t>
            </w:r>
          </w:p>
        </w:tc>
        <w:tc>
          <w:tcPr>
            <w:tcW w:w="1276" w:type="dxa"/>
            <w:tcBorders>
              <w:top w:val="nil"/>
              <w:left w:val="single" w:sz="4" w:space="0" w:color="979991"/>
              <w:bottom w:val="single" w:sz="4" w:space="0" w:color="979991"/>
              <w:right w:val="single" w:sz="4" w:space="0" w:color="979991"/>
            </w:tcBorders>
            <w:shd w:val="clear" w:color="000000" w:fill="FFFFFF"/>
            <w:hideMark/>
          </w:tcPr>
          <w:p w:rsid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22.2%</w:t>
            </w:r>
          </w:p>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(22.4%)</w:t>
            </w:r>
          </w:p>
        </w:tc>
      </w:tr>
      <w:tr w:rsidR="005A5ADE" w:rsidRPr="005A5ADE" w:rsidTr="005A5ADE">
        <w:trPr>
          <w:trHeight w:val="288"/>
        </w:trPr>
        <w:tc>
          <w:tcPr>
            <w:tcW w:w="2142" w:type="dxa"/>
            <w:tcBorders>
              <w:top w:val="nil"/>
              <w:left w:val="single" w:sz="4" w:space="0" w:color="979991"/>
              <w:bottom w:val="single" w:sz="4" w:space="0" w:color="979991"/>
              <w:right w:val="nil"/>
            </w:tcBorders>
            <w:shd w:val="clear" w:color="auto" w:fill="auto"/>
            <w:hideMark/>
          </w:tcPr>
          <w:p w:rsidR="005A5ADE" w:rsidRPr="005A5ADE" w:rsidRDefault="005A5ADE" w:rsidP="005A5ADE">
            <w:pPr>
              <w:spacing w:after="0" w:line="240" w:lineRule="auto"/>
              <w:rPr>
                <w:rFonts w:eastAsia="Times New Roman"/>
                <w:b/>
                <w:bCs/>
                <w:szCs w:val="16"/>
                <w:lang w:eastAsia="en-GB"/>
              </w:rPr>
            </w:pPr>
            <w:r w:rsidRPr="005A5ADE">
              <w:rPr>
                <w:rFonts w:eastAsia="Times New Roman"/>
                <w:b/>
                <w:bCs/>
                <w:szCs w:val="16"/>
                <w:lang w:eastAsia="en-GB"/>
              </w:rPr>
              <w:t>3</w:t>
            </w:r>
            <w:r>
              <w:rPr>
                <w:rFonts w:eastAsia="Times New Roman"/>
                <w:b/>
                <w:bCs/>
                <w:szCs w:val="16"/>
                <w:lang w:eastAsia="en-GB"/>
              </w:rPr>
              <w:t xml:space="preserve"> (Upper Middle)</w:t>
            </w:r>
          </w:p>
        </w:tc>
        <w:tc>
          <w:tcPr>
            <w:tcW w:w="1276" w:type="dxa"/>
            <w:tcBorders>
              <w:top w:val="nil"/>
              <w:left w:val="single" w:sz="4" w:space="0" w:color="979991"/>
              <w:bottom w:val="single" w:sz="4" w:space="0" w:color="979991"/>
              <w:right w:val="nil"/>
            </w:tcBorders>
            <w:shd w:val="clear" w:color="000000" w:fill="FFFFFF"/>
            <w:hideMark/>
          </w:tcPr>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1610</w:t>
            </w:r>
          </w:p>
        </w:tc>
        <w:tc>
          <w:tcPr>
            <w:tcW w:w="992" w:type="dxa"/>
            <w:tcBorders>
              <w:top w:val="nil"/>
              <w:left w:val="single" w:sz="4" w:space="0" w:color="979991"/>
              <w:bottom w:val="single" w:sz="4" w:space="0" w:color="979991"/>
              <w:right w:val="nil"/>
            </w:tcBorders>
            <w:shd w:val="clear" w:color="000000" w:fill="FFFFFF"/>
            <w:hideMark/>
          </w:tcPr>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337</w:t>
            </w:r>
          </w:p>
        </w:tc>
        <w:tc>
          <w:tcPr>
            <w:tcW w:w="1418" w:type="dxa"/>
            <w:tcBorders>
              <w:top w:val="nil"/>
              <w:left w:val="single" w:sz="4" w:space="0" w:color="979991"/>
              <w:bottom w:val="single" w:sz="4" w:space="0" w:color="979991"/>
              <w:right w:val="nil"/>
            </w:tcBorders>
            <w:shd w:val="clear" w:color="000000" w:fill="FFFFFF"/>
            <w:hideMark/>
          </w:tcPr>
          <w:p w:rsid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82.7%</w:t>
            </w:r>
          </w:p>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(83.1%)</w:t>
            </w:r>
          </w:p>
        </w:tc>
        <w:tc>
          <w:tcPr>
            <w:tcW w:w="1276" w:type="dxa"/>
            <w:tcBorders>
              <w:top w:val="nil"/>
              <w:left w:val="single" w:sz="4" w:space="0" w:color="979991"/>
              <w:bottom w:val="single" w:sz="4" w:space="0" w:color="979991"/>
              <w:right w:val="single" w:sz="4" w:space="0" w:color="979991"/>
            </w:tcBorders>
            <w:shd w:val="clear" w:color="000000" w:fill="FFFFFF"/>
            <w:hideMark/>
          </w:tcPr>
          <w:p w:rsid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17.3%</w:t>
            </w:r>
          </w:p>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(16.9%)</w:t>
            </w:r>
          </w:p>
        </w:tc>
      </w:tr>
      <w:tr w:rsidR="005A5ADE" w:rsidRPr="005A5ADE" w:rsidTr="005A5ADE">
        <w:trPr>
          <w:trHeight w:val="288"/>
        </w:trPr>
        <w:tc>
          <w:tcPr>
            <w:tcW w:w="2142" w:type="dxa"/>
            <w:tcBorders>
              <w:top w:val="nil"/>
              <w:left w:val="single" w:sz="4" w:space="0" w:color="979991"/>
              <w:bottom w:val="single" w:sz="4" w:space="0" w:color="979991"/>
              <w:right w:val="nil"/>
            </w:tcBorders>
            <w:shd w:val="clear" w:color="auto" w:fill="auto"/>
            <w:hideMark/>
          </w:tcPr>
          <w:p w:rsidR="005A5ADE" w:rsidRPr="005A5ADE" w:rsidRDefault="005A5ADE" w:rsidP="005A5ADE">
            <w:pPr>
              <w:spacing w:after="0" w:line="240" w:lineRule="auto"/>
              <w:rPr>
                <w:rFonts w:eastAsia="Times New Roman"/>
                <w:b/>
                <w:bCs/>
                <w:szCs w:val="16"/>
                <w:lang w:eastAsia="en-GB"/>
              </w:rPr>
            </w:pPr>
            <w:r w:rsidRPr="005A5ADE">
              <w:rPr>
                <w:rFonts w:eastAsia="Times New Roman"/>
                <w:b/>
                <w:bCs/>
                <w:szCs w:val="16"/>
                <w:lang w:eastAsia="en-GB"/>
              </w:rPr>
              <w:t>4</w:t>
            </w:r>
            <w:r>
              <w:rPr>
                <w:rFonts w:eastAsia="Times New Roman"/>
                <w:b/>
                <w:bCs/>
                <w:szCs w:val="16"/>
                <w:lang w:eastAsia="en-GB"/>
              </w:rPr>
              <w:t xml:space="preserve"> (Top)</w:t>
            </w:r>
          </w:p>
        </w:tc>
        <w:tc>
          <w:tcPr>
            <w:tcW w:w="1276" w:type="dxa"/>
            <w:tcBorders>
              <w:top w:val="nil"/>
              <w:left w:val="single" w:sz="4" w:space="0" w:color="979991"/>
              <w:bottom w:val="single" w:sz="4" w:space="0" w:color="979991"/>
              <w:right w:val="nil"/>
            </w:tcBorders>
            <w:shd w:val="clear" w:color="000000" w:fill="FFFFFF"/>
            <w:hideMark/>
          </w:tcPr>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1331</w:t>
            </w:r>
          </w:p>
        </w:tc>
        <w:tc>
          <w:tcPr>
            <w:tcW w:w="992" w:type="dxa"/>
            <w:tcBorders>
              <w:top w:val="nil"/>
              <w:left w:val="single" w:sz="4" w:space="0" w:color="979991"/>
              <w:bottom w:val="single" w:sz="4" w:space="0" w:color="979991"/>
              <w:right w:val="nil"/>
            </w:tcBorders>
            <w:shd w:val="clear" w:color="000000" w:fill="FFFFFF"/>
            <w:hideMark/>
          </w:tcPr>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617</w:t>
            </w:r>
          </w:p>
        </w:tc>
        <w:tc>
          <w:tcPr>
            <w:tcW w:w="1418" w:type="dxa"/>
            <w:tcBorders>
              <w:top w:val="nil"/>
              <w:left w:val="single" w:sz="4" w:space="0" w:color="979991"/>
              <w:bottom w:val="single" w:sz="4" w:space="0" w:color="979991"/>
              <w:right w:val="nil"/>
            </w:tcBorders>
            <w:shd w:val="clear" w:color="000000" w:fill="FFFFFF"/>
            <w:hideMark/>
          </w:tcPr>
          <w:p w:rsid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68.3%</w:t>
            </w:r>
          </w:p>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(68.9%)</w:t>
            </w:r>
          </w:p>
        </w:tc>
        <w:tc>
          <w:tcPr>
            <w:tcW w:w="1276" w:type="dxa"/>
            <w:tcBorders>
              <w:top w:val="nil"/>
              <w:left w:val="single" w:sz="4" w:space="0" w:color="979991"/>
              <w:bottom w:val="single" w:sz="4" w:space="0" w:color="979991"/>
              <w:right w:val="single" w:sz="4" w:space="0" w:color="979991"/>
            </w:tcBorders>
            <w:shd w:val="clear" w:color="000000" w:fill="FFFFFF"/>
            <w:hideMark/>
          </w:tcPr>
          <w:p w:rsid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31.7%</w:t>
            </w:r>
          </w:p>
          <w:p w:rsidR="005A5ADE" w:rsidRPr="005A5ADE" w:rsidRDefault="005A5ADE" w:rsidP="005A5ADE">
            <w:pPr>
              <w:spacing w:after="0" w:line="240" w:lineRule="auto"/>
              <w:jc w:val="center"/>
              <w:rPr>
                <w:rFonts w:eastAsia="Times New Roman"/>
                <w:color w:val="000000"/>
                <w:szCs w:val="16"/>
                <w:lang w:eastAsia="en-GB"/>
              </w:rPr>
            </w:pPr>
            <w:r>
              <w:rPr>
                <w:rFonts w:eastAsia="Times New Roman"/>
                <w:color w:val="000000"/>
                <w:szCs w:val="16"/>
                <w:lang w:eastAsia="en-GB"/>
              </w:rPr>
              <w:t>(31.1%)</w:t>
            </w:r>
          </w:p>
        </w:tc>
      </w:tr>
    </w:tbl>
    <w:p w:rsidR="00652DE2" w:rsidRDefault="00652DE2" w:rsidP="00652DE2"/>
    <w:p w:rsidR="005A5ADE" w:rsidRDefault="005A5ADE" w:rsidP="005A5ADE">
      <w:pPr>
        <w:pStyle w:val="Heading1"/>
      </w:pPr>
      <w:bookmarkStart w:id="8" w:name="_Toc94085680"/>
      <w:r>
        <w:t>Publication of data</w:t>
      </w:r>
      <w:bookmarkEnd w:id="8"/>
      <w:r>
        <w:t xml:space="preserve"> </w:t>
      </w:r>
    </w:p>
    <w:p w:rsidR="00976827" w:rsidRDefault="005A5ADE" w:rsidP="00652DE2">
      <w:r>
        <w:t xml:space="preserve">This report will be submitted to the People </w:t>
      </w:r>
      <w:r w:rsidR="00056D3D">
        <w:t>Committee</w:t>
      </w:r>
      <w:r>
        <w:t xml:space="preserve"> and approved at the Trust Management Board. The Trust is required to publish information and make it accessible on the Trusts website. The published information is uploaded to the government website with a written statement confirming the calculations are accurate. This must be signed by an appropriate senior person, such as a Director or Chief Executive. </w:t>
      </w:r>
    </w:p>
    <w:p w:rsidR="00976827" w:rsidRDefault="005A5ADE" w:rsidP="00652DE2">
      <w:r>
        <w:t xml:space="preserve">Organisations are required to provide written narrative with their calculations to support understanding of why a gender pay gap is present. This should explain what </w:t>
      </w:r>
      <w:r>
        <w:lastRenderedPageBreak/>
        <w:t xml:space="preserve">the organisation intends to do to reduce or eliminate the gender pay gap. For reporting purposes submitted data is rounded up to one decimal place. </w:t>
      </w:r>
    </w:p>
    <w:p w:rsidR="00976827" w:rsidRDefault="005A5ADE" w:rsidP="00976827">
      <w:pPr>
        <w:pStyle w:val="Heading1"/>
      </w:pPr>
      <w:bookmarkStart w:id="9" w:name="_Toc94085681"/>
      <w:r>
        <w:t>Actions to take forward</w:t>
      </w:r>
      <w:bookmarkEnd w:id="9"/>
      <w:r>
        <w:t xml:space="preserve"> </w:t>
      </w:r>
    </w:p>
    <w:p w:rsidR="00976827" w:rsidRDefault="005A5ADE" w:rsidP="00652DE2">
      <w:r>
        <w:t xml:space="preserve">The Trust is committed to ensuring an equitable workforce and this paper highlights the gender </w:t>
      </w:r>
      <w:r w:rsidR="00976827">
        <w:t>pay gap data as of 31 March 2021</w:t>
      </w:r>
      <w:r>
        <w:t>. Towards the end of 2019/20</w:t>
      </w:r>
      <w:r w:rsidR="00976827">
        <w:t xml:space="preserve"> and 2020/21</w:t>
      </w:r>
      <w:r>
        <w:t xml:space="preserve"> and in response to the COVID-19 pandemic, </w:t>
      </w:r>
      <w:proofErr w:type="gramStart"/>
      <w:r>
        <w:t>delivery of the proposed actions agreed in 2019 were</w:t>
      </w:r>
      <w:proofErr w:type="gramEnd"/>
      <w:r>
        <w:t xml:space="preserve"> delayed. </w:t>
      </w:r>
    </w:p>
    <w:p w:rsidR="00976827" w:rsidRDefault="005A5ADE" w:rsidP="00652DE2">
      <w:r>
        <w:t>Actions have been delayed to the next reporting period. In view of Western Sussex Hospitals merging with Brighton Sussex Univer</w:t>
      </w:r>
      <w:r w:rsidR="00976827">
        <w:t>sity Hospitals from 1 April 202</w:t>
      </w:r>
      <w:r w:rsidR="00056D3D">
        <w:t>1</w:t>
      </w:r>
      <w:r>
        <w:t xml:space="preserve"> the ongoing collaboration, shared expertise, advice and guidance provided by the Equality, Diversity and Inclusion team at BSUH will support continuous gender pay progression and focus to: </w:t>
      </w:r>
    </w:p>
    <w:p w:rsidR="00976827" w:rsidRDefault="005A5ADE" w:rsidP="00976827">
      <w:pPr>
        <w:pStyle w:val="ListParagraph"/>
        <w:numPr>
          <w:ilvl w:val="0"/>
          <w:numId w:val="39"/>
        </w:numPr>
      </w:pPr>
      <w:r>
        <w:t xml:space="preserve">Establish a joint WSHT/BSUH gender pay working group lead by relevant stakeholders including the Trust’s Medical Directors and provide regular progress reports to the merged Diversity Matters </w:t>
      </w:r>
      <w:r w:rsidR="00976827">
        <w:t xml:space="preserve">Steering </w:t>
      </w:r>
      <w:r>
        <w:t xml:space="preserve">Group. </w:t>
      </w:r>
    </w:p>
    <w:p w:rsidR="00976827" w:rsidRDefault="005A5ADE" w:rsidP="00976827">
      <w:pPr>
        <w:pStyle w:val="ListParagraph"/>
        <w:numPr>
          <w:ilvl w:val="0"/>
          <w:numId w:val="39"/>
        </w:numPr>
      </w:pPr>
      <w:r>
        <w:t xml:space="preserve">Undertake a review of the local and national CEA applications to ensure both female and male employees feel able, are encouraged and confident to apply and outcomes treated fairly. </w:t>
      </w:r>
    </w:p>
    <w:p w:rsidR="00976827" w:rsidRDefault="005A5ADE" w:rsidP="00976827">
      <w:pPr>
        <w:pStyle w:val="ListParagraph"/>
        <w:numPr>
          <w:ilvl w:val="0"/>
          <w:numId w:val="39"/>
        </w:numPr>
      </w:pPr>
      <w:r>
        <w:t xml:space="preserve">Seek confirmation on the detail available in the ESR Business Intelligence (BI) template report to understand the breakdown of local and national CEA. </w:t>
      </w:r>
    </w:p>
    <w:p w:rsidR="00976827" w:rsidRDefault="005A5ADE" w:rsidP="00976827">
      <w:pPr>
        <w:pStyle w:val="ListParagraph"/>
        <w:numPr>
          <w:ilvl w:val="0"/>
          <w:numId w:val="39"/>
        </w:numPr>
      </w:pPr>
      <w:r>
        <w:t xml:space="preserve">Monitor applications of Trust policies such as flexible working. Record the number of applications and outcomes on </w:t>
      </w:r>
      <w:proofErr w:type="gramStart"/>
      <w:r>
        <w:t>ESR,</w:t>
      </w:r>
      <w:proofErr w:type="gramEnd"/>
      <w:r>
        <w:t xml:space="preserve"> produce an quarterly report for the gender pay gap working group. </w:t>
      </w:r>
    </w:p>
    <w:p w:rsidR="00976827" w:rsidRDefault="005A5ADE" w:rsidP="00976827">
      <w:pPr>
        <w:pStyle w:val="ListParagraph"/>
        <w:numPr>
          <w:ilvl w:val="0"/>
          <w:numId w:val="39"/>
        </w:numPr>
      </w:pPr>
      <w:r>
        <w:t xml:space="preserve">Develop improved career pathways for all lower paid staff, linked to the annual welfare process. </w:t>
      </w:r>
    </w:p>
    <w:p w:rsidR="00976827" w:rsidRDefault="005A5ADE" w:rsidP="00976827">
      <w:pPr>
        <w:pStyle w:val="ListParagraph"/>
        <w:numPr>
          <w:ilvl w:val="0"/>
          <w:numId w:val="39"/>
        </w:numPr>
      </w:pPr>
      <w:r>
        <w:t xml:space="preserve">Ensure all staff </w:t>
      </w:r>
      <w:proofErr w:type="gramStart"/>
      <w:r>
        <w:t>have</w:t>
      </w:r>
      <w:proofErr w:type="gramEnd"/>
      <w:r>
        <w:t xml:space="preserve"> fair and equitable access to all leadership &amp; management development opportunities. </w:t>
      </w:r>
    </w:p>
    <w:p w:rsidR="00976827" w:rsidRDefault="005A5ADE" w:rsidP="00976827">
      <w:pPr>
        <w:pStyle w:val="ListParagraph"/>
        <w:numPr>
          <w:ilvl w:val="0"/>
          <w:numId w:val="39"/>
        </w:numPr>
      </w:pPr>
      <w:r>
        <w:t xml:space="preserve">Review how well the Trust manages women’s career progression after an employment break such as maternity. </w:t>
      </w:r>
    </w:p>
    <w:sectPr w:rsidR="00976827" w:rsidSect="00652DE2">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DE2" w:rsidRDefault="00652DE2" w:rsidP="00652DE2">
      <w:r>
        <w:separator/>
      </w:r>
    </w:p>
  </w:endnote>
  <w:endnote w:type="continuationSeparator" w:id="0">
    <w:p w:rsidR="00652DE2" w:rsidRDefault="00652DE2" w:rsidP="0065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543743"/>
      <w:docPartObj>
        <w:docPartGallery w:val="Page Numbers (Bottom of Page)"/>
        <w:docPartUnique/>
      </w:docPartObj>
    </w:sdtPr>
    <w:sdtEndPr>
      <w:rPr>
        <w:noProof/>
      </w:rPr>
    </w:sdtEndPr>
    <w:sdtContent>
      <w:p w:rsidR="00652DE2" w:rsidRPr="009E4C69" w:rsidRDefault="00652DE2" w:rsidP="00652DE2">
        <w:pPr>
          <w:pStyle w:val="Footer"/>
        </w:pPr>
        <w:r w:rsidRPr="009E4C69">
          <w:fldChar w:fldCharType="begin"/>
        </w:r>
        <w:r w:rsidRPr="009E4C69">
          <w:instrText xml:space="preserve"> PAGE   \* MERGEFORMAT </w:instrText>
        </w:r>
        <w:r w:rsidRPr="009E4C69">
          <w:fldChar w:fldCharType="separate"/>
        </w:r>
        <w:r w:rsidR="00E8687D">
          <w:rPr>
            <w:noProof/>
          </w:rPr>
          <w:t>1</w:t>
        </w:r>
        <w:r w:rsidRPr="009E4C69">
          <w:rPr>
            <w:noProof/>
          </w:rPr>
          <w:fldChar w:fldCharType="end"/>
        </w:r>
      </w:p>
    </w:sdtContent>
  </w:sdt>
  <w:p w:rsidR="00652DE2" w:rsidRDefault="00652DE2" w:rsidP="00652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E2" w:rsidRDefault="00652DE2" w:rsidP="00652DE2">
    <w:pPr>
      <w:pStyle w:val="Footer"/>
    </w:pPr>
  </w:p>
  <w:p w:rsidR="00652DE2" w:rsidRDefault="00652DE2" w:rsidP="00652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E2" w:rsidRDefault="00652DE2" w:rsidP="00652DE2">
    <w:pPr>
      <w:pStyle w:val="Footer"/>
    </w:pPr>
  </w:p>
  <w:p w:rsidR="00652DE2" w:rsidRDefault="00652DE2" w:rsidP="00652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DE2" w:rsidRDefault="00652DE2" w:rsidP="00652DE2">
      <w:r>
        <w:separator/>
      </w:r>
    </w:p>
  </w:footnote>
  <w:footnote w:type="continuationSeparator" w:id="0">
    <w:p w:rsidR="00652DE2" w:rsidRDefault="00652DE2" w:rsidP="00652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7F" w:rsidRDefault="00065375" w:rsidP="00065375">
    <w:pPr>
      <w:pStyle w:val="Header"/>
      <w:jc w:val="right"/>
    </w:pPr>
    <w:r>
      <w:rPr>
        <w:noProof/>
        <w:lang w:eastAsia="en-GB"/>
      </w:rPr>
      <w:drawing>
        <wp:inline distT="0" distB="0" distL="0" distR="0">
          <wp:extent cx="1843923" cy="718057"/>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HFT - RGB Colour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658" cy="723406"/>
                  </a:xfrm>
                  <a:prstGeom prst="rect">
                    <a:avLst/>
                  </a:prstGeom>
                </pic:spPr>
              </pic:pic>
            </a:graphicData>
          </a:graphic>
        </wp:inline>
      </w:drawing>
    </w:r>
    <w:r w:rsidR="0035617F">
      <w:rPr>
        <w:noProof/>
        <w:lang w:eastAsia="en-GB"/>
      </w:rPr>
      <mc:AlternateContent>
        <mc:Choice Requires="wpg">
          <w:drawing>
            <wp:anchor distT="0" distB="0" distL="114300" distR="114300" simplePos="0" relativeHeight="251659264" behindDoc="0" locked="1" layoutInCell="1" allowOverlap="1" wp14:anchorId="1E4D7102" wp14:editId="1BF5233C">
              <wp:simplePos x="0" y="0"/>
              <wp:positionH relativeFrom="column">
                <wp:posOffset>-64770</wp:posOffset>
              </wp:positionH>
              <wp:positionV relativeFrom="paragraph">
                <wp:posOffset>-2127250</wp:posOffset>
              </wp:positionV>
              <wp:extent cx="4351020" cy="12517120"/>
              <wp:effectExtent l="0" t="0" r="0" b="0"/>
              <wp:wrapNone/>
              <wp:docPr id="1" name="Group 1"/>
              <wp:cNvGraphicFramePr/>
              <a:graphic xmlns:a="http://schemas.openxmlformats.org/drawingml/2006/main">
                <a:graphicData uri="http://schemas.microsoft.com/office/word/2010/wordprocessingGroup">
                  <wpg:wgp>
                    <wpg:cNvGrpSpPr/>
                    <wpg:grpSpPr>
                      <a:xfrm>
                        <a:off x="0" y="0"/>
                        <a:ext cx="4351020" cy="12517120"/>
                        <a:chOff x="0" y="0"/>
                        <a:chExt cx="4350419" cy="12516240"/>
                      </a:xfrm>
                    </wpg:grpSpPr>
                    <wps:wsp>
                      <wps:cNvPr id="7" name="Triangle 7"/>
                      <wps:cNvSpPr/>
                      <wps:spPr>
                        <a:xfrm>
                          <a:off x="19050" y="8782050"/>
                          <a:ext cx="4331369" cy="3734190"/>
                        </a:xfrm>
                        <a:prstGeom prst="triangle">
                          <a:avLst/>
                        </a:prstGeom>
                        <a:solidFill>
                          <a:srgbClr val="41B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a:off x="19050" y="4410075"/>
                          <a:ext cx="4331335" cy="3733800"/>
                        </a:xfrm>
                        <a:prstGeom prst="triangle">
                          <a:avLst/>
                        </a:prstGeom>
                        <a:solidFill>
                          <a:srgbClr val="CCF1F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riangle 9"/>
                      <wps:cNvSpPr/>
                      <wps:spPr>
                        <a:xfrm>
                          <a:off x="0" y="0"/>
                          <a:ext cx="4331335" cy="3733800"/>
                        </a:xfrm>
                        <a:prstGeom prst="triangle">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F57FEA" id="Group 1" o:spid="_x0000_s1026" style="position:absolute;margin-left:-5.1pt;margin-top:-167.5pt;width:342.6pt;height:985.6pt;z-index:251659264;mso-width-relative:margin;mso-height-relative:margin" coordsize="43504,12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 o:spid="_x0000_s1027" type="#_x0000_t5" style="position:absolute;left:190;top:87820;width:43314;height:37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" fillcolor="#41b6e6" stroked="f" strokeweight="2pt"/>
              <v:shape id="Triangle 8" o:spid="_x0000_s1028" type="#_x0000_t5" style="position:absolute;left:190;top:44100;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" fillcolor="#ccf1fb" stroked="f" strokeweight="2pt"/>
              <v:shape id="Triangle 9" o:spid="_x0000_s1029" type="#_x0000_t5" style="position:absolute;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" fillcolor="#005eb8" stroked="f" strokeweight="2pt"/>
              <w10:anchorlock/>
            </v:group>
          </w:pict>
        </mc:Fallback>
      </mc:AlternateContent>
    </w:r>
  </w:p>
  <w:p w:rsidR="00652DE2" w:rsidRDefault="00652DE2" w:rsidP="00652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7CF"/>
    <w:multiLevelType w:val="hybridMultilevel"/>
    <w:tmpl w:val="0D18A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42389"/>
    <w:multiLevelType w:val="hybridMultilevel"/>
    <w:tmpl w:val="DECA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042CE"/>
    <w:multiLevelType w:val="hybridMultilevel"/>
    <w:tmpl w:val="36DC1F2A"/>
    <w:lvl w:ilvl="0" w:tplc="16B0CC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53764E"/>
    <w:multiLevelType w:val="hybridMultilevel"/>
    <w:tmpl w:val="CE3A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C17852"/>
    <w:multiLevelType w:val="hybridMultilevel"/>
    <w:tmpl w:val="12EC3840"/>
    <w:lvl w:ilvl="0" w:tplc="6BBEE958">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656BAE"/>
    <w:multiLevelType w:val="hybridMultilevel"/>
    <w:tmpl w:val="A18AD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B323D3"/>
    <w:multiLevelType w:val="hybridMultilevel"/>
    <w:tmpl w:val="1682B940"/>
    <w:lvl w:ilvl="0" w:tplc="3FAE6D12">
      <w:start w:val="1"/>
      <w:numFmt w:val="bullet"/>
      <w:lvlText w:val="•"/>
      <w:lvlJc w:val="left"/>
      <w:pPr>
        <w:tabs>
          <w:tab w:val="num" w:pos="720"/>
        </w:tabs>
        <w:ind w:left="720" w:hanging="360"/>
      </w:pPr>
      <w:rPr>
        <w:rFonts w:ascii="Arial" w:hAnsi="Arial" w:hint="default"/>
      </w:rPr>
    </w:lvl>
    <w:lvl w:ilvl="1" w:tplc="C24A4DE0" w:tentative="1">
      <w:start w:val="1"/>
      <w:numFmt w:val="bullet"/>
      <w:lvlText w:val="•"/>
      <w:lvlJc w:val="left"/>
      <w:pPr>
        <w:tabs>
          <w:tab w:val="num" w:pos="1440"/>
        </w:tabs>
        <w:ind w:left="1440" w:hanging="360"/>
      </w:pPr>
      <w:rPr>
        <w:rFonts w:ascii="Arial" w:hAnsi="Arial" w:hint="default"/>
      </w:rPr>
    </w:lvl>
    <w:lvl w:ilvl="2" w:tplc="E4504BF0">
      <w:start w:val="1"/>
      <w:numFmt w:val="bullet"/>
      <w:lvlText w:val="•"/>
      <w:lvlJc w:val="left"/>
      <w:pPr>
        <w:tabs>
          <w:tab w:val="num" w:pos="2160"/>
        </w:tabs>
        <w:ind w:left="2160" w:hanging="360"/>
      </w:pPr>
      <w:rPr>
        <w:rFonts w:ascii="Arial" w:hAnsi="Arial" w:hint="default"/>
      </w:rPr>
    </w:lvl>
    <w:lvl w:ilvl="3" w:tplc="C67061A2" w:tentative="1">
      <w:start w:val="1"/>
      <w:numFmt w:val="bullet"/>
      <w:lvlText w:val="•"/>
      <w:lvlJc w:val="left"/>
      <w:pPr>
        <w:tabs>
          <w:tab w:val="num" w:pos="2880"/>
        </w:tabs>
        <w:ind w:left="2880" w:hanging="360"/>
      </w:pPr>
      <w:rPr>
        <w:rFonts w:ascii="Arial" w:hAnsi="Arial" w:hint="default"/>
      </w:rPr>
    </w:lvl>
    <w:lvl w:ilvl="4" w:tplc="F18624A2" w:tentative="1">
      <w:start w:val="1"/>
      <w:numFmt w:val="bullet"/>
      <w:lvlText w:val="•"/>
      <w:lvlJc w:val="left"/>
      <w:pPr>
        <w:tabs>
          <w:tab w:val="num" w:pos="3600"/>
        </w:tabs>
        <w:ind w:left="3600" w:hanging="360"/>
      </w:pPr>
      <w:rPr>
        <w:rFonts w:ascii="Arial" w:hAnsi="Arial" w:hint="default"/>
      </w:rPr>
    </w:lvl>
    <w:lvl w:ilvl="5" w:tplc="C13A66D2" w:tentative="1">
      <w:start w:val="1"/>
      <w:numFmt w:val="bullet"/>
      <w:lvlText w:val="•"/>
      <w:lvlJc w:val="left"/>
      <w:pPr>
        <w:tabs>
          <w:tab w:val="num" w:pos="4320"/>
        </w:tabs>
        <w:ind w:left="4320" w:hanging="360"/>
      </w:pPr>
      <w:rPr>
        <w:rFonts w:ascii="Arial" w:hAnsi="Arial" w:hint="default"/>
      </w:rPr>
    </w:lvl>
    <w:lvl w:ilvl="6" w:tplc="06B2579A" w:tentative="1">
      <w:start w:val="1"/>
      <w:numFmt w:val="bullet"/>
      <w:lvlText w:val="•"/>
      <w:lvlJc w:val="left"/>
      <w:pPr>
        <w:tabs>
          <w:tab w:val="num" w:pos="5040"/>
        </w:tabs>
        <w:ind w:left="5040" w:hanging="360"/>
      </w:pPr>
      <w:rPr>
        <w:rFonts w:ascii="Arial" w:hAnsi="Arial" w:hint="default"/>
      </w:rPr>
    </w:lvl>
    <w:lvl w:ilvl="7" w:tplc="4AEA56E2" w:tentative="1">
      <w:start w:val="1"/>
      <w:numFmt w:val="bullet"/>
      <w:lvlText w:val="•"/>
      <w:lvlJc w:val="left"/>
      <w:pPr>
        <w:tabs>
          <w:tab w:val="num" w:pos="5760"/>
        </w:tabs>
        <w:ind w:left="5760" w:hanging="360"/>
      </w:pPr>
      <w:rPr>
        <w:rFonts w:ascii="Arial" w:hAnsi="Arial" w:hint="default"/>
      </w:rPr>
    </w:lvl>
    <w:lvl w:ilvl="8" w:tplc="B83EBF1A" w:tentative="1">
      <w:start w:val="1"/>
      <w:numFmt w:val="bullet"/>
      <w:lvlText w:val="•"/>
      <w:lvlJc w:val="left"/>
      <w:pPr>
        <w:tabs>
          <w:tab w:val="num" w:pos="6480"/>
        </w:tabs>
        <w:ind w:left="6480" w:hanging="360"/>
      </w:pPr>
      <w:rPr>
        <w:rFonts w:ascii="Arial" w:hAnsi="Arial" w:hint="default"/>
      </w:rPr>
    </w:lvl>
  </w:abstractNum>
  <w:abstractNum w:abstractNumId="7">
    <w:nsid w:val="14C571E8"/>
    <w:multiLevelType w:val="hybridMultilevel"/>
    <w:tmpl w:val="46300A52"/>
    <w:lvl w:ilvl="0" w:tplc="16B0CC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F726EB"/>
    <w:multiLevelType w:val="hybridMultilevel"/>
    <w:tmpl w:val="6EF052B4"/>
    <w:lvl w:ilvl="0" w:tplc="6A6AE24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7444771"/>
    <w:multiLevelType w:val="hybridMultilevel"/>
    <w:tmpl w:val="EE98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BF3FC9"/>
    <w:multiLevelType w:val="hybridMultilevel"/>
    <w:tmpl w:val="A26C7B22"/>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442E1B"/>
    <w:multiLevelType w:val="hybridMultilevel"/>
    <w:tmpl w:val="6102E3A4"/>
    <w:lvl w:ilvl="0" w:tplc="F81875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2B7328"/>
    <w:multiLevelType w:val="hybridMultilevel"/>
    <w:tmpl w:val="43905972"/>
    <w:lvl w:ilvl="0" w:tplc="879AAFC0">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42B3209"/>
    <w:multiLevelType w:val="hybridMultilevel"/>
    <w:tmpl w:val="FFF29254"/>
    <w:lvl w:ilvl="0" w:tplc="1FE4AE3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9E0BF0"/>
    <w:multiLevelType w:val="hybridMultilevel"/>
    <w:tmpl w:val="6A4657E0"/>
    <w:lvl w:ilvl="0" w:tplc="847AE54C">
      <w:start w:val="1"/>
      <w:numFmt w:val="bullet"/>
      <w:lvlText w:val="•"/>
      <w:lvlJc w:val="left"/>
      <w:pPr>
        <w:tabs>
          <w:tab w:val="num" w:pos="720"/>
        </w:tabs>
        <w:ind w:left="720" w:hanging="360"/>
      </w:pPr>
      <w:rPr>
        <w:rFonts w:ascii="Arial" w:hAnsi="Arial" w:hint="default"/>
      </w:rPr>
    </w:lvl>
    <w:lvl w:ilvl="1" w:tplc="50BC93FA" w:tentative="1">
      <w:start w:val="1"/>
      <w:numFmt w:val="bullet"/>
      <w:lvlText w:val="•"/>
      <w:lvlJc w:val="left"/>
      <w:pPr>
        <w:tabs>
          <w:tab w:val="num" w:pos="1440"/>
        </w:tabs>
        <w:ind w:left="1440" w:hanging="360"/>
      </w:pPr>
      <w:rPr>
        <w:rFonts w:ascii="Arial" w:hAnsi="Arial" w:hint="default"/>
      </w:rPr>
    </w:lvl>
    <w:lvl w:ilvl="2" w:tplc="7FF0B83E" w:tentative="1">
      <w:start w:val="1"/>
      <w:numFmt w:val="bullet"/>
      <w:lvlText w:val="•"/>
      <w:lvlJc w:val="left"/>
      <w:pPr>
        <w:tabs>
          <w:tab w:val="num" w:pos="2160"/>
        </w:tabs>
        <w:ind w:left="2160" w:hanging="360"/>
      </w:pPr>
      <w:rPr>
        <w:rFonts w:ascii="Arial" w:hAnsi="Arial" w:hint="default"/>
      </w:rPr>
    </w:lvl>
    <w:lvl w:ilvl="3" w:tplc="9514C278" w:tentative="1">
      <w:start w:val="1"/>
      <w:numFmt w:val="bullet"/>
      <w:lvlText w:val="•"/>
      <w:lvlJc w:val="left"/>
      <w:pPr>
        <w:tabs>
          <w:tab w:val="num" w:pos="2880"/>
        </w:tabs>
        <w:ind w:left="2880" w:hanging="360"/>
      </w:pPr>
      <w:rPr>
        <w:rFonts w:ascii="Arial" w:hAnsi="Arial" w:hint="default"/>
      </w:rPr>
    </w:lvl>
    <w:lvl w:ilvl="4" w:tplc="0FC0A986" w:tentative="1">
      <w:start w:val="1"/>
      <w:numFmt w:val="bullet"/>
      <w:lvlText w:val="•"/>
      <w:lvlJc w:val="left"/>
      <w:pPr>
        <w:tabs>
          <w:tab w:val="num" w:pos="3600"/>
        </w:tabs>
        <w:ind w:left="3600" w:hanging="360"/>
      </w:pPr>
      <w:rPr>
        <w:rFonts w:ascii="Arial" w:hAnsi="Arial" w:hint="default"/>
      </w:rPr>
    </w:lvl>
    <w:lvl w:ilvl="5" w:tplc="03DC57F2" w:tentative="1">
      <w:start w:val="1"/>
      <w:numFmt w:val="bullet"/>
      <w:lvlText w:val="•"/>
      <w:lvlJc w:val="left"/>
      <w:pPr>
        <w:tabs>
          <w:tab w:val="num" w:pos="4320"/>
        </w:tabs>
        <w:ind w:left="4320" w:hanging="360"/>
      </w:pPr>
      <w:rPr>
        <w:rFonts w:ascii="Arial" w:hAnsi="Arial" w:hint="default"/>
      </w:rPr>
    </w:lvl>
    <w:lvl w:ilvl="6" w:tplc="33BE8784" w:tentative="1">
      <w:start w:val="1"/>
      <w:numFmt w:val="bullet"/>
      <w:lvlText w:val="•"/>
      <w:lvlJc w:val="left"/>
      <w:pPr>
        <w:tabs>
          <w:tab w:val="num" w:pos="5040"/>
        </w:tabs>
        <w:ind w:left="5040" w:hanging="360"/>
      </w:pPr>
      <w:rPr>
        <w:rFonts w:ascii="Arial" w:hAnsi="Arial" w:hint="default"/>
      </w:rPr>
    </w:lvl>
    <w:lvl w:ilvl="7" w:tplc="3B78E862" w:tentative="1">
      <w:start w:val="1"/>
      <w:numFmt w:val="bullet"/>
      <w:lvlText w:val="•"/>
      <w:lvlJc w:val="left"/>
      <w:pPr>
        <w:tabs>
          <w:tab w:val="num" w:pos="5760"/>
        </w:tabs>
        <w:ind w:left="5760" w:hanging="360"/>
      </w:pPr>
      <w:rPr>
        <w:rFonts w:ascii="Arial" w:hAnsi="Arial" w:hint="default"/>
      </w:rPr>
    </w:lvl>
    <w:lvl w:ilvl="8" w:tplc="861A3DDC" w:tentative="1">
      <w:start w:val="1"/>
      <w:numFmt w:val="bullet"/>
      <w:lvlText w:val="•"/>
      <w:lvlJc w:val="left"/>
      <w:pPr>
        <w:tabs>
          <w:tab w:val="num" w:pos="6480"/>
        </w:tabs>
        <w:ind w:left="6480" w:hanging="360"/>
      </w:pPr>
      <w:rPr>
        <w:rFonts w:ascii="Arial" w:hAnsi="Arial" w:hint="default"/>
      </w:rPr>
    </w:lvl>
  </w:abstractNum>
  <w:abstractNum w:abstractNumId="15">
    <w:nsid w:val="28323A7E"/>
    <w:multiLevelType w:val="hybridMultilevel"/>
    <w:tmpl w:val="10B2F3C6"/>
    <w:lvl w:ilvl="0" w:tplc="9AE61702">
      <w:start w:val="1"/>
      <w:numFmt w:val="bullet"/>
      <w:pStyle w:val="ListParagraph"/>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FF721B"/>
    <w:multiLevelType w:val="hybridMultilevel"/>
    <w:tmpl w:val="511CF330"/>
    <w:lvl w:ilvl="0" w:tplc="16B0CC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FD2E54"/>
    <w:multiLevelType w:val="hybridMultilevel"/>
    <w:tmpl w:val="2B1C5D28"/>
    <w:lvl w:ilvl="0" w:tplc="16B0CC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D92150"/>
    <w:multiLevelType w:val="hybridMultilevel"/>
    <w:tmpl w:val="4844CBDC"/>
    <w:lvl w:ilvl="0" w:tplc="879AAFC0">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0E800A1"/>
    <w:multiLevelType w:val="hybridMultilevel"/>
    <w:tmpl w:val="9418BF32"/>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EF3686"/>
    <w:multiLevelType w:val="hybridMultilevel"/>
    <w:tmpl w:val="F9E2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ED3EC7"/>
    <w:multiLevelType w:val="multilevel"/>
    <w:tmpl w:val="27F2F2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15D4813"/>
    <w:multiLevelType w:val="hybridMultilevel"/>
    <w:tmpl w:val="9796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3E3DCA"/>
    <w:multiLevelType w:val="hybridMultilevel"/>
    <w:tmpl w:val="7C34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3478AD"/>
    <w:multiLevelType w:val="hybridMultilevel"/>
    <w:tmpl w:val="8C120C78"/>
    <w:lvl w:ilvl="0" w:tplc="A710AFB8">
      <w:start w:val="1"/>
      <w:numFmt w:val="bullet"/>
      <w:lvlText w:val=""/>
      <w:lvlJc w:val="left"/>
      <w:pPr>
        <w:ind w:left="720" w:hanging="360"/>
      </w:pPr>
      <w:rPr>
        <w:rFonts w:ascii="Symbol" w:hAnsi="Symbol"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E43E22"/>
    <w:multiLevelType w:val="hybridMultilevel"/>
    <w:tmpl w:val="B5CA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BE0EB5"/>
    <w:multiLevelType w:val="hybridMultilevel"/>
    <w:tmpl w:val="BC50F276"/>
    <w:lvl w:ilvl="0" w:tplc="473295D8">
      <w:start w:val="1"/>
      <w:numFmt w:val="bullet"/>
      <w:lvlText w:val="•"/>
      <w:lvlJc w:val="left"/>
      <w:pPr>
        <w:tabs>
          <w:tab w:val="num" w:pos="720"/>
        </w:tabs>
        <w:ind w:left="720" w:hanging="360"/>
      </w:pPr>
      <w:rPr>
        <w:rFonts w:ascii="Arial" w:hAnsi="Arial" w:hint="default"/>
      </w:rPr>
    </w:lvl>
    <w:lvl w:ilvl="1" w:tplc="29A89E6E">
      <w:start w:val="1"/>
      <w:numFmt w:val="bullet"/>
      <w:lvlText w:val="•"/>
      <w:lvlJc w:val="left"/>
      <w:pPr>
        <w:tabs>
          <w:tab w:val="num" w:pos="1440"/>
        </w:tabs>
        <w:ind w:left="1440" w:hanging="360"/>
      </w:pPr>
      <w:rPr>
        <w:rFonts w:ascii="Arial" w:hAnsi="Arial" w:hint="default"/>
      </w:rPr>
    </w:lvl>
    <w:lvl w:ilvl="2" w:tplc="6368EEE2" w:tentative="1">
      <w:start w:val="1"/>
      <w:numFmt w:val="bullet"/>
      <w:lvlText w:val="•"/>
      <w:lvlJc w:val="left"/>
      <w:pPr>
        <w:tabs>
          <w:tab w:val="num" w:pos="2160"/>
        </w:tabs>
        <w:ind w:left="2160" w:hanging="360"/>
      </w:pPr>
      <w:rPr>
        <w:rFonts w:ascii="Arial" w:hAnsi="Arial" w:hint="default"/>
      </w:rPr>
    </w:lvl>
    <w:lvl w:ilvl="3" w:tplc="10642BC0" w:tentative="1">
      <w:start w:val="1"/>
      <w:numFmt w:val="bullet"/>
      <w:lvlText w:val="•"/>
      <w:lvlJc w:val="left"/>
      <w:pPr>
        <w:tabs>
          <w:tab w:val="num" w:pos="2880"/>
        </w:tabs>
        <w:ind w:left="2880" w:hanging="360"/>
      </w:pPr>
      <w:rPr>
        <w:rFonts w:ascii="Arial" w:hAnsi="Arial" w:hint="default"/>
      </w:rPr>
    </w:lvl>
    <w:lvl w:ilvl="4" w:tplc="B6AC9CD2" w:tentative="1">
      <w:start w:val="1"/>
      <w:numFmt w:val="bullet"/>
      <w:lvlText w:val="•"/>
      <w:lvlJc w:val="left"/>
      <w:pPr>
        <w:tabs>
          <w:tab w:val="num" w:pos="3600"/>
        </w:tabs>
        <w:ind w:left="3600" w:hanging="360"/>
      </w:pPr>
      <w:rPr>
        <w:rFonts w:ascii="Arial" w:hAnsi="Arial" w:hint="default"/>
      </w:rPr>
    </w:lvl>
    <w:lvl w:ilvl="5" w:tplc="D070D12C" w:tentative="1">
      <w:start w:val="1"/>
      <w:numFmt w:val="bullet"/>
      <w:lvlText w:val="•"/>
      <w:lvlJc w:val="left"/>
      <w:pPr>
        <w:tabs>
          <w:tab w:val="num" w:pos="4320"/>
        </w:tabs>
        <w:ind w:left="4320" w:hanging="360"/>
      </w:pPr>
      <w:rPr>
        <w:rFonts w:ascii="Arial" w:hAnsi="Arial" w:hint="default"/>
      </w:rPr>
    </w:lvl>
    <w:lvl w:ilvl="6" w:tplc="178CC58C" w:tentative="1">
      <w:start w:val="1"/>
      <w:numFmt w:val="bullet"/>
      <w:lvlText w:val="•"/>
      <w:lvlJc w:val="left"/>
      <w:pPr>
        <w:tabs>
          <w:tab w:val="num" w:pos="5040"/>
        </w:tabs>
        <w:ind w:left="5040" w:hanging="360"/>
      </w:pPr>
      <w:rPr>
        <w:rFonts w:ascii="Arial" w:hAnsi="Arial" w:hint="default"/>
      </w:rPr>
    </w:lvl>
    <w:lvl w:ilvl="7" w:tplc="FE64FA38" w:tentative="1">
      <w:start w:val="1"/>
      <w:numFmt w:val="bullet"/>
      <w:lvlText w:val="•"/>
      <w:lvlJc w:val="left"/>
      <w:pPr>
        <w:tabs>
          <w:tab w:val="num" w:pos="5760"/>
        </w:tabs>
        <w:ind w:left="5760" w:hanging="360"/>
      </w:pPr>
      <w:rPr>
        <w:rFonts w:ascii="Arial" w:hAnsi="Arial" w:hint="default"/>
      </w:rPr>
    </w:lvl>
    <w:lvl w:ilvl="8" w:tplc="DF14B120" w:tentative="1">
      <w:start w:val="1"/>
      <w:numFmt w:val="bullet"/>
      <w:lvlText w:val="•"/>
      <w:lvlJc w:val="left"/>
      <w:pPr>
        <w:tabs>
          <w:tab w:val="num" w:pos="6480"/>
        </w:tabs>
        <w:ind w:left="6480" w:hanging="360"/>
      </w:pPr>
      <w:rPr>
        <w:rFonts w:ascii="Arial" w:hAnsi="Arial" w:hint="default"/>
      </w:rPr>
    </w:lvl>
  </w:abstractNum>
  <w:abstractNum w:abstractNumId="27">
    <w:nsid w:val="50B572E7"/>
    <w:multiLevelType w:val="hybridMultilevel"/>
    <w:tmpl w:val="A8EC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E056B7"/>
    <w:multiLevelType w:val="hybridMultilevel"/>
    <w:tmpl w:val="D034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3E4FF6"/>
    <w:multiLevelType w:val="hybridMultilevel"/>
    <w:tmpl w:val="1278F0A0"/>
    <w:lvl w:ilvl="0" w:tplc="521C7E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346DD8"/>
    <w:multiLevelType w:val="hybridMultilevel"/>
    <w:tmpl w:val="97AC0EF4"/>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2B6150"/>
    <w:multiLevelType w:val="hybridMultilevel"/>
    <w:tmpl w:val="0D92FD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2">
    <w:nsid w:val="5E7B6084"/>
    <w:multiLevelType w:val="hybridMultilevel"/>
    <w:tmpl w:val="ECF4DE38"/>
    <w:lvl w:ilvl="0" w:tplc="A92222F8">
      <w:start w:val="1"/>
      <w:numFmt w:val="bullet"/>
      <w:lvlText w:val="•"/>
      <w:lvlJc w:val="left"/>
      <w:pPr>
        <w:tabs>
          <w:tab w:val="num" w:pos="720"/>
        </w:tabs>
        <w:ind w:left="720" w:hanging="360"/>
      </w:pPr>
      <w:rPr>
        <w:rFonts w:ascii="Arial" w:hAnsi="Arial" w:hint="default"/>
      </w:rPr>
    </w:lvl>
    <w:lvl w:ilvl="1" w:tplc="F50C97A6" w:tentative="1">
      <w:start w:val="1"/>
      <w:numFmt w:val="bullet"/>
      <w:lvlText w:val="•"/>
      <w:lvlJc w:val="left"/>
      <w:pPr>
        <w:tabs>
          <w:tab w:val="num" w:pos="1440"/>
        </w:tabs>
        <w:ind w:left="1440" w:hanging="360"/>
      </w:pPr>
      <w:rPr>
        <w:rFonts w:ascii="Arial" w:hAnsi="Arial" w:hint="default"/>
      </w:rPr>
    </w:lvl>
    <w:lvl w:ilvl="2" w:tplc="6310C306" w:tentative="1">
      <w:start w:val="1"/>
      <w:numFmt w:val="bullet"/>
      <w:lvlText w:val="•"/>
      <w:lvlJc w:val="left"/>
      <w:pPr>
        <w:tabs>
          <w:tab w:val="num" w:pos="2160"/>
        </w:tabs>
        <w:ind w:left="2160" w:hanging="360"/>
      </w:pPr>
      <w:rPr>
        <w:rFonts w:ascii="Arial" w:hAnsi="Arial" w:hint="default"/>
      </w:rPr>
    </w:lvl>
    <w:lvl w:ilvl="3" w:tplc="66681108" w:tentative="1">
      <w:start w:val="1"/>
      <w:numFmt w:val="bullet"/>
      <w:lvlText w:val="•"/>
      <w:lvlJc w:val="left"/>
      <w:pPr>
        <w:tabs>
          <w:tab w:val="num" w:pos="2880"/>
        </w:tabs>
        <w:ind w:left="2880" w:hanging="360"/>
      </w:pPr>
      <w:rPr>
        <w:rFonts w:ascii="Arial" w:hAnsi="Arial" w:hint="default"/>
      </w:rPr>
    </w:lvl>
    <w:lvl w:ilvl="4" w:tplc="C4707740" w:tentative="1">
      <w:start w:val="1"/>
      <w:numFmt w:val="bullet"/>
      <w:lvlText w:val="•"/>
      <w:lvlJc w:val="left"/>
      <w:pPr>
        <w:tabs>
          <w:tab w:val="num" w:pos="3600"/>
        </w:tabs>
        <w:ind w:left="3600" w:hanging="360"/>
      </w:pPr>
      <w:rPr>
        <w:rFonts w:ascii="Arial" w:hAnsi="Arial" w:hint="default"/>
      </w:rPr>
    </w:lvl>
    <w:lvl w:ilvl="5" w:tplc="408ED6BC" w:tentative="1">
      <w:start w:val="1"/>
      <w:numFmt w:val="bullet"/>
      <w:lvlText w:val="•"/>
      <w:lvlJc w:val="left"/>
      <w:pPr>
        <w:tabs>
          <w:tab w:val="num" w:pos="4320"/>
        </w:tabs>
        <w:ind w:left="4320" w:hanging="360"/>
      </w:pPr>
      <w:rPr>
        <w:rFonts w:ascii="Arial" w:hAnsi="Arial" w:hint="default"/>
      </w:rPr>
    </w:lvl>
    <w:lvl w:ilvl="6" w:tplc="7F74E616" w:tentative="1">
      <w:start w:val="1"/>
      <w:numFmt w:val="bullet"/>
      <w:lvlText w:val="•"/>
      <w:lvlJc w:val="left"/>
      <w:pPr>
        <w:tabs>
          <w:tab w:val="num" w:pos="5040"/>
        </w:tabs>
        <w:ind w:left="5040" w:hanging="360"/>
      </w:pPr>
      <w:rPr>
        <w:rFonts w:ascii="Arial" w:hAnsi="Arial" w:hint="default"/>
      </w:rPr>
    </w:lvl>
    <w:lvl w:ilvl="7" w:tplc="6D3E85B8" w:tentative="1">
      <w:start w:val="1"/>
      <w:numFmt w:val="bullet"/>
      <w:lvlText w:val="•"/>
      <w:lvlJc w:val="left"/>
      <w:pPr>
        <w:tabs>
          <w:tab w:val="num" w:pos="5760"/>
        </w:tabs>
        <w:ind w:left="5760" w:hanging="360"/>
      </w:pPr>
      <w:rPr>
        <w:rFonts w:ascii="Arial" w:hAnsi="Arial" w:hint="default"/>
      </w:rPr>
    </w:lvl>
    <w:lvl w:ilvl="8" w:tplc="67BC197A" w:tentative="1">
      <w:start w:val="1"/>
      <w:numFmt w:val="bullet"/>
      <w:lvlText w:val="•"/>
      <w:lvlJc w:val="left"/>
      <w:pPr>
        <w:tabs>
          <w:tab w:val="num" w:pos="6480"/>
        </w:tabs>
        <w:ind w:left="6480" w:hanging="360"/>
      </w:pPr>
      <w:rPr>
        <w:rFonts w:ascii="Arial" w:hAnsi="Arial" w:hint="default"/>
      </w:rPr>
    </w:lvl>
  </w:abstractNum>
  <w:abstractNum w:abstractNumId="33">
    <w:nsid w:val="5F4C404C"/>
    <w:multiLevelType w:val="hybridMultilevel"/>
    <w:tmpl w:val="D0E2E33E"/>
    <w:lvl w:ilvl="0" w:tplc="543E3C1A">
      <w:start w:val="1"/>
      <w:numFmt w:val="bullet"/>
      <w:lvlText w:val=""/>
      <w:lvlJc w:val="left"/>
      <w:pPr>
        <w:ind w:left="720" w:hanging="360"/>
      </w:pPr>
      <w:rPr>
        <w:rFonts w:ascii="Symbol" w:hAnsi="Symbol" w:hint="default"/>
        <w:color w:val="7030A0"/>
      </w:rPr>
    </w:lvl>
    <w:lvl w:ilvl="1" w:tplc="C17C28CC">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813B64"/>
    <w:multiLevelType w:val="hybridMultilevel"/>
    <w:tmpl w:val="6B32B632"/>
    <w:lvl w:ilvl="0" w:tplc="0B786C38">
      <w:start w:val="1"/>
      <w:numFmt w:val="bullet"/>
      <w:lvlText w:val="•"/>
      <w:lvlJc w:val="left"/>
      <w:pPr>
        <w:tabs>
          <w:tab w:val="num" w:pos="720"/>
        </w:tabs>
        <w:ind w:left="720" w:hanging="360"/>
      </w:pPr>
      <w:rPr>
        <w:rFonts w:ascii="Arial" w:hAnsi="Arial" w:hint="default"/>
      </w:rPr>
    </w:lvl>
    <w:lvl w:ilvl="1" w:tplc="25EE7EF0">
      <w:start w:val="1"/>
      <w:numFmt w:val="bullet"/>
      <w:lvlText w:val="•"/>
      <w:lvlJc w:val="left"/>
      <w:pPr>
        <w:tabs>
          <w:tab w:val="num" w:pos="1440"/>
        </w:tabs>
        <w:ind w:left="1440" w:hanging="360"/>
      </w:pPr>
      <w:rPr>
        <w:rFonts w:ascii="Arial" w:hAnsi="Arial" w:hint="default"/>
      </w:rPr>
    </w:lvl>
    <w:lvl w:ilvl="2" w:tplc="1EB0C370" w:tentative="1">
      <w:start w:val="1"/>
      <w:numFmt w:val="bullet"/>
      <w:lvlText w:val="•"/>
      <w:lvlJc w:val="left"/>
      <w:pPr>
        <w:tabs>
          <w:tab w:val="num" w:pos="2160"/>
        </w:tabs>
        <w:ind w:left="2160" w:hanging="360"/>
      </w:pPr>
      <w:rPr>
        <w:rFonts w:ascii="Arial" w:hAnsi="Arial" w:hint="default"/>
      </w:rPr>
    </w:lvl>
    <w:lvl w:ilvl="3" w:tplc="2A624B46" w:tentative="1">
      <w:start w:val="1"/>
      <w:numFmt w:val="bullet"/>
      <w:lvlText w:val="•"/>
      <w:lvlJc w:val="left"/>
      <w:pPr>
        <w:tabs>
          <w:tab w:val="num" w:pos="2880"/>
        </w:tabs>
        <w:ind w:left="2880" w:hanging="360"/>
      </w:pPr>
      <w:rPr>
        <w:rFonts w:ascii="Arial" w:hAnsi="Arial" w:hint="default"/>
      </w:rPr>
    </w:lvl>
    <w:lvl w:ilvl="4" w:tplc="17C42582" w:tentative="1">
      <w:start w:val="1"/>
      <w:numFmt w:val="bullet"/>
      <w:lvlText w:val="•"/>
      <w:lvlJc w:val="left"/>
      <w:pPr>
        <w:tabs>
          <w:tab w:val="num" w:pos="3600"/>
        </w:tabs>
        <w:ind w:left="3600" w:hanging="360"/>
      </w:pPr>
      <w:rPr>
        <w:rFonts w:ascii="Arial" w:hAnsi="Arial" w:hint="default"/>
      </w:rPr>
    </w:lvl>
    <w:lvl w:ilvl="5" w:tplc="61686BE6" w:tentative="1">
      <w:start w:val="1"/>
      <w:numFmt w:val="bullet"/>
      <w:lvlText w:val="•"/>
      <w:lvlJc w:val="left"/>
      <w:pPr>
        <w:tabs>
          <w:tab w:val="num" w:pos="4320"/>
        </w:tabs>
        <w:ind w:left="4320" w:hanging="360"/>
      </w:pPr>
      <w:rPr>
        <w:rFonts w:ascii="Arial" w:hAnsi="Arial" w:hint="default"/>
      </w:rPr>
    </w:lvl>
    <w:lvl w:ilvl="6" w:tplc="D5780C4E" w:tentative="1">
      <w:start w:val="1"/>
      <w:numFmt w:val="bullet"/>
      <w:lvlText w:val="•"/>
      <w:lvlJc w:val="left"/>
      <w:pPr>
        <w:tabs>
          <w:tab w:val="num" w:pos="5040"/>
        </w:tabs>
        <w:ind w:left="5040" w:hanging="360"/>
      </w:pPr>
      <w:rPr>
        <w:rFonts w:ascii="Arial" w:hAnsi="Arial" w:hint="default"/>
      </w:rPr>
    </w:lvl>
    <w:lvl w:ilvl="7" w:tplc="708662F4" w:tentative="1">
      <w:start w:val="1"/>
      <w:numFmt w:val="bullet"/>
      <w:lvlText w:val="•"/>
      <w:lvlJc w:val="left"/>
      <w:pPr>
        <w:tabs>
          <w:tab w:val="num" w:pos="5760"/>
        </w:tabs>
        <w:ind w:left="5760" w:hanging="360"/>
      </w:pPr>
      <w:rPr>
        <w:rFonts w:ascii="Arial" w:hAnsi="Arial" w:hint="default"/>
      </w:rPr>
    </w:lvl>
    <w:lvl w:ilvl="8" w:tplc="CA12A674" w:tentative="1">
      <w:start w:val="1"/>
      <w:numFmt w:val="bullet"/>
      <w:lvlText w:val="•"/>
      <w:lvlJc w:val="left"/>
      <w:pPr>
        <w:tabs>
          <w:tab w:val="num" w:pos="6480"/>
        </w:tabs>
        <w:ind w:left="6480" w:hanging="360"/>
      </w:pPr>
      <w:rPr>
        <w:rFonts w:ascii="Arial" w:hAnsi="Arial" w:hint="default"/>
      </w:rPr>
    </w:lvl>
  </w:abstractNum>
  <w:abstractNum w:abstractNumId="35">
    <w:nsid w:val="688D441A"/>
    <w:multiLevelType w:val="hybridMultilevel"/>
    <w:tmpl w:val="4162C52C"/>
    <w:lvl w:ilvl="0" w:tplc="BE7E8CF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A15EA9"/>
    <w:multiLevelType w:val="hybridMultilevel"/>
    <w:tmpl w:val="6A441338"/>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A63B9D"/>
    <w:multiLevelType w:val="multilevel"/>
    <w:tmpl w:val="25A8148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0485612"/>
    <w:multiLevelType w:val="multilevel"/>
    <w:tmpl w:val="12C8D4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65C6817"/>
    <w:multiLevelType w:val="hybridMultilevel"/>
    <w:tmpl w:val="00F40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1063FE"/>
    <w:multiLevelType w:val="hybridMultilevel"/>
    <w:tmpl w:val="ACE2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9A1861"/>
    <w:multiLevelType w:val="hybridMultilevel"/>
    <w:tmpl w:val="6A3261DE"/>
    <w:lvl w:ilvl="0" w:tplc="371C9D34">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3"/>
  </w:num>
  <w:num w:numId="3">
    <w:abstractNumId w:val="38"/>
  </w:num>
  <w:num w:numId="4">
    <w:abstractNumId w:val="29"/>
  </w:num>
  <w:num w:numId="5">
    <w:abstractNumId w:val="11"/>
  </w:num>
  <w:num w:numId="6">
    <w:abstractNumId w:val="31"/>
  </w:num>
  <w:num w:numId="7">
    <w:abstractNumId w:val="9"/>
  </w:num>
  <w:num w:numId="8">
    <w:abstractNumId w:val="20"/>
  </w:num>
  <w:num w:numId="9">
    <w:abstractNumId w:val="41"/>
  </w:num>
  <w:num w:numId="10">
    <w:abstractNumId w:val="8"/>
  </w:num>
  <w:num w:numId="11">
    <w:abstractNumId w:val="27"/>
  </w:num>
  <w:num w:numId="12">
    <w:abstractNumId w:val="34"/>
  </w:num>
  <w:num w:numId="13">
    <w:abstractNumId w:val="26"/>
  </w:num>
  <w:num w:numId="14">
    <w:abstractNumId w:val="14"/>
  </w:num>
  <w:num w:numId="15">
    <w:abstractNumId w:val="0"/>
  </w:num>
  <w:num w:numId="16">
    <w:abstractNumId w:val="32"/>
  </w:num>
  <w:num w:numId="17">
    <w:abstractNumId w:val="6"/>
  </w:num>
  <w:num w:numId="18">
    <w:abstractNumId w:val="25"/>
  </w:num>
  <w:num w:numId="19">
    <w:abstractNumId w:val="4"/>
  </w:num>
  <w:num w:numId="20">
    <w:abstractNumId w:val="22"/>
  </w:num>
  <w:num w:numId="21">
    <w:abstractNumId w:val="24"/>
  </w:num>
  <w:num w:numId="22">
    <w:abstractNumId w:val="5"/>
  </w:num>
  <w:num w:numId="23">
    <w:abstractNumId w:val="28"/>
  </w:num>
  <w:num w:numId="24">
    <w:abstractNumId w:val="23"/>
  </w:num>
  <w:num w:numId="25">
    <w:abstractNumId w:val="39"/>
  </w:num>
  <w:num w:numId="26">
    <w:abstractNumId w:val="37"/>
  </w:num>
  <w:num w:numId="27">
    <w:abstractNumId w:val="33"/>
  </w:num>
  <w:num w:numId="28">
    <w:abstractNumId w:val="3"/>
  </w:num>
  <w:num w:numId="29">
    <w:abstractNumId w:val="35"/>
  </w:num>
  <w:num w:numId="30">
    <w:abstractNumId w:val="21"/>
  </w:num>
  <w:num w:numId="31">
    <w:abstractNumId w:val="19"/>
  </w:num>
  <w:num w:numId="32">
    <w:abstractNumId w:val="18"/>
  </w:num>
  <w:num w:numId="33">
    <w:abstractNumId w:val="36"/>
  </w:num>
  <w:num w:numId="34">
    <w:abstractNumId w:val="30"/>
  </w:num>
  <w:num w:numId="35">
    <w:abstractNumId w:val="12"/>
  </w:num>
  <w:num w:numId="36">
    <w:abstractNumId w:val="10"/>
  </w:num>
  <w:num w:numId="37">
    <w:abstractNumId w:val="15"/>
  </w:num>
  <w:num w:numId="38">
    <w:abstractNumId w:val="40"/>
  </w:num>
  <w:num w:numId="39">
    <w:abstractNumId w:val="16"/>
  </w:num>
  <w:num w:numId="40">
    <w:abstractNumId w:val="2"/>
  </w:num>
  <w:num w:numId="41">
    <w:abstractNumId w:val="7"/>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zA0NTExMzU1MzZV0lEKTi0uzszPAykwrAUAaaw/iywAAAA="/>
  </w:docVars>
  <w:rsids>
    <w:rsidRoot w:val="00652DE2"/>
    <w:rsid w:val="00056D3D"/>
    <w:rsid w:val="00065375"/>
    <w:rsid w:val="000904D0"/>
    <w:rsid w:val="002B31A8"/>
    <w:rsid w:val="002C7DD9"/>
    <w:rsid w:val="003344CF"/>
    <w:rsid w:val="0035617F"/>
    <w:rsid w:val="00587D0B"/>
    <w:rsid w:val="005A5ADE"/>
    <w:rsid w:val="005B2012"/>
    <w:rsid w:val="005F0264"/>
    <w:rsid w:val="0061633E"/>
    <w:rsid w:val="00652DE2"/>
    <w:rsid w:val="00674167"/>
    <w:rsid w:val="0071726C"/>
    <w:rsid w:val="00810ADF"/>
    <w:rsid w:val="008A48F8"/>
    <w:rsid w:val="00955E1E"/>
    <w:rsid w:val="00976827"/>
    <w:rsid w:val="009935BD"/>
    <w:rsid w:val="009C6335"/>
    <w:rsid w:val="00B21925"/>
    <w:rsid w:val="00BA5FA5"/>
    <w:rsid w:val="00C25D4C"/>
    <w:rsid w:val="00C37F10"/>
    <w:rsid w:val="00D82454"/>
    <w:rsid w:val="00DC3904"/>
    <w:rsid w:val="00E400EC"/>
    <w:rsid w:val="00E62321"/>
    <w:rsid w:val="00E8687D"/>
    <w:rsid w:val="00E925E1"/>
    <w:rsid w:val="00EE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2DE2"/>
    <w:pPr>
      <w:widowControl/>
    </w:pPr>
    <w:rPr>
      <w:rFonts w:ascii="Arial" w:hAnsi="Arial" w:cs="Arial"/>
      <w:sz w:val="24"/>
    </w:rPr>
  </w:style>
  <w:style w:type="paragraph" w:styleId="Heading1">
    <w:name w:val="heading 1"/>
    <w:basedOn w:val="Normal"/>
    <w:next w:val="Normal"/>
    <w:link w:val="Heading1Char"/>
    <w:uiPriority w:val="9"/>
    <w:qFormat/>
    <w:rsid w:val="00652DE2"/>
    <w:pPr>
      <w:keepNext/>
      <w:keepLines/>
      <w:spacing w:before="480" w:after="0"/>
      <w:outlineLvl w:val="0"/>
    </w:pPr>
    <w:rPr>
      <w:rFonts w:eastAsiaTheme="majorEastAsia" w:cstheme="majorBidi"/>
      <w:b/>
      <w:bCs/>
      <w:color w:val="0070C0"/>
      <w:sz w:val="40"/>
      <w:szCs w:val="28"/>
    </w:rPr>
  </w:style>
  <w:style w:type="paragraph" w:styleId="Heading2">
    <w:name w:val="heading 2"/>
    <w:basedOn w:val="Normal"/>
    <w:next w:val="Normal"/>
    <w:link w:val="Heading2Char"/>
    <w:uiPriority w:val="9"/>
    <w:unhideWhenUsed/>
    <w:qFormat/>
    <w:rsid w:val="009935BD"/>
    <w:pPr>
      <w:keepNext/>
      <w:keepLines/>
      <w:spacing w:before="200" w:after="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00810ADF"/>
    <w:pPr>
      <w:keepNext/>
      <w:keepLines/>
      <w:spacing w:before="200" w:after="0"/>
      <w:outlineLvl w:val="2"/>
    </w:pPr>
    <w:rPr>
      <w:rFonts w:eastAsiaTheme="majorEastAsia"/>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E2"/>
    <w:rPr>
      <w:rFonts w:ascii="Arial" w:eastAsiaTheme="majorEastAsia" w:hAnsi="Arial" w:cstheme="majorBidi"/>
      <w:b/>
      <w:bCs/>
      <w:color w:val="0070C0"/>
      <w:sz w:val="40"/>
      <w:szCs w:val="28"/>
    </w:rPr>
  </w:style>
  <w:style w:type="character" w:customStyle="1" w:styleId="Heading2Char">
    <w:name w:val="Heading 2 Char"/>
    <w:basedOn w:val="DefaultParagraphFont"/>
    <w:link w:val="Heading2"/>
    <w:uiPriority w:val="9"/>
    <w:rsid w:val="009935BD"/>
    <w:rPr>
      <w:rFonts w:ascii="Arial" w:eastAsiaTheme="majorEastAsia" w:hAnsi="Arial" w:cstheme="majorBidi"/>
      <w:b/>
      <w:bCs/>
      <w:color w:val="0070C0"/>
      <w:sz w:val="28"/>
      <w:szCs w:val="28"/>
    </w:rPr>
  </w:style>
  <w:style w:type="character" w:customStyle="1" w:styleId="Heading3Char">
    <w:name w:val="Heading 3 Char"/>
    <w:basedOn w:val="DefaultParagraphFont"/>
    <w:link w:val="Heading3"/>
    <w:uiPriority w:val="9"/>
    <w:rsid w:val="00810ADF"/>
    <w:rPr>
      <w:rFonts w:ascii="Arial" w:eastAsiaTheme="majorEastAsia" w:hAnsi="Arial" w:cs="Arial"/>
      <w:b/>
      <w:bCs/>
      <w:color w:val="0070C0"/>
      <w:sz w:val="24"/>
    </w:rPr>
  </w:style>
  <w:style w:type="paragraph" w:styleId="Header">
    <w:name w:val="header"/>
    <w:basedOn w:val="Normal"/>
    <w:link w:val="HeaderChar"/>
    <w:uiPriority w:val="99"/>
    <w:unhideWhenUsed/>
    <w:rsid w:val="0065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E2"/>
  </w:style>
  <w:style w:type="paragraph" w:styleId="Footer">
    <w:name w:val="footer"/>
    <w:basedOn w:val="Normal"/>
    <w:link w:val="FooterChar"/>
    <w:uiPriority w:val="99"/>
    <w:unhideWhenUsed/>
    <w:rsid w:val="0065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E2"/>
  </w:style>
  <w:style w:type="paragraph" w:styleId="BalloonText">
    <w:name w:val="Balloon Text"/>
    <w:basedOn w:val="Normal"/>
    <w:link w:val="BalloonTextChar"/>
    <w:uiPriority w:val="99"/>
    <w:semiHidden/>
    <w:unhideWhenUsed/>
    <w:rsid w:val="00652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E2"/>
    <w:rPr>
      <w:rFonts w:ascii="Tahoma" w:hAnsi="Tahoma" w:cs="Tahoma"/>
      <w:sz w:val="16"/>
      <w:szCs w:val="16"/>
    </w:rPr>
  </w:style>
  <w:style w:type="table" w:styleId="TableGrid">
    <w:name w:val="Table Grid"/>
    <w:basedOn w:val="TableNormal"/>
    <w:uiPriority w:val="5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BD"/>
    <w:pPr>
      <w:numPr>
        <w:numId w:val="37"/>
      </w:numPr>
      <w:contextualSpacing/>
    </w:pPr>
  </w:style>
  <w:style w:type="paragraph" w:customStyle="1" w:styleId="Default">
    <w:name w:val="Default"/>
    <w:rsid w:val="00652DE2"/>
    <w:pPr>
      <w:widowControl/>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DE2"/>
    <w:rPr>
      <w:sz w:val="16"/>
      <w:szCs w:val="16"/>
    </w:rPr>
  </w:style>
  <w:style w:type="paragraph" w:styleId="CommentText">
    <w:name w:val="annotation text"/>
    <w:basedOn w:val="Normal"/>
    <w:link w:val="CommentTextChar"/>
    <w:uiPriority w:val="99"/>
    <w:semiHidden/>
    <w:unhideWhenUsed/>
    <w:rsid w:val="00652DE2"/>
    <w:pPr>
      <w:spacing w:line="240" w:lineRule="auto"/>
    </w:pPr>
    <w:rPr>
      <w:sz w:val="20"/>
      <w:szCs w:val="20"/>
    </w:rPr>
  </w:style>
  <w:style w:type="character" w:customStyle="1" w:styleId="CommentTextChar">
    <w:name w:val="Comment Text Char"/>
    <w:basedOn w:val="DefaultParagraphFont"/>
    <w:link w:val="CommentText"/>
    <w:uiPriority w:val="99"/>
    <w:semiHidden/>
    <w:rsid w:val="00652DE2"/>
    <w:rPr>
      <w:sz w:val="20"/>
      <w:szCs w:val="20"/>
    </w:rPr>
  </w:style>
  <w:style w:type="character" w:customStyle="1" w:styleId="CommentSubjectChar">
    <w:name w:val="Comment Subject Char"/>
    <w:basedOn w:val="CommentTextChar"/>
    <w:link w:val="CommentSubject"/>
    <w:uiPriority w:val="99"/>
    <w:semiHidden/>
    <w:rsid w:val="00652DE2"/>
    <w:rPr>
      <w:b/>
      <w:bCs/>
      <w:sz w:val="20"/>
      <w:szCs w:val="20"/>
    </w:rPr>
  </w:style>
  <w:style w:type="paragraph" w:styleId="CommentSubject">
    <w:name w:val="annotation subject"/>
    <w:basedOn w:val="CommentText"/>
    <w:next w:val="CommentText"/>
    <w:link w:val="CommentSubjectChar"/>
    <w:uiPriority w:val="99"/>
    <w:semiHidden/>
    <w:unhideWhenUsed/>
    <w:rsid w:val="00652DE2"/>
    <w:rPr>
      <w:b/>
      <w:bCs/>
    </w:rPr>
  </w:style>
  <w:style w:type="character" w:styleId="Hyperlink">
    <w:name w:val="Hyperlink"/>
    <w:basedOn w:val="DefaultParagraphFont"/>
    <w:uiPriority w:val="99"/>
    <w:unhideWhenUsed/>
    <w:rsid w:val="00652DE2"/>
    <w:rPr>
      <w:color w:val="0000FF" w:themeColor="hyperlink"/>
      <w:u w:val="single"/>
    </w:rPr>
  </w:style>
  <w:style w:type="paragraph" w:customStyle="1" w:styleId="Reporttitle">
    <w:name w:val="Report title"/>
    <w:basedOn w:val="Normal"/>
    <w:link w:val="ReporttitleChar"/>
    <w:qFormat/>
    <w:rsid w:val="009935BD"/>
    <w:pPr>
      <w:spacing w:before="120" w:after="120" w:line="240" w:lineRule="auto"/>
    </w:pPr>
    <w:rPr>
      <w:rFonts w:eastAsiaTheme="minorEastAsia"/>
      <w:b/>
      <w:bCs/>
      <w:color w:val="005EB8"/>
      <w:sz w:val="72"/>
      <w:szCs w:val="96"/>
    </w:rPr>
  </w:style>
  <w:style w:type="character" w:customStyle="1" w:styleId="ReporttitleChar">
    <w:name w:val="Report title Char"/>
    <w:basedOn w:val="DefaultParagraphFont"/>
    <w:link w:val="Reporttitle"/>
    <w:rsid w:val="009935BD"/>
    <w:rPr>
      <w:rFonts w:ascii="Arial" w:eastAsiaTheme="minorEastAsia" w:hAnsi="Arial" w:cs="Arial"/>
      <w:b/>
      <w:bCs/>
      <w:color w:val="005EB8"/>
      <w:sz w:val="72"/>
      <w:szCs w:val="96"/>
    </w:rPr>
  </w:style>
  <w:style w:type="paragraph" w:customStyle="1" w:styleId="Reportsubtitle">
    <w:name w:val="Report sub title"/>
    <w:basedOn w:val="Normal"/>
    <w:link w:val="ReportsubtitleChar"/>
    <w:qFormat/>
    <w:rsid w:val="00810ADF"/>
    <w:pPr>
      <w:spacing w:before="120" w:after="120"/>
    </w:pPr>
    <w:rPr>
      <w:rFonts w:eastAsiaTheme="minorEastAsia"/>
      <w:color w:val="000000" w:themeColor="text1"/>
      <w:sz w:val="44"/>
      <w:szCs w:val="44"/>
    </w:rPr>
  </w:style>
  <w:style w:type="character" w:customStyle="1" w:styleId="ReportsubtitleChar">
    <w:name w:val="Report sub title Char"/>
    <w:basedOn w:val="DefaultParagraphFont"/>
    <w:link w:val="Reportsubtitle"/>
    <w:rsid w:val="00810ADF"/>
    <w:rPr>
      <w:rFonts w:ascii="Arial" w:eastAsiaTheme="minorEastAsia" w:hAnsi="Arial" w:cs="Arial"/>
      <w:color w:val="000000" w:themeColor="text1"/>
      <w:sz w:val="44"/>
      <w:szCs w:val="44"/>
    </w:rPr>
  </w:style>
  <w:style w:type="paragraph" w:styleId="TOCHeading">
    <w:name w:val="TOC Heading"/>
    <w:basedOn w:val="Heading1"/>
    <w:next w:val="Normal"/>
    <w:uiPriority w:val="39"/>
    <w:semiHidden/>
    <w:unhideWhenUsed/>
    <w:qFormat/>
    <w:rsid w:val="00674167"/>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74167"/>
    <w:pPr>
      <w:spacing w:after="100"/>
    </w:pPr>
  </w:style>
  <w:style w:type="paragraph" w:styleId="TOC2">
    <w:name w:val="toc 2"/>
    <w:basedOn w:val="Normal"/>
    <w:next w:val="Normal"/>
    <w:autoRedefine/>
    <w:uiPriority w:val="39"/>
    <w:unhideWhenUsed/>
    <w:rsid w:val="00674167"/>
    <w:pPr>
      <w:spacing w:after="100"/>
      <w:ind w:left="240"/>
    </w:pPr>
  </w:style>
  <w:style w:type="paragraph" w:styleId="TOC3">
    <w:name w:val="toc 3"/>
    <w:basedOn w:val="Normal"/>
    <w:next w:val="Normal"/>
    <w:autoRedefine/>
    <w:uiPriority w:val="39"/>
    <w:unhideWhenUsed/>
    <w:rsid w:val="0067416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2DE2"/>
    <w:pPr>
      <w:widowControl/>
    </w:pPr>
    <w:rPr>
      <w:rFonts w:ascii="Arial" w:hAnsi="Arial" w:cs="Arial"/>
      <w:sz w:val="24"/>
    </w:rPr>
  </w:style>
  <w:style w:type="paragraph" w:styleId="Heading1">
    <w:name w:val="heading 1"/>
    <w:basedOn w:val="Normal"/>
    <w:next w:val="Normal"/>
    <w:link w:val="Heading1Char"/>
    <w:uiPriority w:val="9"/>
    <w:qFormat/>
    <w:rsid w:val="00652DE2"/>
    <w:pPr>
      <w:keepNext/>
      <w:keepLines/>
      <w:spacing w:before="480" w:after="0"/>
      <w:outlineLvl w:val="0"/>
    </w:pPr>
    <w:rPr>
      <w:rFonts w:eastAsiaTheme="majorEastAsia" w:cstheme="majorBidi"/>
      <w:b/>
      <w:bCs/>
      <w:color w:val="0070C0"/>
      <w:sz w:val="40"/>
      <w:szCs w:val="28"/>
    </w:rPr>
  </w:style>
  <w:style w:type="paragraph" w:styleId="Heading2">
    <w:name w:val="heading 2"/>
    <w:basedOn w:val="Normal"/>
    <w:next w:val="Normal"/>
    <w:link w:val="Heading2Char"/>
    <w:uiPriority w:val="9"/>
    <w:unhideWhenUsed/>
    <w:qFormat/>
    <w:rsid w:val="009935BD"/>
    <w:pPr>
      <w:keepNext/>
      <w:keepLines/>
      <w:spacing w:before="200" w:after="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00810ADF"/>
    <w:pPr>
      <w:keepNext/>
      <w:keepLines/>
      <w:spacing w:before="200" w:after="0"/>
      <w:outlineLvl w:val="2"/>
    </w:pPr>
    <w:rPr>
      <w:rFonts w:eastAsiaTheme="majorEastAsia"/>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E2"/>
    <w:rPr>
      <w:rFonts w:ascii="Arial" w:eastAsiaTheme="majorEastAsia" w:hAnsi="Arial" w:cstheme="majorBidi"/>
      <w:b/>
      <w:bCs/>
      <w:color w:val="0070C0"/>
      <w:sz w:val="40"/>
      <w:szCs w:val="28"/>
    </w:rPr>
  </w:style>
  <w:style w:type="character" w:customStyle="1" w:styleId="Heading2Char">
    <w:name w:val="Heading 2 Char"/>
    <w:basedOn w:val="DefaultParagraphFont"/>
    <w:link w:val="Heading2"/>
    <w:uiPriority w:val="9"/>
    <w:rsid w:val="009935BD"/>
    <w:rPr>
      <w:rFonts w:ascii="Arial" w:eastAsiaTheme="majorEastAsia" w:hAnsi="Arial" w:cstheme="majorBidi"/>
      <w:b/>
      <w:bCs/>
      <w:color w:val="0070C0"/>
      <w:sz w:val="28"/>
      <w:szCs w:val="28"/>
    </w:rPr>
  </w:style>
  <w:style w:type="character" w:customStyle="1" w:styleId="Heading3Char">
    <w:name w:val="Heading 3 Char"/>
    <w:basedOn w:val="DefaultParagraphFont"/>
    <w:link w:val="Heading3"/>
    <w:uiPriority w:val="9"/>
    <w:rsid w:val="00810ADF"/>
    <w:rPr>
      <w:rFonts w:ascii="Arial" w:eastAsiaTheme="majorEastAsia" w:hAnsi="Arial" w:cs="Arial"/>
      <w:b/>
      <w:bCs/>
      <w:color w:val="0070C0"/>
      <w:sz w:val="24"/>
    </w:rPr>
  </w:style>
  <w:style w:type="paragraph" w:styleId="Header">
    <w:name w:val="header"/>
    <w:basedOn w:val="Normal"/>
    <w:link w:val="HeaderChar"/>
    <w:uiPriority w:val="99"/>
    <w:unhideWhenUsed/>
    <w:rsid w:val="0065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E2"/>
  </w:style>
  <w:style w:type="paragraph" w:styleId="Footer">
    <w:name w:val="footer"/>
    <w:basedOn w:val="Normal"/>
    <w:link w:val="FooterChar"/>
    <w:uiPriority w:val="99"/>
    <w:unhideWhenUsed/>
    <w:rsid w:val="0065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E2"/>
  </w:style>
  <w:style w:type="paragraph" w:styleId="BalloonText">
    <w:name w:val="Balloon Text"/>
    <w:basedOn w:val="Normal"/>
    <w:link w:val="BalloonTextChar"/>
    <w:uiPriority w:val="99"/>
    <w:semiHidden/>
    <w:unhideWhenUsed/>
    <w:rsid w:val="00652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E2"/>
    <w:rPr>
      <w:rFonts w:ascii="Tahoma" w:hAnsi="Tahoma" w:cs="Tahoma"/>
      <w:sz w:val="16"/>
      <w:szCs w:val="16"/>
    </w:rPr>
  </w:style>
  <w:style w:type="table" w:styleId="TableGrid">
    <w:name w:val="Table Grid"/>
    <w:basedOn w:val="TableNormal"/>
    <w:uiPriority w:val="5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BD"/>
    <w:pPr>
      <w:numPr>
        <w:numId w:val="37"/>
      </w:numPr>
      <w:contextualSpacing/>
    </w:pPr>
  </w:style>
  <w:style w:type="paragraph" w:customStyle="1" w:styleId="Default">
    <w:name w:val="Default"/>
    <w:rsid w:val="00652DE2"/>
    <w:pPr>
      <w:widowControl/>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DE2"/>
    <w:rPr>
      <w:sz w:val="16"/>
      <w:szCs w:val="16"/>
    </w:rPr>
  </w:style>
  <w:style w:type="paragraph" w:styleId="CommentText">
    <w:name w:val="annotation text"/>
    <w:basedOn w:val="Normal"/>
    <w:link w:val="CommentTextChar"/>
    <w:uiPriority w:val="99"/>
    <w:semiHidden/>
    <w:unhideWhenUsed/>
    <w:rsid w:val="00652DE2"/>
    <w:pPr>
      <w:spacing w:line="240" w:lineRule="auto"/>
    </w:pPr>
    <w:rPr>
      <w:sz w:val="20"/>
      <w:szCs w:val="20"/>
    </w:rPr>
  </w:style>
  <w:style w:type="character" w:customStyle="1" w:styleId="CommentTextChar">
    <w:name w:val="Comment Text Char"/>
    <w:basedOn w:val="DefaultParagraphFont"/>
    <w:link w:val="CommentText"/>
    <w:uiPriority w:val="99"/>
    <w:semiHidden/>
    <w:rsid w:val="00652DE2"/>
    <w:rPr>
      <w:sz w:val="20"/>
      <w:szCs w:val="20"/>
    </w:rPr>
  </w:style>
  <w:style w:type="character" w:customStyle="1" w:styleId="CommentSubjectChar">
    <w:name w:val="Comment Subject Char"/>
    <w:basedOn w:val="CommentTextChar"/>
    <w:link w:val="CommentSubject"/>
    <w:uiPriority w:val="99"/>
    <w:semiHidden/>
    <w:rsid w:val="00652DE2"/>
    <w:rPr>
      <w:b/>
      <w:bCs/>
      <w:sz w:val="20"/>
      <w:szCs w:val="20"/>
    </w:rPr>
  </w:style>
  <w:style w:type="paragraph" w:styleId="CommentSubject">
    <w:name w:val="annotation subject"/>
    <w:basedOn w:val="CommentText"/>
    <w:next w:val="CommentText"/>
    <w:link w:val="CommentSubjectChar"/>
    <w:uiPriority w:val="99"/>
    <w:semiHidden/>
    <w:unhideWhenUsed/>
    <w:rsid w:val="00652DE2"/>
    <w:rPr>
      <w:b/>
      <w:bCs/>
    </w:rPr>
  </w:style>
  <w:style w:type="character" w:styleId="Hyperlink">
    <w:name w:val="Hyperlink"/>
    <w:basedOn w:val="DefaultParagraphFont"/>
    <w:uiPriority w:val="99"/>
    <w:unhideWhenUsed/>
    <w:rsid w:val="00652DE2"/>
    <w:rPr>
      <w:color w:val="0000FF" w:themeColor="hyperlink"/>
      <w:u w:val="single"/>
    </w:rPr>
  </w:style>
  <w:style w:type="paragraph" w:customStyle="1" w:styleId="Reporttitle">
    <w:name w:val="Report title"/>
    <w:basedOn w:val="Normal"/>
    <w:link w:val="ReporttitleChar"/>
    <w:qFormat/>
    <w:rsid w:val="009935BD"/>
    <w:pPr>
      <w:spacing w:before="120" w:after="120" w:line="240" w:lineRule="auto"/>
    </w:pPr>
    <w:rPr>
      <w:rFonts w:eastAsiaTheme="minorEastAsia"/>
      <w:b/>
      <w:bCs/>
      <w:color w:val="005EB8"/>
      <w:sz w:val="72"/>
      <w:szCs w:val="96"/>
    </w:rPr>
  </w:style>
  <w:style w:type="character" w:customStyle="1" w:styleId="ReporttitleChar">
    <w:name w:val="Report title Char"/>
    <w:basedOn w:val="DefaultParagraphFont"/>
    <w:link w:val="Reporttitle"/>
    <w:rsid w:val="009935BD"/>
    <w:rPr>
      <w:rFonts w:ascii="Arial" w:eastAsiaTheme="minorEastAsia" w:hAnsi="Arial" w:cs="Arial"/>
      <w:b/>
      <w:bCs/>
      <w:color w:val="005EB8"/>
      <w:sz w:val="72"/>
      <w:szCs w:val="96"/>
    </w:rPr>
  </w:style>
  <w:style w:type="paragraph" w:customStyle="1" w:styleId="Reportsubtitle">
    <w:name w:val="Report sub title"/>
    <w:basedOn w:val="Normal"/>
    <w:link w:val="ReportsubtitleChar"/>
    <w:qFormat/>
    <w:rsid w:val="00810ADF"/>
    <w:pPr>
      <w:spacing w:before="120" w:after="120"/>
    </w:pPr>
    <w:rPr>
      <w:rFonts w:eastAsiaTheme="minorEastAsia"/>
      <w:color w:val="000000" w:themeColor="text1"/>
      <w:sz w:val="44"/>
      <w:szCs w:val="44"/>
    </w:rPr>
  </w:style>
  <w:style w:type="character" w:customStyle="1" w:styleId="ReportsubtitleChar">
    <w:name w:val="Report sub title Char"/>
    <w:basedOn w:val="DefaultParagraphFont"/>
    <w:link w:val="Reportsubtitle"/>
    <w:rsid w:val="00810ADF"/>
    <w:rPr>
      <w:rFonts w:ascii="Arial" w:eastAsiaTheme="minorEastAsia" w:hAnsi="Arial" w:cs="Arial"/>
      <w:color w:val="000000" w:themeColor="text1"/>
      <w:sz w:val="44"/>
      <w:szCs w:val="44"/>
    </w:rPr>
  </w:style>
  <w:style w:type="paragraph" w:styleId="TOCHeading">
    <w:name w:val="TOC Heading"/>
    <w:basedOn w:val="Heading1"/>
    <w:next w:val="Normal"/>
    <w:uiPriority w:val="39"/>
    <w:semiHidden/>
    <w:unhideWhenUsed/>
    <w:qFormat/>
    <w:rsid w:val="00674167"/>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74167"/>
    <w:pPr>
      <w:spacing w:after="100"/>
    </w:pPr>
  </w:style>
  <w:style w:type="paragraph" w:styleId="TOC2">
    <w:name w:val="toc 2"/>
    <w:basedOn w:val="Normal"/>
    <w:next w:val="Normal"/>
    <w:autoRedefine/>
    <w:uiPriority w:val="39"/>
    <w:unhideWhenUsed/>
    <w:rsid w:val="00674167"/>
    <w:pPr>
      <w:spacing w:after="100"/>
      <w:ind w:left="240"/>
    </w:pPr>
  </w:style>
  <w:style w:type="paragraph" w:styleId="TOC3">
    <w:name w:val="toc 3"/>
    <w:basedOn w:val="Normal"/>
    <w:next w:val="Normal"/>
    <w:autoRedefine/>
    <w:uiPriority w:val="39"/>
    <w:unhideWhenUsed/>
    <w:rsid w:val="0067416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67533">
      <w:bodyDiv w:val="1"/>
      <w:marLeft w:val="0"/>
      <w:marRight w:val="0"/>
      <w:marTop w:val="0"/>
      <w:marBottom w:val="0"/>
      <w:divBdr>
        <w:top w:val="none" w:sz="0" w:space="0" w:color="auto"/>
        <w:left w:val="none" w:sz="0" w:space="0" w:color="auto"/>
        <w:bottom w:val="none" w:sz="0" w:space="0" w:color="auto"/>
        <w:right w:val="none" w:sz="0" w:space="0" w:color="auto"/>
      </w:divBdr>
    </w:div>
    <w:div w:id="777724061">
      <w:bodyDiv w:val="1"/>
      <w:marLeft w:val="0"/>
      <w:marRight w:val="0"/>
      <w:marTop w:val="0"/>
      <w:marBottom w:val="0"/>
      <w:divBdr>
        <w:top w:val="none" w:sz="0" w:space="0" w:color="auto"/>
        <w:left w:val="none" w:sz="0" w:space="0" w:color="auto"/>
        <w:bottom w:val="none" w:sz="0" w:space="0" w:color="auto"/>
        <w:right w:val="none" w:sz="0" w:space="0" w:color="auto"/>
      </w:divBdr>
    </w:div>
    <w:div w:id="141682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8351-D2D9-4F3C-BCC9-271329D8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1551</Words>
  <Characters>8845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Donaldson, Laura</dc:creator>
  <cp:lastModifiedBy>Donaldson, Laura</cp:lastModifiedBy>
  <cp:revision>2</cp:revision>
  <dcterms:created xsi:type="dcterms:W3CDTF">2022-02-23T11:13:00Z</dcterms:created>
  <dcterms:modified xsi:type="dcterms:W3CDTF">2022-02-23T11:13:00Z</dcterms:modified>
</cp:coreProperties>
</file>